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13BF49">
      <w:pPr>
        <w:pStyle w:val="2"/>
        <w:ind w:firstLine="0" w:firstLineChars="0"/>
        <w:rPr>
          <w:b/>
          <w:sz w:val="32"/>
          <w:szCs w:val="32"/>
          <w:lang w:eastAsia="zh-CN"/>
        </w:rPr>
      </w:pPr>
      <w:r>
        <w:rPr>
          <w:rFonts w:hint="eastAsia" w:ascii="黑体" w:hAnsi="黑体" w:eastAsia="黑体" w:cs="Arial"/>
          <w:b/>
          <w:color w:val="000080"/>
          <w:sz w:val="32"/>
          <w:szCs w:val="32"/>
          <w:lang w:eastAsia="zh-CN"/>
        </w:rPr>
        <w:t>非密</w:t>
      </w:r>
    </w:p>
    <w:p w14:paraId="122E86DF">
      <w:pPr>
        <w:widowControl/>
        <w:snapToGrid w:val="0"/>
        <w:spacing w:line="300" w:lineRule="auto"/>
        <w:rPr>
          <w:rFonts w:ascii="Arial" w:hAnsi="Arial" w:eastAsia="黑体" w:cs="Arial"/>
          <w:color w:val="000080"/>
          <w:w w:val="80"/>
          <w:kern w:val="0"/>
          <w:sz w:val="72"/>
          <w:szCs w:val="72"/>
        </w:rPr>
      </w:pPr>
      <w:r>
        <w:drawing>
          <wp:inline distT="0" distB="0" distL="114300" distR="114300">
            <wp:extent cx="948690" cy="1170305"/>
            <wp:effectExtent l="0" t="0" r="3810" b="127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948690" cy="1170305"/>
                    </a:xfrm>
                    <a:prstGeom prst="rect">
                      <a:avLst/>
                    </a:prstGeom>
                    <a:noFill/>
                    <a:ln>
                      <a:noFill/>
                    </a:ln>
                  </pic:spPr>
                </pic:pic>
              </a:graphicData>
            </a:graphic>
          </wp:inline>
        </w:drawing>
      </w:r>
    </w:p>
    <w:p w14:paraId="3C0C880A">
      <w:pPr>
        <w:widowControl/>
        <w:snapToGrid w:val="0"/>
        <w:spacing w:line="300" w:lineRule="auto"/>
        <w:jc w:val="center"/>
        <w:rPr>
          <w:rFonts w:ascii="Arial" w:hAnsi="Arial" w:eastAsia="黑体" w:cs="Arial"/>
          <w:color w:val="000080"/>
          <w:w w:val="80"/>
          <w:kern w:val="0"/>
          <w:sz w:val="72"/>
          <w:szCs w:val="72"/>
        </w:rPr>
      </w:pPr>
      <w:r>
        <w:rPr>
          <w:rFonts w:hint="eastAsia" w:ascii="Arial" w:hAnsi="Arial" w:eastAsia="黑体" w:cs="Arial"/>
          <w:color w:val="000080"/>
          <w:w w:val="80"/>
          <w:kern w:val="0"/>
          <w:sz w:val="72"/>
          <w:szCs w:val="72"/>
        </w:rPr>
        <w:t>谈判</w:t>
      </w:r>
    </w:p>
    <w:p w14:paraId="41D397EB">
      <w:pPr>
        <w:widowControl/>
        <w:snapToGrid w:val="0"/>
        <w:spacing w:line="300" w:lineRule="auto"/>
        <w:jc w:val="center"/>
        <w:rPr>
          <w:rFonts w:ascii="Arial" w:hAnsi="Arial" w:eastAsia="黑体" w:cs="Arial"/>
          <w:color w:val="000080"/>
          <w:w w:val="80"/>
          <w:kern w:val="0"/>
          <w:sz w:val="72"/>
          <w:szCs w:val="72"/>
        </w:rPr>
      </w:pPr>
      <w:r>
        <w:rPr>
          <w:rFonts w:hint="eastAsia" w:ascii="Arial" w:hAnsi="Arial" w:eastAsia="黑体" w:cs="Arial"/>
          <w:color w:val="000080"/>
          <w:w w:val="80"/>
          <w:kern w:val="0"/>
          <w:sz w:val="72"/>
          <w:szCs w:val="72"/>
        </w:rPr>
        <w:t>采购文件</w:t>
      </w:r>
    </w:p>
    <w:p w14:paraId="38FF4B83">
      <w:pPr>
        <w:widowControl/>
        <w:snapToGrid w:val="0"/>
        <w:spacing w:line="360" w:lineRule="auto"/>
        <w:ind w:firstLine="600" w:firstLineChars="200"/>
        <w:jc w:val="center"/>
        <w:rPr>
          <w:rFonts w:ascii="Arial" w:hAnsi="Arial" w:eastAsia="黑体" w:cs="Arial"/>
          <w:color w:val="000080"/>
          <w:sz w:val="30"/>
          <w:szCs w:val="30"/>
        </w:rPr>
      </w:pPr>
    </w:p>
    <w:p w14:paraId="6FD360FC">
      <w:pPr>
        <w:widowControl/>
        <w:snapToGrid w:val="0"/>
        <w:spacing w:line="360" w:lineRule="auto"/>
        <w:rPr>
          <w:rFonts w:ascii="Arial" w:hAnsi="Arial" w:eastAsia="黑体" w:cs="Arial"/>
          <w:color w:val="000080"/>
          <w:sz w:val="30"/>
          <w:szCs w:val="30"/>
        </w:rPr>
      </w:pPr>
    </w:p>
    <w:p w14:paraId="6A826C7A">
      <w:pPr>
        <w:widowControl/>
        <w:snapToGrid w:val="0"/>
        <w:spacing w:line="360" w:lineRule="auto"/>
        <w:ind w:firstLine="600" w:firstLineChars="200"/>
        <w:jc w:val="center"/>
        <w:rPr>
          <w:rFonts w:ascii="Arial" w:hAnsi="Arial" w:eastAsia="黑体" w:cs="Arial"/>
          <w:color w:val="000080"/>
          <w:sz w:val="30"/>
          <w:szCs w:val="30"/>
        </w:rPr>
      </w:pPr>
    </w:p>
    <w:p w14:paraId="593B565F">
      <w:pPr>
        <w:widowControl/>
        <w:snapToGrid w:val="0"/>
        <w:spacing w:line="360" w:lineRule="auto"/>
        <w:ind w:firstLine="600" w:firstLineChars="200"/>
        <w:jc w:val="center"/>
        <w:rPr>
          <w:rFonts w:hint="eastAsia" w:ascii="Arial" w:hAnsi="Arial" w:eastAsia="黑体" w:cs="Arial"/>
          <w:color w:val="000080"/>
          <w:sz w:val="28"/>
          <w:lang w:eastAsia="zh-CN"/>
        </w:rPr>
      </w:pPr>
      <w:r>
        <w:rPr>
          <w:rFonts w:hint="eastAsia" w:ascii="Arial" w:hAnsi="Arial" w:eastAsia="黑体" w:cs="Arial"/>
          <w:color w:val="000080"/>
          <w:sz w:val="30"/>
          <w:szCs w:val="30"/>
        </w:rPr>
        <w:t>采购</w:t>
      </w:r>
      <w:r>
        <w:rPr>
          <w:rFonts w:ascii="Arial" w:hAnsi="Arial" w:eastAsia="黑体" w:cs="Arial"/>
          <w:color w:val="000080"/>
          <w:sz w:val="30"/>
          <w:szCs w:val="30"/>
        </w:rPr>
        <w:t>编号：</w:t>
      </w:r>
      <w:r>
        <w:rPr>
          <w:rFonts w:hint="eastAsia" w:ascii="Arial" w:hAnsi="Arial" w:eastAsia="黑体" w:cs="Arial"/>
          <w:color w:val="000080"/>
          <w:sz w:val="30"/>
          <w:szCs w:val="30"/>
          <w:lang w:eastAsia="zh-CN"/>
        </w:rPr>
        <w:t>05-FW-GKJT-261332</w:t>
      </w:r>
    </w:p>
    <w:p w14:paraId="640E2CB5">
      <w:pPr>
        <w:widowControl/>
        <w:snapToGrid w:val="0"/>
        <w:spacing w:line="360" w:lineRule="auto"/>
        <w:ind w:firstLine="600" w:firstLineChars="200"/>
        <w:jc w:val="center"/>
        <w:rPr>
          <w:rFonts w:ascii="Arial" w:hAnsi="Arial" w:eastAsia="黑体" w:cs="Arial"/>
          <w:color w:val="000080"/>
          <w:sz w:val="30"/>
          <w:szCs w:val="30"/>
        </w:rPr>
      </w:pPr>
      <w:r>
        <w:rPr>
          <w:rFonts w:ascii="Arial" w:hAnsi="Arial" w:eastAsia="黑体" w:cs="Arial"/>
          <w:color w:val="000080"/>
          <w:sz w:val="30"/>
          <w:szCs w:val="30"/>
        </w:rPr>
        <w:t>项目名称</w:t>
      </w:r>
      <w:r>
        <w:rPr>
          <w:rFonts w:hint="eastAsia" w:ascii="Arial" w:hAnsi="Arial" w:eastAsia="黑体" w:cs="Arial"/>
          <w:color w:val="000080"/>
          <w:sz w:val="30"/>
          <w:szCs w:val="30"/>
        </w:rPr>
        <w:t>：图文档管理系统实施服务</w:t>
      </w:r>
    </w:p>
    <w:p w14:paraId="1EA3FA6E">
      <w:pPr>
        <w:spacing w:line="360" w:lineRule="auto"/>
        <w:ind w:firstLine="600" w:firstLineChars="200"/>
        <w:jc w:val="center"/>
        <w:rPr>
          <w:rFonts w:ascii="Arial" w:hAnsi="Tahoma" w:eastAsia="黑体" w:cs="Arial"/>
          <w:color w:val="000080"/>
          <w:sz w:val="30"/>
          <w:szCs w:val="30"/>
        </w:rPr>
      </w:pPr>
    </w:p>
    <w:p w14:paraId="3D5FDD41">
      <w:pPr>
        <w:spacing w:line="360" w:lineRule="auto"/>
        <w:ind w:firstLine="600" w:firstLineChars="200"/>
        <w:jc w:val="center"/>
        <w:rPr>
          <w:rFonts w:ascii="Arial" w:hAnsi="Tahoma" w:eastAsia="黑体" w:cs="Arial"/>
          <w:color w:val="000080"/>
          <w:sz w:val="30"/>
          <w:szCs w:val="30"/>
        </w:rPr>
      </w:pPr>
    </w:p>
    <w:p w14:paraId="2B892857">
      <w:pPr>
        <w:spacing w:line="360" w:lineRule="auto"/>
        <w:ind w:firstLine="600" w:firstLineChars="200"/>
        <w:jc w:val="center"/>
        <w:rPr>
          <w:rFonts w:ascii="Arial" w:hAnsi="Tahoma" w:eastAsia="黑体" w:cs="Arial"/>
          <w:color w:val="000080"/>
          <w:sz w:val="30"/>
          <w:szCs w:val="30"/>
        </w:rPr>
      </w:pPr>
    </w:p>
    <w:p w14:paraId="176D5F6A">
      <w:pPr>
        <w:spacing w:line="360" w:lineRule="auto"/>
        <w:ind w:firstLine="600" w:firstLineChars="200"/>
        <w:jc w:val="center"/>
        <w:rPr>
          <w:rFonts w:ascii="Arial" w:hAnsi="Tahoma" w:eastAsia="黑体" w:cs="Arial"/>
          <w:color w:val="000080"/>
          <w:sz w:val="30"/>
          <w:szCs w:val="30"/>
        </w:rPr>
      </w:pPr>
    </w:p>
    <w:p w14:paraId="7E968D0A">
      <w:pPr>
        <w:spacing w:line="360" w:lineRule="auto"/>
        <w:ind w:firstLine="600" w:firstLineChars="200"/>
        <w:jc w:val="center"/>
        <w:rPr>
          <w:rFonts w:ascii="Arial" w:hAnsi="Tahoma" w:eastAsia="黑体" w:cs="Arial"/>
          <w:color w:val="000080"/>
          <w:sz w:val="30"/>
          <w:szCs w:val="30"/>
        </w:rPr>
      </w:pPr>
      <w:r>
        <w:rPr>
          <w:rFonts w:hint="eastAsia" w:ascii="Arial" w:hAnsi="Tahoma" w:eastAsia="黑体" w:cs="Arial"/>
          <w:color w:val="000080"/>
          <w:sz w:val="30"/>
          <w:szCs w:val="30"/>
        </w:rPr>
        <w:t>采购单位：</w:t>
      </w:r>
      <w:r>
        <w:rPr>
          <w:rFonts w:ascii="Arial" w:hAnsi="Tahoma" w:eastAsia="黑体" w:cs="Arial"/>
          <w:color w:val="000080"/>
          <w:sz w:val="30"/>
          <w:szCs w:val="30"/>
        </w:rPr>
        <w:t>中国核动力研究设计院</w:t>
      </w:r>
    </w:p>
    <w:p w14:paraId="79E3848D">
      <w:pPr>
        <w:spacing w:line="360" w:lineRule="auto"/>
        <w:ind w:firstLine="600" w:firstLineChars="200"/>
        <w:jc w:val="center"/>
        <w:rPr>
          <w:rFonts w:ascii="黑体" w:hAnsi="黑体" w:eastAsia="黑体" w:cs="黑体"/>
          <w:sz w:val="32"/>
          <w:szCs w:val="32"/>
        </w:rPr>
      </w:pPr>
      <w:r>
        <w:rPr>
          <w:rFonts w:ascii="Arial" w:hAnsi="Tahoma" w:eastAsia="黑体" w:cs="Arial"/>
          <w:color w:val="000080"/>
          <w:sz w:val="30"/>
          <w:szCs w:val="30"/>
        </w:rPr>
        <w:t>采购代理机构</w:t>
      </w:r>
      <w:r>
        <w:rPr>
          <w:rFonts w:hint="eastAsia" w:ascii="Arial" w:hAnsi="Tahoma" w:eastAsia="黑体" w:cs="Arial"/>
          <w:color w:val="000080"/>
          <w:sz w:val="30"/>
          <w:szCs w:val="30"/>
        </w:rPr>
        <w:t>：中科信工程咨询（北京）有限责任公司</w:t>
      </w:r>
    </w:p>
    <w:p w14:paraId="2C0BA5DD">
      <w:pPr>
        <w:pStyle w:val="3"/>
        <w:spacing w:line="360" w:lineRule="auto"/>
        <w:ind w:firstLine="600" w:firstLineChars="200"/>
        <w:jc w:val="center"/>
        <w:rPr>
          <w:rFonts w:ascii="Arial" w:hAnsi="Arial" w:eastAsia="黑体" w:cs="Arial"/>
          <w:color w:val="000080"/>
          <w:sz w:val="30"/>
          <w:szCs w:val="30"/>
          <w:lang w:eastAsia="zh-CN"/>
        </w:rPr>
        <w:sectPr>
          <w:headerReference r:id="rId3" w:type="default"/>
          <w:pgSz w:w="11905" w:h="16838"/>
          <w:pgMar w:top="1417" w:right="1417" w:bottom="1417" w:left="1417" w:header="850" w:footer="992" w:gutter="0"/>
          <w:pgNumType w:start="1"/>
          <w:cols w:space="0" w:num="1"/>
          <w:docGrid w:type="lines" w:linePitch="318" w:charSpace="0"/>
        </w:sectPr>
      </w:pPr>
      <w:r>
        <w:rPr>
          <w:rFonts w:hint="eastAsia" w:ascii="Arial" w:hAnsi="Arial" w:eastAsia="黑体" w:cs="Arial"/>
          <w:color w:val="000080"/>
          <w:sz w:val="30"/>
          <w:szCs w:val="30"/>
          <w:lang w:eastAsia="zh-CN"/>
        </w:rPr>
        <w:t>2026年6月22日</w:t>
      </w:r>
    </w:p>
    <w:p w14:paraId="1C20A743">
      <w:pPr>
        <w:widowControl/>
        <w:spacing w:line="360" w:lineRule="auto"/>
        <w:ind w:firstLine="880" w:firstLineChars="200"/>
        <w:jc w:val="center"/>
        <w:rPr>
          <w:rFonts w:cs="宋体" w:asciiTheme="minorEastAsia" w:hAnsiTheme="minorEastAsia"/>
          <w:kern w:val="0"/>
          <w:sz w:val="44"/>
          <w:szCs w:val="44"/>
        </w:rPr>
      </w:pPr>
      <w:r>
        <w:rPr>
          <w:rFonts w:cs="宋体" w:asciiTheme="minorEastAsia" w:hAnsiTheme="minorEastAsia"/>
          <w:kern w:val="0"/>
          <w:sz w:val="44"/>
          <w:szCs w:val="44"/>
        </w:rPr>
        <w:t>目录</w:t>
      </w:r>
    </w:p>
    <w:p w14:paraId="0F3383F1">
      <w:pPr>
        <w:pStyle w:val="15"/>
        <w:ind w:firstLine="480" w:firstLineChars="200"/>
        <w:rPr>
          <w:rFonts w:ascii="宋体" w:hAnsi="宋体" w:eastAsia="宋体" w:cs="宋体"/>
          <w:sz w:val="24"/>
        </w:rPr>
      </w:pPr>
      <w:r>
        <w:rPr>
          <w:rFonts w:asciiTheme="minorEastAsia" w:hAnsiTheme="minorEastAsia"/>
          <w:sz w:val="24"/>
        </w:rPr>
        <w:fldChar w:fldCharType="begin"/>
      </w:r>
      <w:r>
        <w:rPr>
          <w:rFonts w:asciiTheme="minorEastAsia" w:hAnsiTheme="minorEastAsia"/>
          <w:sz w:val="24"/>
        </w:rPr>
        <w:instrText xml:space="preserve"> TOC \o "1-1" \h \z \u </w:instrText>
      </w:r>
      <w:r>
        <w:rPr>
          <w:rFonts w:asciiTheme="minorEastAsia" w:hAnsiTheme="minorEastAsia"/>
          <w:sz w:val="24"/>
        </w:rPr>
        <w:fldChar w:fldCharType="separate"/>
      </w:r>
      <w:r>
        <w:fldChar w:fldCharType="begin"/>
      </w:r>
      <w:r>
        <w:instrText xml:space="preserve"> HYPERLINK \l "_Toc181123610" </w:instrText>
      </w:r>
      <w:r>
        <w:fldChar w:fldCharType="separate"/>
      </w:r>
      <w:r>
        <w:rPr>
          <w:rStyle w:val="26"/>
          <w:rFonts w:hint="eastAsia" w:ascii="宋体" w:hAnsi="宋体" w:eastAsia="宋体" w:cs="宋体"/>
          <w:sz w:val="24"/>
        </w:rPr>
        <w:t>第一章 谈判采购公告</w:t>
      </w:r>
      <w:r>
        <w:rPr>
          <w:rFonts w:hint="eastAsia" w:ascii="宋体" w:hAnsi="宋体" w:eastAsia="宋体" w:cs="宋体"/>
          <w:sz w:val="24"/>
        </w:rPr>
        <w:tab/>
      </w:r>
      <w:r>
        <w:rPr>
          <w:rFonts w:hint="eastAsia" w:ascii="宋体" w:hAnsi="宋体" w:eastAsia="宋体" w:cs="宋体"/>
          <w:sz w:val="24"/>
        </w:rPr>
        <w:fldChar w:fldCharType="begin"/>
      </w:r>
      <w:r>
        <w:rPr>
          <w:rFonts w:hint="eastAsia" w:ascii="宋体" w:hAnsi="宋体" w:eastAsia="宋体" w:cs="宋体"/>
          <w:sz w:val="24"/>
        </w:rPr>
        <w:instrText xml:space="preserve"> PAGEREF _Toc181123610 \h </w:instrText>
      </w:r>
      <w:r>
        <w:rPr>
          <w:rFonts w:hint="eastAsia" w:ascii="宋体" w:hAnsi="宋体" w:eastAsia="宋体" w:cs="宋体"/>
          <w:sz w:val="24"/>
        </w:rPr>
        <w:fldChar w:fldCharType="separate"/>
      </w:r>
      <w:r>
        <w:rPr>
          <w:rFonts w:hint="eastAsia" w:ascii="宋体" w:hAnsi="宋体" w:eastAsia="宋体" w:cs="宋体"/>
          <w:sz w:val="24"/>
        </w:rPr>
        <w:t>3</w:t>
      </w:r>
      <w:r>
        <w:rPr>
          <w:rFonts w:hint="eastAsia" w:ascii="宋体" w:hAnsi="宋体" w:eastAsia="宋体" w:cs="宋体"/>
          <w:sz w:val="24"/>
        </w:rPr>
        <w:fldChar w:fldCharType="end"/>
      </w:r>
      <w:r>
        <w:rPr>
          <w:rFonts w:hint="eastAsia" w:ascii="宋体" w:hAnsi="宋体" w:eastAsia="宋体" w:cs="宋体"/>
          <w:sz w:val="24"/>
        </w:rPr>
        <w:fldChar w:fldCharType="end"/>
      </w:r>
    </w:p>
    <w:p w14:paraId="04F52811">
      <w:pPr>
        <w:pStyle w:val="15"/>
        <w:ind w:firstLine="420" w:firstLineChars="200"/>
        <w:rPr>
          <w:rFonts w:ascii="宋体" w:hAnsi="宋体" w:eastAsia="宋体" w:cs="宋体"/>
          <w:sz w:val="24"/>
        </w:rPr>
      </w:pPr>
      <w:r>
        <w:fldChar w:fldCharType="begin"/>
      </w:r>
      <w:r>
        <w:instrText xml:space="preserve"> HYPERLINK \l "_Toc181123611" </w:instrText>
      </w:r>
      <w:r>
        <w:fldChar w:fldCharType="separate"/>
      </w:r>
      <w:r>
        <w:rPr>
          <w:rStyle w:val="26"/>
          <w:rFonts w:hint="eastAsia" w:ascii="宋体" w:hAnsi="宋体" w:eastAsia="宋体" w:cs="宋体"/>
          <w:sz w:val="24"/>
        </w:rPr>
        <w:t>第二章 供应商须知</w:t>
      </w:r>
      <w:r>
        <w:rPr>
          <w:rFonts w:hint="eastAsia" w:ascii="宋体" w:hAnsi="宋体" w:eastAsia="宋体" w:cs="宋体"/>
          <w:sz w:val="24"/>
        </w:rPr>
        <w:tab/>
      </w:r>
      <w:r>
        <w:rPr>
          <w:rFonts w:hint="eastAsia" w:ascii="宋体" w:hAnsi="宋体" w:eastAsia="宋体" w:cs="宋体"/>
          <w:sz w:val="24"/>
        </w:rPr>
        <w:fldChar w:fldCharType="begin"/>
      </w:r>
      <w:r>
        <w:rPr>
          <w:rFonts w:hint="eastAsia" w:ascii="宋体" w:hAnsi="宋体" w:eastAsia="宋体" w:cs="宋体"/>
          <w:sz w:val="24"/>
        </w:rPr>
        <w:instrText xml:space="preserve"> PAGEREF _Toc181123611 \h </w:instrText>
      </w:r>
      <w:r>
        <w:rPr>
          <w:rFonts w:hint="eastAsia" w:ascii="宋体" w:hAnsi="宋体" w:eastAsia="宋体" w:cs="宋体"/>
          <w:sz w:val="24"/>
        </w:rPr>
        <w:fldChar w:fldCharType="separate"/>
      </w:r>
      <w:r>
        <w:rPr>
          <w:rFonts w:hint="eastAsia" w:ascii="宋体" w:hAnsi="宋体" w:eastAsia="宋体" w:cs="宋体"/>
          <w:sz w:val="24"/>
        </w:rPr>
        <w:t>7</w:t>
      </w:r>
      <w:r>
        <w:rPr>
          <w:rFonts w:hint="eastAsia" w:ascii="宋体" w:hAnsi="宋体" w:eastAsia="宋体" w:cs="宋体"/>
          <w:sz w:val="24"/>
        </w:rPr>
        <w:fldChar w:fldCharType="end"/>
      </w:r>
      <w:r>
        <w:rPr>
          <w:rFonts w:hint="eastAsia" w:ascii="宋体" w:hAnsi="宋体" w:eastAsia="宋体" w:cs="宋体"/>
          <w:sz w:val="24"/>
        </w:rPr>
        <w:fldChar w:fldCharType="end"/>
      </w:r>
    </w:p>
    <w:p w14:paraId="1E19492A">
      <w:pPr>
        <w:pStyle w:val="15"/>
        <w:ind w:firstLine="420" w:firstLineChars="200"/>
        <w:rPr>
          <w:rFonts w:ascii="宋体" w:hAnsi="宋体" w:eastAsia="宋体" w:cs="宋体"/>
          <w:sz w:val="24"/>
        </w:rPr>
      </w:pPr>
      <w:r>
        <w:fldChar w:fldCharType="begin"/>
      </w:r>
      <w:r>
        <w:instrText xml:space="preserve"> HYPERLINK \l "_Toc181123612" </w:instrText>
      </w:r>
      <w:r>
        <w:fldChar w:fldCharType="separate"/>
      </w:r>
      <w:r>
        <w:rPr>
          <w:rStyle w:val="26"/>
          <w:rFonts w:hint="eastAsia" w:ascii="宋体" w:hAnsi="宋体" w:eastAsia="宋体" w:cs="宋体"/>
          <w:sz w:val="24"/>
        </w:rPr>
        <w:t>第三章 评审办法（综合评分法）</w:t>
      </w:r>
      <w:r>
        <w:rPr>
          <w:rFonts w:hint="eastAsia" w:ascii="宋体" w:hAnsi="宋体" w:eastAsia="宋体" w:cs="宋体"/>
          <w:sz w:val="24"/>
        </w:rPr>
        <w:tab/>
      </w:r>
      <w:r>
        <w:rPr>
          <w:rFonts w:hint="eastAsia" w:ascii="宋体" w:hAnsi="宋体" w:eastAsia="宋体" w:cs="宋体"/>
          <w:sz w:val="24"/>
        </w:rPr>
        <w:fldChar w:fldCharType="begin"/>
      </w:r>
      <w:r>
        <w:rPr>
          <w:rFonts w:hint="eastAsia" w:ascii="宋体" w:hAnsi="宋体" w:eastAsia="宋体" w:cs="宋体"/>
          <w:sz w:val="24"/>
        </w:rPr>
        <w:instrText xml:space="preserve"> PAGEREF _Toc181123612 \h </w:instrText>
      </w:r>
      <w:r>
        <w:rPr>
          <w:rFonts w:hint="eastAsia" w:ascii="宋体" w:hAnsi="宋体" w:eastAsia="宋体" w:cs="宋体"/>
          <w:sz w:val="24"/>
        </w:rPr>
        <w:fldChar w:fldCharType="separate"/>
      </w:r>
      <w:r>
        <w:rPr>
          <w:rFonts w:hint="eastAsia" w:ascii="宋体" w:hAnsi="宋体" w:eastAsia="宋体" w:cs="宋体"/>
          <w:sz w:val="24"/>
        </w:rPr>
        <w:t>32</w:t>
      </w:r>
      <w:r>
        <w:rPr>
          <w:rFonts w:hint="eastAsia" w:ascii="宋体" w:hAnsi="宋体" w:eastAsia="宋体" w:cs="宋体"/>
          <w:sz w:val="24"/>
        </w:rPr>
        <w:fldChar w:fldCharType="end"/>
      </w:r>
      <w:r>
        <w:rPr>
          <w:rFonts w:hint="eastAsia" w:ascii="宋体" w:hAnsi="宋体" w:eastAsia="宋体" w:cs="宋体"/>
          <w:sz w:val="24"/>
        </w:rPr>
        <w:fldChar w:fldCharType="end"/>
      </w:r>
    </w:p>
    <w:p w14:paraId="0DEF9E23">
      <w:pPr>
        <w:pStyle w:val="15"/>
        <w:ind w:firstLine="420" w:firstLineChars="200"/>
        <w:rPr>
          <w:rFonts w:ascii="宋体" w:hAnsi="宋体" w:eastAsia="宋体" w:cs="宋体"/>
          <w:sz w:val="24"/>
        </w:rPr>
      </w:pPr>
      <w:r>
        <w:fldChar w:fldCharType="begin"/>
      </w:r>
      <w:r>
        <w:instrText xml:space="preserve"> HYPERLINK \l "_Toc181123614" </w:instrText>
      </w:r>
      <w:r>
        <w:fldChar w:fldCharType="separate"/>
      </w:r>
      <w:r>
        <w:rPr>
          <w:rStyle w:val="26"/>
          <w:rFonts w:hint="eastAsia" w:ascii="宋体" w:hAnsi="宋体" w:eastAsia="宋体" w:cs="宋体"/>
          <w:sz w:val="24"/>
        </w:rPr>
        <w:t>第四章 合同草案</w:t>
      </w:r>
      <w:r>
        <w:rPr>
          <w:rFonts w:hint="eastAsia" w:ascii="宋体" w:hAnsi="宋体" w:eastAsia="宋体" w:cs="宋体"/>
          <w:sz w:val="24"/>
        </w:rPr>
        <w:tab/>
      </w:r>
      <w:r>
        <w:rPr>
          <w:rFonts w:hint="eastAsia" w:ascii="宋体" w:hAnsi="宋体" w:eastAsia="宋体" w:cs="宋体"/>
          <w:sz w:val="24"/>
        </w:rPr>
        <w:fldChar w:fldCharType="begin"/>
      </w:r>
      <w:r>
        <w:rPr>
          <w:rFonts w:hint="eastAsia" w:ascii="宋体" w:hAnsi="宋体" w:eastAsia="宋体" w:cs="宋体"/>
          <w:sz w:val="24"/>
        </w:rPr>
        <w:instrText xml:space="preserve"> PAGEREF _Toc181123614 \h </w:instrText>
      </w:r>
      <w:r>
        <w:rPr>
          <w:rFonts w:hint="eastAsia" w:ascii="宋体" w:hAnsi="宋体" w:eastAsia="宋体" w:cs="宋体"/>
          <w:sz w:val="24"/>
        </w:rPr>
        <w:fldChar w:fldCharType="separate"/>
      </w:r>
      <w:r>
        <w:rPr>
          <w:rFonts w:hint="eastAsia" w:ascii="宋体" w:hAnsi="宋体" w:eastAsia="宋体" w:cs="宋体"/>
          <w:sz w:val="24"/>
        </w:rPr>
        <w:t>40</w:t>
      </w:r>
      <w:r>
        <w:rPr>
          <w:rFonts w:hint="eastAsia" w:ascii="宋体" w:hAnsi="宋体" w:eastAsia="宋体" w:cs="宋体"/>
          <w:sz w:val="24"/>
        </w:rPr>
        <w:fldChar w:fldCharType="end"/>
      </w:r>
      <w:r>
        <w:rPr>
          <w:rFonts w:hint="eastAsia" w:ascii="宋体" w:hAnsi="宋体" w:eastAsia="宋体" w:cs="宋体"/>
          <w:sz w:val="24"/>
        </w:rPr>
        <w:fldChar w:fldCharType="end"/>
      </w:r>
    </w:p>
    <w:p w14:paraId="139212B4">
      <w:pPr>
        <w:pStyle w:val="15"/>
        <w:ind w:firstLine="420" w:firstLineChars="200"/>
        <w:rPr>
          <w:rFonts w:ascii="宋体" w:hAnsi="宋体" w:eastAsia="宋体" w:cs="宋体"/>
          <w:sz w:val="24"/>
        </w:rPr>
      </w:pPr>
      <w:r>
        <w:fldChar w:fldCharType="begin"/>
      </w:r>
      <w:r>
        <w:instrText xml:space="preserve"> HYPERLINK \l "_Toc181123615" </w:instrText>
      </w:r>
      <w:r>
        <w:fldChar w:fldCharType="separate"/>
      </w:r>
      <w:r>
        <w:rPr>
          <w:rStyle w:val="26"/>
          <w:rFonts w:hint="eastAsia" w:ascii="宋体" w:hAnsi="宋体" w:eastAsia="宋体" w:cs="宋体"/>
          <w:sz w:val="24"/>
        </w:rPr>
        <w:t>第五章 采购需求</w:t>
      </w:r>
      <w:r>
        <w:rPr>
          <w:rFonts w:hint="eastAsia" w:ascii="宋体" w:hAnsi="宋体" w:eastAsia="宋体" w:cs="宋体"/>
          <w:sz w:val="24"/>
        </w:rPr>
        <w:tab/>
      </w:r>
      <w:r>
        <w:rPr>
          <w:rFonts w:hint="eastAsia" w:ascii="宋体" w:hAnsi="宋体" w:eastAsia="宋体" w:cs="宋体"/>
          <w:sz w:val="24"/>
        </w:rPr>
        <w:fldChar w:fldCharType="begin"/>
      </w:r>
      <w:r>
        <w:rPr>
          <w:rFonts w:hint="eastAsia" w:ascii="宋体" w:hAnsi="宋体" w:eastAsia="宋体" w:cs="宋体"/>
          <w:sz w:val="24"/>
        </w:rPr>
        <w:instrText xml:space="preserve"> PAGEREF _Toc181123615 \h </w:instrText>
      </w:r>
      <w:r>
        <w:rPr>
          <w:rFonts w:hint="eastAsia" w:ascii="宋体" w:hAnsi="宋体" w:eastAsia="宋体" w:cs="宋体"/>
          <w:sz w:val="24"/>
        </w:rPr>
        <w:fldChar w:fldCharType="separate"/>
      </w:r>
      <w:r>
        <w:rPr>
          <w:rFonts w:hint="eastAsia" w:ascii="宋体" w:hAnsi="宋体" w:eastAsia="宋体" w:cs="宋体"/>
          <w:sz w:val="24"/>
        </w:rPr>
        <w:t>69</w:t>
      </w:r>
      <w:r>
        <w:rPr>
          <w:rFonts w:hint="eastAsia" w:ascii="宋体" w:hAnsi="宋体" w:eastAsia="宋体" w:cs="宋体"/>
          <w:sz w:val="24"/>
        </w:rPr>
        <w:fldChar w:fldCharType="end"/>
      </w:r>
      <w:r>
        <w:rPr>
          <w:rFonts w:hint="eastAsia" w:ascii="宋体" w:hAnsi="宋体" w:eastAsia="宋体" w:cs="宋体"/>
          <w:sz w:val="24"/>
        </w:rPr>
        <w:fldChar w:fldCharType="end"/>
      </w:r>
    </w:p>
    <w:p w14:paraId="696AC3FA">
      <w:pPr>
        <w:pStyle w:val="15"/>
        <w:ind w:firstLine="420" w:firstLineChars="200"/>
        <w:rPr>
          <w:rFonts w:ascii="宋体" w:hAnsi="宋体" w:eastAsia="宋体" w:cs="宋体"/>
          <w:sz w:val="24"/>
        </w:rPr>
      </w:pPr>
      <w:r>
        <w:fldChar w:fldCharType="begin"/>
      </w:r>
      <w:r>
        <w:instrText xml:space="preserve"> HYPERLINK \l "_Toc181123616" </w:instrText>
      </w:r>
      <w:r>
        <w:fldChar w:fldCharType="separate"/>
      </w:r>
      <w:r>
        <w:rPr>
          <w:rStyle w:val="26"/>
          <w:rFonts w:hint="eastAsia" w:ascii="宋体" w:hAnsi="宋体" w:eastAsia="宋体" w:cs="宋体"/>
          <w:sz w:val="24"/>
        </w:rPr>
        <w:t>第六章 应答文件格式</w:t>
      </w:r>
      <w:r>
        <w:rPr>
          <w:rFonts w:hint="eastAsia" w:ascii="宋体" w:hAnsi="宋体" w:eastAsia="宋体" w:cs="宋体"/>
          <w:sz w:val="24"/>
        </w:rPr>
        <w:tab/>
      </w:r>
      <w:r>
        <w:rPr>
          <w:rFonts w:hint="eastAsia" w:ascii="宋体" w:hAnsi="宋体" w:eastAsia="宋体" w:cs="宋体"/>
          <w:sz w:val="24"/>
        </w:rPr>
        <w:fldChar w:fldCharType="begin"/>
      </w:r>
      <w:r>
        <w:rPr>
          <w:rFonts w:hint="eastAsia" w:ascii="宋体" w:hAnsi="宋体" w:eastAsia="宋体" w:cs="宋体"/>
          <w:sz w:val="24"/>
        </w:rPr>
        <w:instrText xml:space="preserve"> PAGEREF _Toc181123616 \h </w:instrText>
      </w:r>
      <w:r>
        <w:rPr>
          <w:rFonts w:hint="eastAsia" w:ascii="宋体" w:hAnsi="宋体" w:eastAsia="宋体" w:cs="宋体"/>
          <w:sz w:val="24"/>
        </w:rPr>
        <w:fldChar w:fldCharType="separate"/>
      </w:r>
      <w:r>
        <w:rPr>
          <w:rFonts w:hint="eastAsia" w:ascii="宋体" w:hAnsi="宋体" w:eastAsia="宋体" w:cs="宋体"/>
          <w:sz w:val="24"/>
        </w:rPr>
        <w:t>70</w:t>
      </w:r>
      <w:r>
        <w:rPr>
          <w:rFonts w:hint="eastAsia" w:ascii="宋体" w:hAnsi="宋体" w:eastAsia="宋体" w:cs="宋体"/>
          <w:sz w:val="24"/>
        </w:rPr>
        <w:fldChar w:fldCharType="end"/>
      </w:r>
      <w:r>
        <w:rPr>
          <w:rFonts w:hint="eastAsia" w:ascii="宋体" w:hAnsi="宋体" w:eastAsia="宋体" w:cs="宋体"/>
          <w:sz w:val="24"/>
        </w:rPr>
        <w:fldChar w:fldCharType="end"/>
      </w:r>
    </w:p>
    <w:p w14:paraId="4015B03D">
      <w:pPr>
        <w:pStyle w:val="15"/>
        <w:ind w:firstLine="420" w:firstLineChars="200"/>
        <w:rPr>
          <w:rFonts w:asciiTheme="minorEastAsia" w:hAnsiTheme="minorEastAsia"/>
          <w:sz w:val="24"/>
        </w:rPr>
      </w:pPr>
      <w:r>
        <w:fldChar w:fldCharType="begin"/>
      </w:r>
      <w:r>
        <w:instrText xml:space="preserve"> HYPERLINK \l "_Toc181123617" </w:instrText>
      </w:r>
      <w:r>
        <w:fldChar w:fldCharType="separate"/>
      </w:r>
      <w:r>
        <w:rPr>
          <w:rStyle w:val="26"/>
          <w:rFonts w:hint="eastAsia" w:ascii="宋体" w:hAnsi="宋体" w:eastAsia="宋体" w:cs="宋体"/>
          <w:sz w:val="24"/>
        </w:rPr>
        <w:t>附件</w:t>
      </w:r>
      <w:r>
        <w:rPr>
          <w:rFonts w:hint="eastAsia" w:ascii="宋体" w:hAnsi="宋体" w:eastAsia="宋体" w:cs="宋体"/>
          <w:sz w:val="24"/>
        </w:rPr>
        <w:tab/>
      </w:r>
      <w:r>
        <w:rPr>
          <w:rFonts w:hint="eastAsia" w:ascii="宋体" w:hAnsi="宋体" w:eastAsia="宋体" w:cs="宋体"/>
          <w:sz w:val="24"/>
        </w:rPr>
        <w:fldChar w:fldCharType="begin"/>
      </w:r>
      <w:r>
        <w:rPr>
          <w:rFonts w:hint="eastAsia" w:ascii="宋体" w:hAnsi="宋体" w:eastAsia="宋体" w:cs="宋体"/>
          <w:sz w:val="24"/>
        </w:rPr>
        <w:instrText xml:space="preserve"> PAGEREF _Toc181123617 \h </w:instrText>
      </w:r>
      <w:r>
        <w:rPr>
          <w:rFonts w:hint="eastAsia" w:ascii="宋体" w:hAnsi="宋体" w:eastAsia="宋体" w:cs="宋体"/>
          <w:sz w:val="24"/>
        </w:rPr>
        <w:fldChar w:fldCharType="separate"/>
      </w:r>
      <w:r>
        <w:rPr>
          <w:rFonts w:hint="eastAsia" w:ascii="宋体" w:hAnsi="宋体" w:eastAsia="宋体" w:cs="宋体"/>
          <w:sz w:val="24"/>
        </w:rPr>
        <w:t>96</w:t>
      </w:r>
      <w:r>
        <w:rPr>
          <w:rFonts w:hint="eastAsia" w:ascii="宋体" w:hAnsi="宋体" w:eastAsia="宋体" w:cs="宋体"/>
          <w:sz w:val="24"/>
        </w:rPr>
        <w:fldChar w:fldCharType="end"/>
      </w:r>
      <w:r>
        <w:rPr>
          <w:rFonts w:hint="eastAsia" w:ascii="宋体" w:hAnsi="宋体" w:eastAsia="宋体" w:cs="宋体"/>
          <w:sz w:val="24"/>
        </w:rPr>
        <w:fldChar w:fldCharType="end"/>
      </w:r>
    </w:p>
    <w:p w14:paraId="7B29516C">
      <w:pPr>
        <w:spacing w:line="360" w:lineRule="auto"/>
        <w:ind w:firstLine="480" w:firstLineChars="200"/>
        <w:rPr>
          <w:sz w:val="32"/>
          <w:szCs w:val="32"/>
        </w:rPr>
      </w:pPr>
      <w:r>
        <w:rPr>
          <w:rFonts w:asciiTheme="minorEastAsia" w:hAnsiTheme="minorEastAsia"/>
          <w:sz w:val="24"/>
        </w:rPr>
        <w:fldChar w:fldCharType="end"/>
      </w:r>
    </w:p>
    <w:p w14:paraId="29C18B5E">
      <w:pPr>
        <w:widowControl/>
        <w:ind w:firstLine="880" w:firstLineChars="200"/>
        <w:jc w:val="left"/>
        <w:rPr>
          <w:rFonts w:ascii="黑体" w:hAnsi="黑体" w:eastAsia="黑体" w:cs="黑体"/>
          <w:sz w:val="44"/>
          <w:szCs w:val="44"/>
        </w:rPr>
      </w:pPr>
      <w:r>
        <w:rPr>
          <w:rFonts w:ascii="黑体" w:hAnsi="黑体" w:eastAsia="黑体" w:cs="黑体"/>
          <w:sz w:val="44"/>
          <w:szCs w:val="44"/>
        </w:rPr>
        <w:br w:type="page"/>
      </w:r>
    </w:p>
    <w:p w14:paraId="570E1AEF">
      <w:pPr>
        <w:pStyle w:val="5"/>
        <w:ind w:firstLine="880" w:firstLineChars="200"/>
        <w:rPr>
          <w:rFonts w:asciiTheme="minorEastAsia" w:hAnsiTheme="minorEastAsia" w:eastAsiaTheme="minorEastAsia"/>
          <w:lang w:eastAsia="zh-CN"/>
        </w:rPr>
      </w:pPr>
      <w:bookmarkStart w:id="0" w:name="_Toc181123610"/>
      <w:bookmarkStart w:id="1" w:name="_Toc24280"/>
      <w:r>
        <w:rPr>
          <w:rFonts w:hint="eastAsia" w:asciiTheme="minorEastAsia" w:hAnsiTheme="minorEastAsia" w:eastAsiaTheme="minorEastAsia"/>
          <w:lang w:eastAsia="zh-CN"/>
        </w:rPr>
        <w:t>第一章 谈判采购公告</w:t>
      </w:r>
      <w:bookmarkEnd w:id="0"/>
    </w:p>
    <w:p w14:paraId="6DE46F57">
      <w:pPr>
        <w:spacing w:line="360" w:lineRule="auto"/>
        <w:ind w:firstLine="480" w:firstLineChars="200"/>
        <w:rPr>
          <w:rFonts w:cs="黑体" w:asciiTheme="minorEastAsia" w:hAnsiTheme="minorEastAsia"/>
          <w:sz w:val="24"/>
        </w:rPr>
      </w:pPr>
      <w:r>
        <w:rPr>
          <w:rFonts w:hint="eastAsia" w:ascii="宋体" w:hAnsi="宋体"/>
          <w:sz w:val="24"/>
        </w:rPr>
        <w:t xml:space="preserve">我单位就 </w:t>
      </w:r>
      <w:r>
        <w:rPr>
          <w:rFonts w:hint="eastAsia" w:asciiTheme="minorEastAsia" w:hAnsiTheme="minorEastAsia"/>
          <w:sz w:val="24"/>
        </w:rPr>
        <w:t>图文档管理系统实施服务</w:t>
      </w:r>
      <w:r>
        <w:rPr>
          <w:rFonts w:hint="eastAsia" w:ascii="宋体" w:hAnsi="宋体"/>
          <w:sz w:val="24"/>
        </w:rPr>
        <w:t xml:space="preserve"> 物项进行采购，现</w:t>
      </w:r>
      <w:r>
        <w:rPr>
          <w:rFonts w:hint="eastAsia" w:asciiTheme="minorEastAsia" w:hAnsiTheme="minorEastAsia"/>
          <w:sz w:val="24"/>
        </w:rPr>
        <w:t>图文档管理系统实施服务</w:t>
      </w:r>
      <w:r>
        <w:rPr>
          <w:rFonts w:hint="eastAsia" w:cs="黑体" w:asciiTheme="minorEastAsia" w:hAnsiTheme="minorEastAsia"/>
          <w:sz w:val="24"/>
        </w:rPr>
        <w:t>已具备采购条件，现公开邀请供应商参加谈判采购活动。</w:t>
      </w:r>
    </w:p>
    <w:p w14:paraId="3069DF29">
      <w:pPr>
        <w:spacing w:line="360" w:lineRule="auto"/>
        <w:ind w:firstLine="482" w:firstLineChars="200"/>
        <w:rPr>
          <w:rFonts w:cs="黑体" w:asciiTheme="minorEastAsia" w:hAnsiTheme="minorEastAsia"/>
          <w:b/>
          <w:bCs/>
          <w:sz w:val="24"/>
        </w:rPr>
      </w:pPr>
      <w:r>
        <w:rPr>
          <w:rFonts w:hint="eastAsia" w:cs="黑体" w:asciiTheme="minorEastAsia" w:hAnsiTheme="minorEastAsia"/>
          <w:b/>
          <w:bCs/>
          <w:sz w:val="24"/>
        </w:rPr>
        <w:t>1.采购项目简介</w:t>
      </w:r>
    </w:p>
    <w:p w14:paraId="5CFDA816">
      <w:pPr>
        <w:spacing w:line="360" w:lineRule="auto"/>
        <w:ind w:firstLine="480" w:firstLineChars="200"/>
        <w:rPr>
          <w:rFonts w:cs="黑体" w:asciiTheme="minorEastAsia" w:hAnsiTheme="minorEastAsia"/>
          <w:sz w:val="24"/>
        </w:rPr>
      </w:pPr>
      <w:r>
        <w:rPr>
          <w:rFonts w:hint="eastAsia" w:cs="黑体" w:asciiTheme="minorEastAsia" w:hAnsiTheme="minorEastAsia"/>
          <w:sz w:val="24"/>
        </w:rPr>
        <w:t>1.1采购项目名称：</w:t>
      </w:r>
      <w:r>
        <w:rPr>
          <w:rFonts w:hint="eastAsia" w:asciiTheme="minorEastAsia" w:hAnsiTheme="minorEastAsia"/>
          <w:sz w:val="24"/>
        </w:rPr>
        <w:t>图文档管理系统实施服务</w:t>
      </w:r>
    </w:p>
    <w:p w14:paraId="70F930C4">
      <w:pPr>
        <w:spacing w:line="360" w:lineRule="auto"/>
        <w:ind w:firstLine="480" w:firstLineChars="200"/>
        <w:rPr>
          <w:rFonts w:cs="黑体" w:asciiTheme="minorEastAsia" w:hAnsiTheme="minorEastAsia"/>
          <w:sz w:val="24"/>
        </w:rPr>
      </w:pPr>
      <w:r>
        <w:rPr>
          <w:rFonts w:hint="eastAsia" w:cs="黑体" w:asciiTheme="minorEastAsia" w:hAnsiTheme="minorEastAsia"/>
          <w:sz w:val="24"/>
        </w:rPr>
        <w:t>1.2采购单位：中国核动力研究设计院。</w:t>
      </w:r>
    </w:p>
    <w:p w14:paraId="3ABC754D">
      <w:pPr>
        <w:spacing w:line="360" w:lineRule="auto"/>
        <w:ind w:firstLine="480" w:firstLineChars="200"/>
        <w:rPr>
          <w:rFonts w:cs="黑体" w:asciiTheme="minorEastAsia" w:hAnsiTheme="minorEastAsia"/>
          <w:sz w:val="24"/>
        </w:rPr>
      </w:pPr>
      <w:r>
        <w:rPr>
          <w:rFonts w:hint="eastAsia" w:cs="黑体" w:asciiTheme="minorEastAsia" w:hAnsiTheme="minorEastAsia"/>
          <w:sz w:val="24"/>
        </w:rPr>
        <w:t>1.3采购代理机构：中科信工程咨询（北京）有限责任公司。</w:t>
      </w:r>
    </w:p>
    <w:p w14:paraId="46E2ACA9">
      <w:pPr>
        <w:spacing w:line="360" w:lineRule="auto"/>
        <w:ind w:firstLine="480" w:firstLineChars="200"/>
        <w:rPr>
          <w:rFonts w:asciiTheme="minorEastAsia" w:hAnsiTheme="minorEastAsia"/>
          <w:sz w:val="24"/>
        </w:rPr>
      </w:pPr>
      <w:r>
        <w:rPr>
          <w:rFonts w:hint="eastAsia" w:cs="黑体" w:asciiTheme="minorEastAsia" w:hAnsiTheme="minorEastAsia"/>
          <w:sz w:val="24"/>
        </w:rPr>
        <w:t>1.4采购项目资金落实情况：</w:t>
      </w:r>
      <w:r>
        <w:rPr>
          <w:rFonts w:hint="eastAsia" w:asciiTheme="minorEastAsia" w:hAnsiTheme="minorEastAsia"/>
          <w:sz w:val="24"/>
        </w:rPr>
        <w:t>资金已经到位或资金来源已经确定。</w:t>
      </w:r>
    </w:p>
    <w:p w14:paraId="5E312790">
      <w:pPr>
        <w:spacing w:line="360" w:lineRule="auto"/>
        <w:ind w:firstLine="480" w:firstLineChars="200"/>
        <w:rPr>
          <w:rFonts w:asciiTheme="minorEastAsia" w:hAnsiTheme="minorEastAsia"/>
          <w:sz w:val="24"/>
        </w:rPr>
      </w:pPr>
      <w:r>
        <w:rPr>
          <w:rFonts w:hint="eastAsia" w:asciiTheme="minorEastAsia" w:hAnsiTheme="minorEastAsia"/>
          <w:sz w:val="24"/>
        </w:rPr>
        <w:t>1.5 采购项目概况：图文档管理系统实施服务项目采购。</w:t>
      </w:r>
    </w:p>
    <w:p w14:paraId="0D787876">
      <w:pPr>
        <w:spacing w:line="360" w:lineRule="auto"/>
        <w:ind w:firstLine="480" w:firstLineChars="200"/>
        <w:rPr>
          <w:rFonts w:cs="黑体" w:asciiTheme="minorEastAsia" w:hAnsiTheme="minorEastAsia"/>
          <w:sz w:val="24"/>
        </w:rPr>
      </w:pPr>
      <w:r>
        <w:rPr>
          <w:rFonts w:hint="eastAsia" w:cs="黑体" w:asciiTheme="minorEastAsia" w:hAnsiTheme="minorEastAsia"/>
          <w:sz w:val="24"/>
        </w:rPr>
        <w:t>1.6 成交供应商数量：本项目采用公开谈判方式确定</w:t>
      </w:r>
      <w:r>
        <w:rPr>
          <w:rFonts w:hint="eastAsia" w:cs="黑体" w:asciiTheme="minorEastAsia" w:hAnsiTheme="minorEastAsia"/>
          <w:b/>
          <w:sz w:val="24"/>
          <w:u w:val="single"/>
        </w:rPr>
        <w:t>1</w:t>
      </w:r>
      <w:r>
        <w:rPr>
          <w:rFonts w:hint="eastAsia" w:cs="黑体" w:asciiTheme="minorEastAsia" w:hAnsiTheme="minorEastAsia"/>
          <w:sz w:val="24"/>
        </w:rPr>
        <w:t>家成交人。</w:t>
      </w:r>
    </w:p>
    <w:p w14:paraId="607A999F">
      <w:pPr>
        <w:spacing w:line="360" w:lineRule="auto"/>
        <w:ind w:firstLine="480" w:firstLineChars="200"/>
        <w:rPr>
          <w:rFonts w:cs="黑体" w:asciiTheme="minorEastAsia" w:hAnsiTheme="minorEastAsia"/>
          <w:sz w:val="24"/>
        </w:rPr>
      </w:pPr>
      <w:r>
        <w:rPr>
          <w:rFonts w:hint="eastAsia" w:cs="黑体" w:asciiTheme="minorEastAsia" w:hAnsiTheme="minorEastAsia"/>
          <w:sz w:val="24"/>
        </w:rPr>
        <w:t xml:space="preserve">1.7合同签订主体：中国核动力研究设计院夹江基地 </w:t>
      </w:r>
    </w:p>
    <w:p w14:paraId="3F4D0BFC">
      <w:pPr>
        <w:spacing w:line="360" w:lineRule="auto"/>
        <w:ind w:firstLine="482" w:firstLineChars="200"/>
        <w:rPr>
          <w:rFonts w:cs="黑体" w:asciiTheme="minorEastAsia" w:hAnsiTheme="minorEastAsia"/>
          <w:sz w:val="24"/>
        </w:rPr>
      </w:pPr>
      <w:r>
        <w:rPr>
          <w:rFonts w:hint="eastAsia" w:cs="黑体" w:asciiTheme="minorEastAsia" w:hAnsiTheme="minorEastAsia"/>
          <w:b/>
          <w:bCs/>
          <w:sz w:val="24"/>
        </w:rPr>
        <w:t>2.采购范围及相关要求</w:t>
      </w:r>
    </w:p>
    <w:p w14:paraId="130717D1">
      <w:pPr>
        <w:spacing w:line="360" w:lineRule="auto"/>
        <w:ind w:firstLine="480" w:firstLineChars="200"/>
        <w:rPr>
          <w:rFonts w:cs="黑体" w:asciiTheme="minorEastAsia" w:hAnsiTheme="minorEastAsia"/>
          <w:sz w:val="24"/>
        </w:rPr>
      </w:pPr>
      <w:r>
        <w:rPr>
          <w:rFonts w:hint="eastAsia" w:cs="黑体" w:asciiTheme="minorEastAsia" w:hAnsiTheme="minorEastAsia"/>
          <w:sz w:val="24"/>
        </w:rPr>
        <w:t>2.1采购范围：</w:t>
      </w:r>
      <w:r>
        <w:rPr>
          <w:rFonts w:hint="eastAsia" w:asciiTheme="minorEastAsia" w:hAnsiTheme="minorEastAsia"/>
          <w:sz w:val="24"/>
        </w:rPr>
        <w:t>图文档管理系统实施服务设</w:t>
      </w:r>
      <w:r>
        <w:rPr>
          <w:rFonts w:asciiTheme="minorEastAsia" w:hAnsiTheme="minorEastAsia"/>
          <w:sz w:val="24"/>
        </w:rPr>
        <w:t>备采购</w:t>
      </w:r>
      <w:r>
        <w:rPr>
          <w:rFonts w:hint="eastAsia" w:asciiTheme="minorEastAsia" w:hAnsiTheme="minorEastAsia"/>
          <w:sz w:val="24"/>
        </w:rPr>
        <w:t>及有关技术服务、培训等，</w:t>
      </w:r>
      <w:r>
        <w:rPr>
          <w:rFonts w:asciiTheme="minorEastAsia" w:hAnsiTheme="minorEastAsia"/>
          <w:sz w:val="24"/>
        </w:rPr>
        <w:t>具体要求详见</w:t>
      </w:r>
      <w:r>
        <w:rPr>
          <w:rFonts w:hint="eastAsia" w:asciiTheme="minorEastAsia" w:hAnsiTheme="minorEastAsia"/>
          <w:sz w:val="24"/>
        </w:rPr>
        <w:t>第</w:t>
      </w:r>
      <w:r>
        <w:rPr>
          <w:rFonts w:asciiTheme="minorEastAsia" w:hAnsiTheme="minorEastAsia"/>
          <w:sz w:val="24"/>
        </w:rPr>
        <w:t>五章采购需求</w:t>
      </w:r>
      <w:r>
        <w:rPr>
          <w:rFonts w:hint="eastAsia" w:cs="黑体" w:asciiTheme="minorEastAsia" w:hAnsiTheme="minorEastAsia"/>
          <w:sz w:val="24"/>
        </w:rPr>
        <w:t>。</w:t>
      </w:r>
    </w:p>
    <w:p w14:paraId="5138108D">
      <w:pPr>
        <w:spacing w:line="360" w:lineRule="auto"/>
        <w:ind w:firstLine="480" w:firstLineChars="200"/>
        <w:rPr>
          <w:rFonts w:cs="黑体" w:asciiTheme="minorEastAsia" w:hAnsiTheme="minorEastAsia"/>
          <w:sz w:val="24"/>
        </w:rPr>
      </w:pPr>
      <w:r>
        <w:rPr>
          <w:rFonts w:hint="eastAsia" w:cs="黑体" w:asciiTheme="minorEastAsia" w:hAnsiTheme="minorEastAsia"/>
          <w:sz w:val="24"/>
        </w:rPr>
        <w:t>2.2相关要求：</w:t>
      </w:r>
    </w:p>
    <w:tbl>
      <w:tblPr>
        <w:tblStyle w:val="2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1"/>
        <w:gridCol w:w="1343"/>
        <w:gridCol w:w="4360"/>
        <w:gridCol w:w="1108"/>
        <w:gridCol w:w="1454"/>
      </w:tblGrid>
      <w:tr w14:paraId="0CBEE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8" w:hRule="atLeast"/>
          <w:jc w:val="center"/>
        </w:trPr>
        <w:tc>
          <w:tcPr>
            <w:tcW w:w="457" w:type="pct"/>
            <w:vAlign w:val="center"/>
          </w:tcPr>
          <w:p w14:paraId="380262ED">
            <w:pPr>
              <w:widowControl/>
              <w:jc w:val="center"/>
              <w:textAlignment w:val="center"/>
              <w:rPr>
                <w:rFonts w:asciiTheme="minorEastAsia" w:hAnsiTheme="minorEastAsia"/>
                <w:b/>
                <w:sz w:val="24"/>
              </w:rPr>
            </w:pPr>
            <w:r>
              <w:rPr>
                <w:rFonts w:hint="eastAsia" w:asciiTheme="minorEastAsia" w:hAnsiTheme="minorEastAsia"/>
                <w:b/>
                <w:sz w:val="24"/>
              </w:rPr>
              <w:t>序号</w:t>
            </w:r>
          </w:p>
        </w:tc>
        <w:tc>
          <w:tcPr>
            <w:tcW w:w="738" w:type="pct"/>
            <w:vAlign w:val="center"/>
          </w:tcPr>
          <w:p w14:paraId="67430BCA">
            <w:pPr>
              <w:widowControl/>
              <w:jc w:val="center"/>
              <w:textAlignment w:val="center"/>
              <w:rPr>
                <w:rFonts w:asciiTheme="minorEastAsia" w:hAnsiTheme="minorEastAsia"/>
                <w:b/>
                <w:sz w:val="24"/>
              </w:rPr>
            </w:pPr>
            <w:r>
              <w:rPr>
                <w:rFonts w:hint="eastAsia" w:asciiTheme="minorEastAsia" w:hAnsiTheme="minorEastAsia"/>
                <w:b/>
                <w:sz w:val="24"/>
              </w:rPr>
              <w:t>项目</w:t>
            </w:r>
            <w:r>
              <w:rPr>
                <w:rFonts w:asciiTheme="minorEastAsia" w:hAnsiTheme="minorEastAsia"/>
                <w:b/>
                <w:sz w:val="24"/>
              </w:rPr>
              <w:t>名称</w:t>
            </w:r>
          </w:p>
        </w:tc>
        <w:tc>
          <w:tcPr>
            <w:tcW w:w="2396" w:type="pct"/>
            <w:vAlign w:val="center"/>
          </w:tcPr>
          <w:p w14:paraId="4098FA66">
            <w:pPr>
              <w:widowControl/>
              <w:jc w:val="center"/>
              <w:textAlignment w:val="center"/>
              <w:rPr>
                <w:rFonts w:asciiTheme="minorEastAsia" w:hAnsiTheme="minorEastAsia"/>
                <w:b/>
                <w:sz w:val="24"/>
              </w:rPr>
            </w:pPr>
            <w:r>
              <w:rPr>
                <w:rFonts w:hint="eastAsia" w:asciiTheme="minorEastAsia" w:hAnsiTheme="minorEastAsia"/>
                <w:b/>
                <w:sz w:val="24"/>
              </w:rPr>
              <w:t>主要功能</w:t>
            </w:r>
            <w:r>
              <w:rPr>
                <w:rFonts w:asciiTheme="minorEastAsia" w:hAnsiTheme="minorEastAsia"/>
                <w:b/>
                <w:sz w:val="24"/>
              </w:rPr>
              <w:t>要求</w:t>
            </w:r>
          </w:p>
        </w:tc>
        <w:tc>
          <w:tcPr>
            <w:tcW w:w="609" w:type="pct"/>
            <w:vAlign w:val="center"/>
          </w:tcPr>
          <w:p w14:paraId="1DE01DF6">
            <w:pPr>
              <w:widowControl/>
              <w:jc w:val="center"/>
              <w:textAlignment w:val="center"/>
              <w:rPr>
                <w:rFonts w:asciiTheme="minorEastAsia" w:hAnsiTheme="minorEastAsia"/>
                <w:b/>
                <w:sz w:val="24"/>
              </w:rPr>
            </w:pPr>
            <w:r>
              <w:rPr>
                <w:rFonts w:hint="eastAsia" w:asciiTheme="minorEastAsia" w:hAnsiTheme="minorEastAsia"/>
                <w:b/>
                <w:sz w:val="24"/>
              </w:rPr>
              <w:t>服务期</w:t>
            </w:r>
          </w:p>
        </w:tc>
        <w:tc>
          <w:tcPr>
            <w:tcW w:w="799" w:type="pct"/>
            <w:vAlign w:val="center"/>
          </w:tcPr>
          <w:p w14:paraId="483C7F17">
            <w:pPr>
              <w:widowControl/>
              <w:jc w:val="center"/>
              <w:textAlignment w:val="center"/>
              <w:rPr>
                <w:rFonts w:asciiTheme="minorEastAsia" w:hAnsiTheme="minorEastAsia"/>
                <w:b/>
                <w:sz w:val="24"/>
              </w:rPr>
            </w:pPr>
            <w:r>
              <w:rPr>
                <w:rFonts w:hint="eastAsia" w:asciiTheme="minorEastAsia" w:hAnsiTheme="minorEastAsia"/>
                <w:b/>
                <w:sz w:val="24"/>
              </w:rPr>
              <w:t>服务地点</w:t>
            </w:r>
          </w:p>
        </w:tc>
      </w:tr>
      <w:tr w14:paraId="71BFB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5" w:hRule="atLeast"/>
          <w:jc w:val="center"/>
        </w:trPr>
        <w:tc>
          <w:tcPr>
            <w:tcW w:w="457" w:type="pct"/>
            <w:vAlign w:val="center"/>
          </w:tcPr>
          <w:p w14:paraId="3AA9C88A">
            <w:pPr>
              <w:widowControl/>
              <w:jc w:val="center"/>
              <w:rPr>
                <w:rFonts w:asciiTheme="minorEastAsia" w:hAnsiTheme="minorEastAsia"/>
                <w:sz w:val="24"/>
              </w:rPr>
            </w:pPr>
            <w:r>
              <w:rPr>
                <w:rFonts w:hint="eastAsia" w:asciiTheme="minorEastAsia" w:hAnsiTheme="minorEastAsia"/>
                <w:sz w:val="24"/>
              </w:rPr>
              <w:t>1</w:t>
            </w:r>
          </w:p>
        </w:tc>
        <w:tc>
          <w:tcPr>
            <w:tcW w:w="738" w:type="pct"/>
            <w:vAlign w:val="center"/>
          </w:tcPr>
          <w:p w14:paraId="5FDBC8F5">
            <w:pPr>
              <w:widowControl/>
              <w:jc w:val="center"/>
              <w:textAlignment w:val="center"/>
              <w:rPr>
                <w:rFonts w:asciiTheme="minorEastAsia" w:hAnsiTheme="minorEastAsia"/>
                <w:sz w:val="24"/>
              </w:rPr>
            </w:pPr>
            <w:r>
              <w:rPr>
                <w:rFonts w:hint="eastAsia" w:asciiTheme="minorEastAsia" w:hAnsiTheme="minorEastAsia"/>
                <w:sz w:val="24"/>
              </w:rPr>
              <w:t>图文档管理系统实施服务</w:t>
            </w:r>
          </w:p>
        </w:tc>
        <w:tc>
          <w:tcPr>
            <w:tcW w:w="2396" w:type="pct"/>
            <w:vAlign w:val="center"/>
          </w:tcPr>
          <w:p w14:paraId="79E69FBD">
            <w:pPr>
              <w:pStyle w:val="10"/>
              <w:rPr>
                <w:rFonts w:hint="eastAsia" w:asciiTheme="minorEastAsia" w:hAnsiTheme="minorEastAsia" w:eastAsiaTheme="minorEastAsia" w:cstheme="minorBidi"/>
                <w:bCs/>
                <w:kern w:val="2"/>
                <w:sz w:val="24"/>
                <w:szCs w:val="24"/>
                <w:lang w:val="en-US" w:eastAsia="zh-CN" w:bidi="ar-SA"/>
              </w:rPr>
            </w:pPr>
            <w:r>
              <w:rPr>
                <w:rFonts w:hint="eastAsia"/>
              </w:rPr>
              <w:t>1</w:t>
            </w:r>
            <w:r>
              <w:rPr>
                <w:rFonts w:hint="eastAsia" w:asciiTheme="minorEastAsia" w:hAnsiTheme="minorEastAsia" w:eastAsiaTheme="minorEastAsia" w:cstheme="minorBidi"/>
                <w:bCs/>
                <w:kern w:val="2"/>
                <w:sz w:val="24"/>
                <w:szCs w:val="24"/>
                <w:lang w:val="en-US" w:eastAsia="zh-CN" w:bidi="ar-SA"/>
              </w:rPr>
              <w:t>)</w:t>
            </w:r>
            <w:r>
              <w:rPr>
                <w:rFonts w:hint="eastAsia" w:asciiTheme="minorEastAsia" w:hAnsiTheme="minorEastAsia" w:eastAsiaTheme="minorEastAsia" w:cstheme="minorBidi"/>
                <w:bCs/>
                <w:kern w:val="2"/>
                <w:sz w:val="24"/>
                <w:szCs w:val="24"/>
                <w:lang w:val="en-US" w:eastAsia="zh-CN" w:bidi="ar-SA"/>
              </w:rPr>
              <w:tab/>
            </w:r>
            <w:r>
              <w:rPr>
                <w:rFonts w:hint="eastAsia" w:asciiTheme="minorEastAsia" w:hAnsiTheme="minorEastAsia" w:eastAsiaTheme="minorEastAsia" w:cstheme="minorBidi"/>
                <w:bCs/>
                <w:kern w:val="2"/>
                <w:sz w:val="24"/>
                <w:szCs w:val="24"/>
                <w:lang w:val="en-US" w:eastAsia="zh-CN" w:bidi="ar-SA"/>
              </w:rPr>
              <w:t>能够提供集中存储产品各类文档、数据的能力，在平台中对所完成的产品研制数据进行统一、集中管控；</w:t>
            </w:r>
          </w:p>
          <w:p w14:paraId="7DB06D7E">
            <w:pPr>
              <w:pStyle w:val="10"/>
              <w:rPr>
                <w:rFonts w:hint="eastAsia" w:asciiTheme="minorEastAsia" w:hAnsiTheme="minorEastAsia" w:eastAsiaTheme="minorEastAsia" w:cstheme="minorBidi"/>
                <w:bCs/>
                <w:kern w:val="2"/>
                <w:sz w:val="24"/>
                <w:szCs w:val="24"/>
                <w:lang w:val="en-US" w:eastAsia="zh-CN" w:bidi="ar-SA"/>
              </w:rPr>
            </w:pPr>
            <w:r>
              <w:rPr>
                <w:rFonts w:hint="eastAsia" w:asciiTheme="minorEastAsia" w:hAnsiTheme="minorEastAsia" w:eastAsiaTheme="minorEastAsia" w:cstheme="minorBidi"/>
                <w:bCs/>
                <w:kern w:val="2"/>
                <w:sz w:val="24"/>
                <w:szCs w:val="24"/>
                <w:lang w:val="en-US" w:eastAsia="zh-CN" w:bidi="ar-SA"/>
              </w:rPr>
              <w:t>2)</w:t>
            </w:r>
            <w:r>
              <w:rPr>
                <w:rFonts w:hint="eastAsia" w:asciiTheme="minorEastAsia" w:hAnsiTheme="minorEastAsia" w:eastAsiaTheme="minorEastAsia" w:cstheme="minorBidi"/>
                <w:bCs/>
                <w:kern w:val="2"/>
                <w:sz w:val="24"/>
                <w:szCs w:val="24"/>
                <w:lang w:val="en-US" w:eastAsia="zh-CN" w:bidi="ar-SA"/>
              </w:rPr>
              <w:tab/>
            </w:r>
            <w:r>
              <w:rPr>
                <w:rFonts w:hint="eastAsia" w:asciiTheme="minorEastAsia" w:hAnsiTheme="minorEastAsia" w:eastAsiaTheme="minorEastAsia" w:cstheme="minorBidi"/>
                <w:bCs/>
                <w:kern w:val="2"/>
                <w:sz w:val="24"/>
                <w:szCs w:val="24"/>
                <w:lang w:val="en-US" w:eastAsia="zh-CN" w:bidi="ar-SA"/>
              </w:rPr>
              <w:t>需要支持分类式编码、码段式编码等多种管控方式；</w:t>
            </w:r>
          </w:p>
          <w:p w14:paraId="1308DE90">
            <w:pPr>
              <w:pStyle w:val="10"/>
              <w:rPr>
                <w:rFonts w:hint="eastAsia" w:asciiTheme="minorEastAsia" w:hAnsiTheme="minorEastAsia" w:eastAsiaTheme="minorEastAsia" w:cstheme="minorBidi"/>
                <w:bCs/>
                <w:kern w:val="2"/>
                <w:sz w:val="24"/>
                <w:szCs w:val="24"/>
                <w:lang w:val="en-US" w:eastAsia="zh-CN" w:bidi="ar-SA"/>
              </w:rPr>
            </w:pPr>
            <w:r>
              <w:rPr>
                <w:rFonts w:hint="eastAsia" w:asciiTheme="minorEastAsia" w:hAnsiTheme="minorEastAsia" w:eastAsiaTheme="minorEastAsia" w:cstheme="minorBidi"/>
                <w:bCs/>
                <w:kern w:val="2"/>
                <w:sz w:val="24"/>
                <w:szCs w:val="24"/>
                <w:lang w:val="en-US" w:eastAsia="zh-CN" w:bidi="ar-SA"/>
              </w:rPr>
              <w:t>3)</w:t>
            </w:r>
            <w:r>
              <w:rPr>
                <w:rFonts w:hint="eastAsia" w:asciiTheme="minorEastAsia" w:hAnsiTheme="minorEastAsia" w:eastAsiaTheme="minorEastAsia" w:cstheme="minorBidi"/>
                <w:bCs/>
                <w:kern w:val="2"/>
                <w:sz w:val="24"/>
                <w:szCs w:val="24"/>
                <w:lang w:val="en-US" w:eastAsia="zh-CN" w:bidi="ar-SA"/>
              </w:rPr>
              <w:tab/>
            </w:r>
            <w:r>
              <w:rPr>
                <w:rFonts w:hint="eastAsia" w:asciiTheme="minorEastAsia" w:hAnsiTheme="minorEastAsia" w:eastAsiaTheme="minorEastAsia" w:cstheme="minorBidi"/>
                <w:bCs/>
                <w:kern w:val="2"/>
                <w:sz w:val="24"/>
                <w:szCs w:val="24"/>
                <w:lang w:val="en-US" w:eastAsia="zh-CN" w:bidi="ar-SA"/>
              </w:rPr>
              <w:t>实现模型的协同设计与管理，提供模型的定义、模型的协同设计、模型的在线评审（调用轻量化引擎模块对模型进行在线评审）等管理能力；</w:t>
            </w:r>
          </w:p>
          <w:p w14:paraId="478D530F">
            <w:pPr>
              <w:pStyle w:val="10"/>
              <w:rPr>
                <w:rFonts w:hint="eastAsia" w:asciiTheme="minorEastAsia" w:hAnsiTheme="minorEastAsia" w:eastAsiaTheme="minorEastAsia" w:cstheme="minorBidi"/>
                <w:bCs/>
                <w:kern w:val="2"/>
                <w:sz w:val="24"/>
                <w:szCs w:val="24"/>
                <w:lang w:val="en-US" w:eastAsia="zh-CN" w:bidi="ar-SA"/>
              </w:rPr>
            </w:pPr>
            <w:r>
              <w:rPr>
                <w:rFonts w:hint="eastAsia" w:asciiTheme="minorEastAsia" w:hAnsiTheme="minorEastAsia" w:eastAsiaTheme="minorEastAsia" w:cstheme="minorBidi"/>
                <w:bCs/>
                <w:kern w:val="2"/>
                <w:sz w:val="24"/>
                <w:szCs w:val="24"/>
                <w:lang w:val="en-US" w:eastAsia="zh-CN" w:bidi="ar-SA"/>
              </w:rPr>
              <w:t>4)</w:t>
            </w:r>
            <w:r>
              <w:rPr>
                <w:rFonts w:hint="eastAsia" w:asciiTheme="minorEastAsia" w:hAnsiTheme="minorEastAsia" w:eastAsiaTheme="minorEastAsia" w:cstheme="minorBidi"/>
                <w:bCs/>
                <w:kern w:val="2"/>
                <w:sz w:val="24"/>
                <w:szCs w:val="24"/>
                <w:lang w:val="en-US" w:eastAsia="zh-CN" w:bidi="ar-SA"/>
              </w:rPr>
              <w:tab/>
            </w:r>
            <w:r>
              <w:rPr>
                <w:rFonts w:hint="eastAsia" w:asciiTheme="minorEastAsia" w:hAnsiTheme="minorEastAsia" w:eastAsiaTheme="minorEastAsia" w:cstheme="minorBidi"/>
                <w:bCs/>
                <w:kern w:val="2"/>
                <w:sz w:val="24"/>
                <w:szCs w:val="24"/>
                <w:lang w:val="en-US" w:eastAsia="zh-CN" w:bidi="ar-SA"/>
              </w:rPr>
              <w:t>支持与中望CAD、Altium Designer、CATIA、NX、Creo等多种3D/2D工具进行集成，实现数据录入到系统中统一管控；</w:t>
            </w:r>
          </w:p>
          <w:p w14:paraId="46886569">
            <w:pPr>
              <w:pStyle w:val="10"/>
              <w:rPr>
                <w:rFonts w:hint="eastAsia" w:asciiTheme="minorEastAsia" w:hAnsiTheme="minorEastAsia" w:eastAsiaTheme="minorEastAsia" w:cstheme="minorBidi"/>
                <w:bCs/>
                <w:kern w:val="2"/>
                <w:sz w:val="24"/>
                <w:szCs w:val="24"/>
                <w:lang w:val="en-US" w:eastAsia="zh-CN" w:bidi="ar-SA"/>
              </w:rPr>
            </w:pPr>
            <w:r>
              <w:rPr>
                <w:rFonts w:hint="eastAsia" w:asciiTheme="minorEastAsia" w:hAnsiTheme="minorEastAsia" w:eastAsiaTheme="minorEastAsia" w:cstheme="minorBidi"/>
                <w:bCs/>
                <w:kern w:val="2"/>
                <w:sz w:val="24"/>
                <w:szCs w:val="24"/>
                <w:lang w:val="en-US" w:eastAsia="zh-CN" w:bidi="ar-SA"/>
              </w:rPr>
              <w:t>5)</w:t>
            </w:r>
            <w:r>
              <w:rPr>
                <w:rFonts w:hint="eastAsia" w:asciiTheme="minorEastAsia" w:hAnsiTheme="minorEastAsia" w:eastAsiaTheme="minorEastAsia" w:cstheme="minorBidi"/>
                <w:bCs/>
                <w:kern w:val="2"/>
                <w:sz w:val="24"/>
                <w:szCs w:val="24"/>
                <w:lang w:val="en-US" w:eastAsia="zh-CN" w:bidi="ar-SA"/>
              </w:rPr>
              <w:tab/>
            </w:r>
            <w:r>
              <w:rPr>
                <w:rFonts w:hint="eastAsia" w:asciiTheme="minorEastAsia" w:hAnsiTheme="minorEastAsia" w:eastAsiaTheme="minorEastAsia" w:cstheme="minorBidi"/>
                <w:bCs/>
                <w:kern w:val="2"/>
                <w:sz w:val="24"/>
                <w:szCs w:val="24"/>
                <w:lang w:val="en-US" w:eastAsia="zh-CN" w:bidi="ar-SA"/>
              </w:rPr>
              <w:t>从变更问题评估、变更申请、变更任务执行到变更通知数据释放全过程闭环的变更流程；</w:t>
            </w:r>
          </w:p>
          <w:p w14:paraId="60F05232">
            <w:pPr>
              <w:pStyle w:val="10"/>
              <w:rPr>
                <w:rFonts w:hint="eastAsia" w:asciiTheme="minorEastAsia" w:hAnsiTheme="minorEastAsia" w:eastAsiaTheme="minorEastAsia" w:cstheme="minorBidi"/>
                <w:bCs/>
                <w:kern w:val="2"/>
                <w:sz w:val="24"/>
                <w:szCs w:val="24"/>
                <w:lang w:val="en-US" w:eastAsia="zh-CN" w:bidi="ar-SA"/>
              </w:rPr>
            </w:pPr>
            <w:r>
              <w:rPr>
                <w:rFonts w:hint="eastAsia" w:asciiTheme="minorEastAsia" w:hAnsiTheme="minorEastAsia" w:cstheme="minorBidi"/>
                <w:bCs/>
                <w:kern w:val="2"/>
                <w:sz w:val="24"/>
                <w:szCs w:val="24"/>
                <w:lang w:val="en-US" w:eastAsia="zh-CN" w:bidi="ar-SA"/>
              </w:rPr>
              <w:t>6）</w:t>
            </w:r>
            <w:r>
              <w:rPr>
                <w:rFonts w:hint="eastAsia" w:asciiTheme="minorEastAsia" w:hAnsiTheme="minorEastAsia" w:eastAsiaTheme="minorEastAsia" w:cstheme="minorBidi"/>
                <w:bCs/>
                <w:kern w:val="2"/>
                <w:sz w:val="24"/>
                <w:szCs w:val="24"/>
                <w:lang w:val="en-US" w:eastAsia="zh-CN" w:bidi="ar-SA"/>
              </w:rPr>
              <w:t>能够实现VPM中标准件库数据的迁移。</w:t>
            </w:r>
          </w:p>
          <w:p w14:paraId="18A8B41E">
            <w:pPr>
              <w:widowControl/>
              <w:jc w:val="center"/>
              <w:textAlignment w:val="center"/>
              <w:rPr>
                <w:rFonts w:cs="Microsoft JhengHei" w:asciiTheme="minorEastAsia" w:hAnsiTheme="minorEastAsia"/>
                <w:bCs/>
                <w:sz w:val="24"/>
              </w:rPr>
            </w:pPr>
          </w:p>
        </w:tc>
        <w:tc>
          <w:tcPr>
            <w:tcW w:w="609" w:type="pct"/>
            <w:vAlign w:val="center"/>
          </w:tcPr>
          <w:p w14:paraId="7F92F186">
            <w:pPr>
              <w:widowControl/>
              <w:jc w:val="center"/>
              <w:textAlignment w:val="center"/>
              <w:rPr>
                <w:rFonts w:asciiTheme="minorEastAsia" w:hAnsiTheme="minorEastAsia"/>
                <w:bCs/>
                <w:sz w:val="24"/>
              </w:rPr>
            </w:pPr>
            <w:r>
              <w:rPr>
                <w:rFonts w:hint="eastAsia" w:asciiTheme="minorEastAsia" w:hAnsiTheme="minorEastAsia"/>
                <w:bCs/>
                <w:sz w:val="24"/>
              </w:rPr>
              <w:t>合同签订后</w:t>
            </w:r>
            <w:r>
              <w:rPr>
                <w:rFonts w:asciiTheme="minorEastAsia" w:hAnsiTheme="minorEastAsia"/>
                <w:bCs/>
                <w:sz w:val="24"/>
              </w:rPr>
              <w:t>2个月</w:t>
            </w:r>
          </w:p>
        </w:tc>
        <w:tc>
          <w:tcPr>
            <w:tcW w:w="799" w:type="pct"/>
            <w:vAlign w:val="center"/>
          </w:tcPr>
          <w:p w14:paraId="4DB1E854">
            <w:pPr>
              <w:widowControl/>
              <w:jc w:val="center"/>
              <w:textAlignment w:val="center"/>
              <w:rPr>
                <w:rFonts w:asciiTheme="minorEastAsia" w:hAnsiTheme="minorEastAsia"/>
                <w:bCs/>
                <w:sz w:val="24"/>
              </w:rPr>
            </w:pPr>
            <w:r>
              <w:rPr>
                <w:rFonts w:hint="eastAsia" w:asciiTheme="minorEastAsia" w:hAnsiTheme="minorEastAsia"/>
                <w:bCs/>
                <w:sz w:val="24"/>
              </w:rPr>
              <w:t>成都市双流长顺大道一段328号</w:t>
            </w:r>
          </w:p>
        </w:tc>
      </w:tr>
    </w:tbl>
    <w:p w14:paraId="2B0CEDDC">
      <w:pPr>
        <w:spacing w:line="360" w:lineRule="auto"/>
        <w:ind w:firstLine="480" w:firstLineChars="200"/>
        <w:rPr>
          <w:rFonts w:asciiTheme="minorEastAsia" w:hAnsiTheme="minorEastAsia"/>
          <w:sz w:val="24"/>
        </w:rPr>
      </w:pPr>
      <w:r>
        <w:rPr>
          <w:rFonts w:hint="eastAsia" w:asciiTheme="minorEastAsia" w:hAnsiTheme="minorEastAsia"/>
          <w:sz w:val="24"/>
        </w:rPr>
        <w:t>2.3质量标准：满足国家及行业相关规范、标准和采购人的相关要求。</w:t>
      </w:r>
    </w:p>
    <w:p w14:paraId="0BBB5D94">
      <w:pPr>
        <w:spacing w:line="360" w:lineRule="auto"/>
        <w:ind w:firstLine="482" w:firstLineChars="200"/>
        <w:rPr>
          <w:rFonts w:cs="黑体" w:asciiTheme="minorEastAsia" w:hAnsiTheme="minorEastAsia"/>
          <w:b/>
          <w:bCs/>
          <w:sz w:val="24"/>
        </w:rPr>
      </w:pPr>
      <w:r>
        <w:rPr>
          <w:rFonts w:hint="eastAsia" w:cs="黑体" w:asciiTheme="minorEastAsia" w:hAnsiTheme="minorEastAsia"/>
          <w:b/>
          <w:bCs/>
          <w:sz w:val="24"/>
        </w:rPr>
        <w:t>3.供应商资格要求</w:t>
      </w:r>
    </w:p>
    <w:p w14:paraId="0194022F">
      <w:pPr>
        <w:spacing w:line="360" w:lineRule="auto"/>
        <w:ind w:firstLine="480" w:firstLineChars="200"/>
        <w:rPr>
          <w:rFonts w:cs="黑体" w:asciiTheme="minorEastAsia" w:hAnsiTheme="minorEastAsia"/>
          <w:sz w:val="24"/>
        </w:rPr>
      </w:pPr>
      <w:r>
        <w:rPr>
          <w:rFonts w:hint="eastAsia" w:cs="黑体" w:asciiTheme="minorEastAsia" w:hAnsiTheme="minorEastAsia"/>
          <w:sz w:val="24"/>
        </w:rPr>
        <w:t xml:space="preserve">3.1供应商应依法设立且满足如下要求： </w:t>
      </w:r>
    </w:p>
    <w:p w14:paraId="08C424FA">
      <w:pPr>
        <w:pStyle w:val="2"/>
        <w:spacing w:line="360" w:lineRule="auto"/>
        <w:ind w:firstLine="480" w:firstLineChars="200"/>
        <w:rPr>
          <w:rFonts w:cs="黑体" w:asciiTheme="minorEastAsia" w:hAnsiTheme="minorEastAsia"/>
          <w:b/>
          <w:sz w:val="24"/>
          <w:lang w:eastAsia="zh-CN"/>
        </w:rPr>
      </w:pPr>
      <w:bookmarkStart w:id="2" w:name="_Hlk180402333"/>
      <w:r>
        <w:rPr>
          <w:rFonts w:hint="eastAsia" w:cs="黑体" w:asciiTheme="minorEastAsia" w:hAnsiTheme="minorEastAsia"/>
          <w:bCs/>
          <w:sz w:val="24"/>
          <w:lang w:eastAsia="zh-CN"/>
        </w:rPr>
        <w:t>（1）</w:t>
      </w:r>
      <w:r>
        <w:rPr>
          <w:rFonts w:hint="eastAsia" w:cs="黑体" w:asciiTheme="minorEastAsia" w:hAnsiTheme="minorEastAsia"/>
          <w:b/>
          <w:sz w:val="24"/>
          <w:lang w:eastAsia="zh-CN"/>
        </w:rPr>
        <w:t>依法设立的证明：</w:t>
      </w:r>
      <w:r>
        <w:rPr>
          <w:rFonts w:hint="eastAsia" w:cs="黑体" w:asciiTheme="minorEastAsia" w:hAnsiTheme="minorEastAsia"/>
          <w:bCs/>
          <w:sz w:val="24"/>
          <w:lang w:eastAsia="zh-CN"/>
        </w:rPr>
        <w:t>供应商</w:t>
      </w:r>
      <w:r>
        <w:rPr>
          <w:rFonts w:hint="eastAsia"/>
          <w:bCs/>
          <w:sz w:val="24"/>
          <w:lang w:eastAsia="zh-CN"/>
        </w:rPr>
        <w:t>须具有</w:t>
      </w:r>
      <w:r>
        <w:rPr>
          <w:rFonts w:hint="eastAsia"/>
          <w:sz w:val="24"/>
          <w:lang w:eastAsia="zh-CN"/>
        </w:rPr>
        <w:t>独立承担民事责任能力的在中华人民共和国境内注册的法人或其他组织，具备有效的营业执照</w:t>
      </w:r>
      <w:r>
        <w:rPr>
          <w:sz w:val="24"/>
          <w:lang w:eastAsia="zh-CN"/>
        </w:rPr>
        <w:t>或事业单位法人证书</w:t>
      </w:r>
      <w:r>
        <w:rPr>
          <w:rFonts w:hint="eastAsia"/>
          <w:sz w:val="24"/>
          <w:lang w:eastAsia="zh-CN"/>
        </w:rPr>
        <w:t>或其它营业登记证书。</w:t>
      </w:r>
    </w:p>
    <w:p w14:paraId="132068A8">
      <w:pPr>
        <w:pStyle w:val="2"/>
        <w:spacing w:line="360" w:lineRule="auto"/>
        <w:ind w:firstLine="480" w:firstLineChars="200"/>
        <w:rPr>
          <w:b/>
          <w:bCs/>
          <w:color w:val="000000"/>
          <w:sz w:val="24"/>
          <w:szCs w:val="24"/>
          <w:lang w:eastAsia="zh-CN"/>
        </w:rPr>
      </w:pPr>
      <w:r>
        <w:rPr>
          <w:rFonts w:hint="eastAsia"/>
          <w:color w:val="000000"/>
          <w:sz w:val="24"/>
          <w:szCs w:val="24"/>
          <w:lang w:eastAsia="zh-CN"/>
        </w:rPr>
        <w:t>（2）</w:t>
      </w:r>
      <w:r>
        <w:rPr>
          <w:rFonts w:hint="eastAsia"/>
          <w:b/>
          <w:bCs/>
          <w:color w:val="000000"/>
          <w:sz w:val="24"/>
          <w:szCs w:val="24"/>
          <w:lang w:eastAsia="zh-CN"/>
        </w:rPr>
        <w:t>资质要求：/</w:t>
      </w:r>
    </w:p>
    <w:p w14:paraId="72C9FB12">
      <w:pPr>
        <w:pStyle w:val="3"/>
        <w:numPr>
          <w:ilvl w:val="255"/>
          <w:numId w:val="0"/>
        </w:numPr>
        <w:tabs>
          <w:tab w:val="left" w:pos="2812"/>
          <w:tab w:val="left" w:pos="4300"/>
        </w:tabs>
        <w:adjustRightInd w:val="0"/>
        <w:snapToGrid w:val="0"/>
        <w:spacing w:line="360" w:lineRule="auto"/>
        <w:ind w:firstLine="480" w:firstLineChars="200"/>
        <w:jc w:val="both"/>
        <w:rPr>
          <w:color w:val="000000"/>
          <w:sz w:val="24"/>
          <w:szCs w:val="24"/>
          <w:lang w:eastAsia="zh-CN"/>
        </w:rPr>
      </w:pPr>
      <w:r>
        <w:rPr>
          <w:rFonts w:hint="eastAsia"/>
          <w:color w:val="000000"/>
          <w:sz w:val="24"/>
          <w:szCs w:val="24"/>
          <w:lang w:eastAsia="zh-CN"/>
        </w:rPr>
        <w:t>（3）</w:t>
      </w:r>
      <w:r>
        <w:rPr>
          <w:rFonts w:cs="黑体" w:asciiTheme="minorEastAsia" w:hAnsiTheme="minorEastAsia"/>
          <w:b/>
          <w:sz w:val="24"/>
          <w:lang w:eastAsia="zh-CN"/>
        </w:rPr>
        <w:t>财务要求：</w:t>
      </w:r>
      <w:r>
        <w:rPr>
          <w:rFonts w:hint="eastAsia"/>
          <w:color w:val="000000"/>
          <w:sz w:val="24"/>
          <w:szCs w:val="24"/>
          <w:lang w:eastAsia="zh-CN"/>
        </w:rPr>
        <w:t>供应商为企业单位的，应提供近</w:t>
      </w:r>
      <w:r>
        <w:rPr>
          <w:rFonts w:hint="eastAsia"/>
          <w:b/>
          <w:bCs/>
          <w:color w:val="000000"/>
          <w:sz w:val="24"/>
          <w:szCs w:val="24"/>
          <w:lang w:eastAsia="zh-CN"/>
        </w:rPr>
        <w:t>3年</w:t>
      </w:r>
      <w:r>
        <w:rPr>
          <w:rFonts w:hint="eastAsia" w:cs="黑体" w:asciiTheme="minorEastAsia" w:hAnsiTheme="minorEastAsia"/>
          <w:b/>
          <w:bCs/>
          <w:sz w:val="24"/>
          <w:lang w:eastAsia="zh-CN"/>
        </w:rPr>
        <w:t>（2023至2025年）</w:t>
      </w:r>
      <w:r>
        <w:rPr>
          <w:rFonts w:hint="eastAsia" w:cs="黑体" w:asciiTheme="minorEastAsia" w:hAnsiTheme="minorEastAsia"/>
          <w:sz w:val="24"/>
          <w:lang w:eastAsia="zh-CN"/>
        </w:rPr>
        <w:t>经会计师事务所或审计机构审计的财务会计报表，</w:t>
      </w:r>
      <w:r>
        <w:rPr>
          <w:rFonts w:hint="eastAsia" w:cs="黑体" w:asciiTheme="minorEastAsia" w:hAnsiTheme="minorEastAsia"/>
          <w:bCs/>
          <w:sz w:val="24"/>
          <w:lang w:eastAsia="zh-CN"/>
        </w:rPr>
        <w:t>近3年审计报告无保留意见</w:t>
      </w:r>
      <w:r>
        <w:rPr>
          <w:rFonts w:hint="eastAsia"/>
          <w:color w:val="000000"/>
          <w:sz w:val="24"/>
          <w:szCs w:val="24"/>
          <w:lang w:eastAsia="zh-CN"/>
        </w:rPr>
        <w:t>。成立不足3年的，可提供成立以来的经审计的财务会计报表。上述财务会计报表至少应包括</w:t>
      </w:r>
      <w:r>
        <w:rPr>
          <w:rFonts w:hint="eastAsia"/>
          <w:b/>
          <w:bCs/>
          <w:color w:val="000000"/>
          <w:sz w:val="24"/>
          <w:szCs w:val="24"/>
          <w:lang w:eastAsia="zh-CN"/>
        </w:rPr>
        <w:t>审计报告正文（由会计师事务所出具的审计报告必须由会计师事务所盖章、注册会计师签名和盖章，未经签字盖章的审计报告或有任何保留意见的报告视为无效审计报告，</w:t>
      </w:r>
      <w:r>
        <w:rPr>
          <w:rFonts w:hint="eastAsia" w:cs="黑体" w:asciiTheme="minorEastAsia" w:hAnsiTheme="minorEastAsia"/>
          <w:b/>
          <w:bCs/>
          <w:sz w:val="24"/>
          <w:lang w:eastAsia="zh-CN"/>
        </w:rPr>
        <w:t>应答无效</w:t>
      </w:r>
      <w:r>
        <w:rPr>
          <w:rFonts w:hint="eastAsia"/>
          <w:b/>
          <w:bCs/>
          <w:color w:val="000000"/>
          <w:sz w:val="24"/>
          <w:szCs w:val="24"/>
          <w:lang w:eastAsia="zh-CN"/>
        </w:rPr>
        <w:t>）、资产负债表、现金流量表、利润表的复印件，缺一不可。</w:t>
      </w:r>
      <w:r>
        <w:rPr>
          <w:rFonts w:hint="eastAsia"/>
          <w:color w:val="000000"/>
          <w:sz w:val="24"/>
          <w:szCs w:val="24"/>
          <w:lang w:eastAsia="zh-CN"/>
        </w:rPr>
        <w:t>供应商的成立时间少于上述规定年份的，应提供成立以来的财务状况表。供应商为事业单位的,不作要求。</w:t>
      </w:r>
    </w:p>
    <w:p w14:paraId="36FA09D8">
      <w:pPr>
        <w:spacing w:line="360" w:lineRule="auto"/>
        <w:ind w:firstLine="480" w:firstLineChars="200"/>
        <w:rPr>
          <w:rFonts w:cs="黑体" w:asciiTheme="minorEastAsia" w:hAnsiTheme="minorEastAsia"/>
          <w:b/>
          <w:sz w:val="24"/>
        </w:rPr>
      </w:pPr>
      <w:r>
        <w:rPr>
          <w:rFonts w:hint="eastAsia" w:cs="黑体" w:asciiTheme="minorEastAsia" w:hAnsiTheme="minorEastAsia"/>
          <w:bCs/>
          <w:sz w:val="24"/>
        </w:rPr>
        <w:t>（4）</w:t>
      </w:r>
      <w:r>
        <w:rPr>
          <w:rFonts w:cs="黑体" w:asciiTheme="minorEastAsia" w:hAnsiTheme="minorEastAsia"/>
          <w:b/>
          <w:sz w:val="24"/>
        </w:rPr>
        <w:t>业绩要求：</w:t>
      </w:r>
      <w:r>
        <w:rPr>
          <w:rFonts w:hint="eastAsia" w:cs="黑体" w:asciiTheme="minorEastAsia" w:hAnsiTheme="minorEastAsia"/>
          <w:bCs/>
          <w:sz w:val="24"/>
        </w:rPr>
        <w:t>供应商应提供</w:t>
      </w:r>
      <w:r>
        <w:rPr>
          <w:rFonts w:cs="黑体" w:asciiTheme="minorEastAsia" w:hAnsiTheme="minorEastAsia"/>
          <w:b/>
          <w:sz w:val="24"/>
        </w:rPr>
        <w:t>2023年1月1日至今已签订的软件开发业绩（PDM类或PLM类或图文档管理类）</w:t>
      </w:r>
      <w:r>
        <w:rPr>
          <w:rFonts w:cs="黑体" w:asciiTheme="minorEastAsia" w:hAnsiTheme="minorEastAsia"/>
          <w:bCs/>
          <w:sz w:val="24"/>
        </w:rPr>
        <w:t>的合同复印件</w:t>
      </w:r>
      <w:r>
        <w:rPr>
          <w:rFonts w:hint="eastAsia" w:cs="黑体" w:asciiTheme="minorEastAsia" w:hAnsiTheme="minorEastAsia"/>
          <w:bCs/>
          <w:sz w:val="24"/>
        </w:rPr>
        <w:t>。合同内容应能体现</w:t>
      </w:r>
      <w:r>
        <w:rPr>
          <w:rFonts w:hint="eastAsia" w:cs="黑体" w:asciiTheme="minorEastAsia" w:hAnsiTheme="minorEastAsia"/>
          <w:b/>
          <w:sz w:val="24"/>
        </w:rPr>
        <w:t>甲乙双方盖章页、合同签订或生效时间、标的物名称（如有必要提供技术协议或技术附件或供货清单）等主要内容。</w:t>
      </w:r>
      <w:r>
        <w:rPr>
          <w:rFonts w:hint="eastAsia" w:cs="黑体" w:asciiTheme="minorEastAsia" w:hAnsiTheme="minorEastAsia"/>
          <w:bCs/>
          <w:sz w:val="24"/>
        </w:rPr>
        <w:t>未按上述要求提供的业绩证明均不予认可。</w:t>
      </w:r>
    </w:p>
    <w:p w14:paraId="0AF0E407">
      <w:pPr>
        <w:spacing w:line="360" w:lineRule="auto"/>
        <w:ind w:firstLine="480" w:firstLineChars="200"/>
        <w:rPr>
          <w:rFonts w:cs="黑体" w:asciiTheme="minorEastAsia" w:hAnsiTheme="minorEastAsia"/>
          <w:b/>
          <w:sz w:val="24"/>
        </w:rPr>
      </w:pPr>
      <w:r>
        <w:rPr>
          <w:rFonts w:hint="eastAsia"/>
          <w:sz w:val="24"/>
        </w:rPr>
        <w:t>注：上述要求提供的业绩证明除合同形式外，也可为协议或任务书等其它具有法律约束力的契约文件。</w:t>
      </w:r>
    </w:p>
    <w:p w14:paraId="3B101A3E">
      <w:pPr>
        <w:spacing w:line="360" w:lineRule="auto"/>
        <w:ind w:firstLine="468" w:firstLineChars="200"/>
        <w:rPr>
          <w:rFonts w:asciiTheme="minorEastAsia" w:hAnsiTheme="minorEastAsia"/>
          <w:sz w:val="24"/>
        </w:rPr>
      </w:pPr>
      <w:r>
        <w:rPr>
          <w:rFonts w:hint="eastAsia" w:asciiTheme="minorEastAsia" w:hAnsiTheme="minorEastAsia"/>
          <w:spacing w:val="-3"/>
          <w:sz w:val="24"/>
        </w:rPr>
        <w:t>（5）</w:t>
      </w:r>
      <w:r>
        <w:rPr>
          <w:rFonts w:cs="黑体" w:asciiTheme="minorEastAsia" w:hAnsiTheme="minorEastAsia"/>
          <w:b/>
          <w:sz w:val="24"/>
        </w:rPr>
        <w:t>信誉要求：</w:t>
      </w:r>
      <w:r>
        <w:rPr>
          <w:rFonts w:hint="eastAsia" w:cs="黑体" w:asciiTheme="minorEastAsia" w:hAnsiTheme="minorEastAsia"/>
          <w:sz w:val="24"/>
        </w:rPr>
        <w:t>供应商近三年内在经营活动中不存在重大违法记录等违法行为</w:t>
      </w:r>
      <w:r>
        <w:rPr>
          <w:rFonts w:hint="eastAsia" w:cs="黑体" w:asciiTheme="minorEastAsia" w:hAnsiTheme="minorEastAsia"/>
          <w:sz w:val="24"/>
          <w:lang w:val="zh-CN"/>
        </w:rPr>
        <w:t>，严格遵守国家及采购人相关保密管理规定，提供承诺书。</w:t>
      </w:r>
      <w:r>
        <w:rPr>
          <w:rFonts w:cs="黑体" w:asciiTheme="minorEastAsia" w:hAnsiTheme="minorEastAsia"/>
          <w:sz w:val="24"/>
        </w:rPr>
        <w:t>（</w:t>
      </w:r>
      <w:r>
        <w:rPr>
          <w:rFonts w:hint="eastAsia" w:cs="黑体" w:asciiTheme="minorEastAsia" w:hAnsiTheme="minorEastAsia"/>
          <w:sz w:val="24"/>
        </w:rPr>
        <w:t>格</w:t>
      </w:r>
      <w:r>
        <w:rPr>
          <w:rFonts w:cs="黑体" w:asciiTheme="minorEastAsia" w:hAnsiTheme="minorEastAsia"/>
          <w:sz w:val="24"/>
        </w:rPr>
        <w:t>式</w:t>
      </w:r>
      <w:r>
        <w:rPr>
          <w:rFonts w:hint="eastAsia" w:cs="黑体" w:asciiTheme="minorEastAsia" w:hAnsiTheme="minorEastAsia"/>
          <w:sz w:val="24"/>
        </w:rPr>
        <w:t>见第六章应答文件格式-供应商的承诺书；若自拟承诺书，</w:t>
      </w:r>
      <w:r>
        <w:rPr>
          <w:rFonts w:hint="eastAsia" w:cs="黑体" w:asciiTheme="minorEastAsia" w:hAnsiTheme="minorEastAsia"/>
          <w:b/>
          <w:bCs/>
          <w:sz w:val="24"/>
        </w:rPr>
        <w:t>承诺书内容需涵盖“供应商的承诺书”的所有内容</w:t>
      </w:r>
      <w:r>
        <w:rPr>
          <w:rFonts w:hint="eastAsia" w:cs="黑体" w:asciiTheme="minorEastAsia" w:hAnsiTheme="minorEastAsia"/>
          <w:sz w:val="24"/>
        </w:rPr>
        <w:t>）</w:t>
      </w:r>
    </w:p>
    <w:p w14:paraId="05206F84">
      <w:pPr>
        <w:spacing w:line="360" w:lineRule="auto"/>
        <w:ind w:firstLine="470" w:firstLineChars="200"/>
        <w:rPr>
          <w:spacing w:val="-3"/>
          <w:sz w:val="24"/>
        </w:rPr>
      </w:pPr>
      <w:r>
        <w:rPr>
          <w:rFonts w:hint="eastAsia" w:asciiTheme="minorEastAsia" w:hAnsiTheme="minorEastAsia"/>
          <w:b/>
          <w:bCs/>
          <w:spacing w:val="-3"/>
          <w:sz w:val="24"/>
        </w:rPr>
        <w:t>（6）其它要求：</w:t>
      </w:r>
      <w:r>
        <w:rPr>
          <w:rFonts w:hint="eastAsia" w:cs="黑体" w:asciiTheme="minorEastAsia" w:hAnsiTheme="minorEastAsia"/>
          <w:bCs/>
          <w:sz w:val="24"/>
        </w:rPr>
        <w:t>本次采购</w:t>
      </w:r>
      <w:r>
        <w:rPr>
          <w:rFonts w:hint="eastAsia" w:cs="黑体" w:asciiTheme="minorEastAsia" w:hAnsiTheme="minorEastAsia"/>
          <w:b/>
          <w:bCs/>
          <w:sz w:val="24"/>
        </w:rPr>
        <w:t>不接受</w:t>
      </w:r>
      <w:r>
        <w:rPr>
          <w:rFonts w:hint="eastAsia" w:cs="黑体" w:asciiTheme="minorEastAsia" w:hAnsiTheme="minorEastAsia"/>
          <w:bCs/>
          <w:sz w:val="24"/>
        </w:rPr>
        <w:t>代理经销商参与。</w:t>
      </w:r>
    </w:p>
    <w:p w14:paraId="25951027">
      <w:pPr>
        <w:spacing w:line="360" w:lineRule="auto"/>
        <w:ind w:firstLine="480" w:firstLineChars="200"/>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3.2本次采购</w:t>
      </w:r>
      <w:r>
        <w:rPr>
          <w:rFonts w:hint="eastAsia" w:cs="黑体" w:asciiTheme="minorEastAsia" w:hAnsiTheme="minorEastAsia"/>
          <w:b/>
          <w:bCs/>
          <w:sz w:val="24"/>
        </w:rPr>
        <w:t>不接受</w:t>
      </w:r>
      <w:r>
        <w:rPr>
          <w:rFonts w:hint="eastAsia" w:asciiTheme="minorEastAsia" w:hAnsiTheme="minorEastAsia"/>
          <w:color w:val="000000" w:themeColor="text1"/>
          <w:sz w:val="24"/>
          <w14:textFill>
            <w14:solidFill>
              <w14:schemeClr w14:val="tx1"/>
            </w14:solidFill>
          </w14:textFill>
        </w:rPr>
        <w:t>联合体应答。</w:t>
      </w:r>
    </w:p>
    <w:bookmarkEnd w:id="2"/>
    <w:p w14:paraId="1D3DC004">
      <w:pPr>
        <w:tabs>
          <w:tab w:val="left" w:pos="2412"/>
        </w:tabs>
        <w:adjustRightInd w:val="0"/>
        <w:snapToGrid w:val="0"/>
        <w:ind w:firstLine="480"/>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3.3 资格审查方式：资格后审。</w:t>
      </w:r>
    </w:p>
    <w:p w14:paraId="5B947BC9">
      <w:pPr>
        <w:spacing w:line="360" w:lineRule="auto"/>
        <w:ind w:firstLine="482" w:firstLineChars="200"/>
        <w:rPr>
          <w:rFonts w:cs="黑体" w:asciiTheme="minorEastAsia" w:hAnsiTheme="minorEastAsia"/>
          <w:b/>
          <w:bCs/>
          <w:sz w:val="24"/>
        </w:rPr>
      </w:pPr>
      <w:r>
        <w:rPr>
          <w:rFonts w:hint="eastAsia" w:cs="黑体" w:asciiTheme="minorEastAsia" w:hAnsiTheme="minorEastAsia"/>
          <w:b/>
          <w:bCs/>
          <w:sz w:val="24"/>
        </w:rPr>
        <w:t>4.采购文件的获取</w:t>
      </w:r>
    </w:p>
    <w:p w14:paraId="1FDE9A96">
      <w:pPr>
        <w:spacing w:line="360" w:lineRule="auto"/>
        <w:ind w:firstLine="480" w:firstLineChars="200"/>
        <w:rPr>
          <w:rFonts w:ascii="宋体" w:hAnsi="宋体" w:cs="宋体"/>
          <w:kern w:val="0"/>
          <w:sz w:val="24"/>
        </w:rPr>
      </w:pPr>
      <w:bookmarkStart w:id="3" w:name="_Hlk180402444"/>
      <w:r>
        <w:rPr>
          <w:rFonts w:hint="eastAsia" w:ascii="宋体" w:hAnsi="宋体" w:cs="宋体"/>
          <w:kern w:val="0"/>
          <w:sz w:val="24"/>
        </w:rPr>
        <w:t>4.1</w:t>
      </w:r>
      <w:r>
        <w:rPr>
          <w:rFonts w:ascii="宋体" w:hAnsi="宋体" w:eastAsia="宋体"/>
          <w:sz w:val="24"/>
        </w:rPr>
        <w:t>凡有意参加</w:t>
      </w:r>
      <w:r>
        <w:rPr>
          <w:rFonts w:hint="eastAsia" w:ascii="宋体" w:hAnsi="宋体" w:eastAsia="宋体"/>
          <w:sz w:val="24"/>
        </w:rPr>
        <w:t>采购活动的</w:t>
      </w:r>
      <w:r>
        <w:rPr>
          <w:rFonts w:hint="eastAsia" w:ascii="宋体" w:hAnsi="宋体" w:cs="宋体"/>
          <w:kern w:val="0"/>
          <w:sz w:val="24"/>
        </w:rPr>
        <w:t>，请</w:t>
      </w:r>
      <w:r>
        <w:rPr>
          <w:rFonts w:hint="eastAsia" w:ascii="宋体" w:hAnsi="宋体" w:cs="宋体"/>
          <w:kern w:val="0"/>
          <w:sz w:val="24"/>
          <w:highlight w:val="none"/>
        </w:rPr>
        <w:t>于</w:t>
      </w:r>
      <w:r>
        <w:rPr>
          <w:rFonts w:hint="eastAsia" w:ascii="宋体" w:hAnsi="宋体" w:eastAsia="宋体" w:cs="宋体"/>
          <w:b/>
          <w:bCs/>
          <w:kern w:val="0"/>
          <w:sz w:val="24"/>
          <w:highlight w:val="none"/>
        </w:rPr>
        <w:t>2026年</w:t>
      </w:r>
      <w:r>
        <w:rPr>
          <w:rFonts w:hint="eastAsia" w:ascii="宋体" w:hAnsi="宋体" w:eastAsia="宋体" w:cs="宋体"/>
          <w:b/>
          <w:bCs/>
          <w:kern w:val="0"/>
          <w:sz w:val="24"/>
          <w:highlight w:val="none"/>
          <w:lang w:eastAsia="zh-CN"/>
        </w:rPr>
        <w:t>6月22日</w:t>
      </w:r>
      <w:r>
        <w:rPr>
          <w:rFonts w:hint="eastAsia" w:ascii="宋体" w:hAnsi="宋体" w:eastAsia="宋体" w:cs="宋体"/>
          <w:b/>
          <w:bCs/>
          <w:kern w:val="0"/>
          <w:sz w:val="24"/>
          <w:highlight w:val="none"/>
        </w:rPr>
        <w:t>至2026年</w:t>
      </w:r>
      <w:r>
        <w:rPr>
          <w:rFonts w:hint="eastAsia" w:ascii="宋体" w:hAnsi="宋体" w:eastAsia="宋体" w:cs="宋体"/>
          <w:b/>
          <w:bCs/>
          <w:kern w:val="0"/>
          <w:sz w:val="24"/>
          <w:highlight w:val="none"/>
          <w:lang w:eastAsia="zh-CN"/>
        </w:rPr>
        <w:t>6月</w:t>
      </w:r>
      <w:r>
        <w:rPr>
          <w:rFonts w:hint="eastAsia" w:ascii="宋体" w:hAnsi="宋体" w:eastAsia="宋体" w:cs="宋体"/>
          <w:b/>
          <w:bCs/>
          <w:kern w:val="0"/>
          <w:sz w:val="24"/>
          <w:highlight w:val="none"/>
          <w:lang w:val="en-US" w:eastAsia="zh-CN"/>
        </w:rPr>
        <w:t>29</w:t>
      </w:r>
      <w:r>
        <w:rPr>
          <w:rFonts w:hint="eastAsia" w:ascii="宋体" w:hAnsi="宋体" w:eastAsia="宋体" w:cs="宋体"/>
          <w:b/>
          <w:bCs/>
          <w:kern w:val="0"/>
          <w:sz w:val="24"/>
          <w:highlight w:val="none"/>
          <w:lang w:eastAsia="zh-CN"/>
        </w:rPr>
        <w:t>日</w:t>
      </w:r>
      <w:r>
        <w:rPr>
          <w:rFonts w:hint="eastAsia" w:ascii="宋体" w:hAnsi="宋体" w:eastAsia="宋体" w:cs="宋体"/>
          <w:b/>
          <w:bCs/>
          <w:kern w:val="0"/>
          <w:sz w:val="24"/>
          <w:highlight w:val="none"/>
        </w:rPr>
        <w:t>1</w:t>
      </w:r>
      <w:r>
        <w:rPr>
          <w:rFonts w:hint="eastAsia" w:ascii="宋体" w:hAnsi="宋体" w:eastAsia="宋体" w:cs="宋体"/>
          <w:b/>
          <w:bCs/>
          <w:kern w:val="0"/>
          <w:sz w:val="24"/>
        </w:rPr>
        <w:t>7时</w:t>
      </w:r>
      <w:r>
        <w:rPr>
          <w:rFonts w:hint="eastAsia" w:ascii="宋体" w:hAnsi="宋体" w:cs="宋体"/>
          <w:kern w:val="0"/>
          <w:sz w:val="24"/>
        </w:rPr>
        <w:t>(北京时间)，登录中国核工业集团电子采购平台（https://www.cnncecp.com/，注册操作咨询电话021-61592300）注册并完成“我要报名”，登录参与本项目</w:t>
      </w:r>
      <w:bookmarkStart w:id="258" w:name="_GoBack"/>
      <w:bookmarkEnd w:id="258"/>
      <w:r>
        <w:rPr>
          <w:rFonts w:hint="eastAsia" w:ascii="宋体" w:hAnsi="宋体" w:cs="宋体"/>
          <w:kern w:val="0"/>
          <w:sz w:val="24"/>
        </w:rPr>
        <w:t>。供应商登录后点击“我要参与”，选择要参与的项目，按照《中国核工业集团有限公司电子采购平台供应商操作手册》完成付费后即可下载采购文件（见平台首页服务中心-供应商服务，注册操作咨询电话</w:t>
      </w:r>
      <w:bookmarkStart w:id="4" w:name="_Hlk68796975"/>
      <w:r>
        <w:rPr>
          <w:rFonts w:hint="eastAsia" w:ascii="宋体" w:hAnsi="宋体" w:cs="宋体"/>
          <w:kern w:val="0"/>
          <w:sz w:val="24"/>
        </w:rPr>
        <w:t>021-61592300</w:t>
      </w:r>
      <w:bookmarkEnd w:id="4"/>
      <w:r>
        <w:rPr>
          <w:rFonts w:hint="eastAsia" w:ascii="宋体" w:hAnsi="宋体" w:cs="宋体"/>
          <w:kern w:val="0"/>
          <w:sz w:val="24"/>
        </w:rPr>
        <w:t>）。</w:t>
      </w:r>
    </w:p>
    <w:bookmarkEnd w:id="3"/>
    <w:p w14:paraId="5F5801FF">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4.2 采购文件每套售价200元（开标前一周内登陆购买文件时填写的有效的电子邮箱下载标书款发票），售后不退。</w:t>
      </w:r>
    </w:p>
    <w:p w14:paraId="3454D271">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4.3中国核工业集团有限公司电子采购平台将在发售期结束后自动关闭参与入口，未能按时完成参与、购买采购文件相关工作的供应商不得参与应答。</w:t>
      </w:r>
    </w:p>
    <w:p w14:paraId="2C741C22">
      <w:pPr>
        <w:spacing w:line="360" w:lineRule="auto"/>
        <w:ind w:firstLine="482" w:firstLineChars="200"/>
        <w:rPr>
          <w:rFonts w:ascii="宋体" w:hAnsi="宋体" w:eastAsia="宋体" w:cs="宋体"/>
          <w:sz w:val="24"/>
        </w:rPr>
      </w:pPr>
      <w:r>
        <w:rPr>
          <w:rFonts w:hint="eastAsia" w:ascii="宋体" w:hAnsi="宋体" w:eastAsia="宋体" w:cs="宋体"/>
          <w:b/>
          <w:bCs/>
          <w:sz w:val="24"/>
        </w:rPr>
        <w:t>5.应答文件的递交</w:t>
      </w:r>
    </w:p>
    <w:p w14:paraId="5B3B5BB3">
      <w:pPr>
        <w:spacing w:line="360" w:lineRule="auto"/>
        <w:ind w:firstLine="480" w:firstLineChars="200"/>
        <w:rPr>
          <w:rFonts w:ascii="宋体" w:hAnsi="宋体" w:eastAsia="宋体" w:cs="宋体"/>
          <w:sz w:val="24"/>
        </w:rPr>
      </w:pPr>
      <w:r>
        <w:rPr>
          <w:rFonts w:hint="eastAsia" w:ascii="宋体" w:hAnsi="宋体" w:eastAsia="宋体" w:cs="宋体"/>
          <w:sz w:val="24"/>
        </w:rPr>
        <w:t>5.1递交应答文件方式：</w:t>
      </w:r>
      <w:bookmarkStart w:id="5" w:name="_Hlk183010455"/>
      <w:r>
        <w:rPr>
          <w:rFonts w:hint="eastAsia" w:ascii="宋体" w:hAnsi="宋体" w:eastAsia="宋体" w:cs="宋体"/>
          <w:sz w:val="24"/>
        </w:rPr>
        <w:t>供应商必须在递交应答文件截止时间前登录</w:t>
      </w:r>
      <w:r>
        <w:rPr>
          <w:rFonts w:hint="eastAsia" w:ascii="宋体" w:hAnsi="宋体" w:eastAsia="宋体" w:cs="宋体"/>
          <w:b/>
          <w:bCs/>
          <w:sz w:val="24"/>
          <w:u w:val="single"/>
        </w:rPr>
        <w:t>中国核工业集团电子采购平台上传电子版应答文件（同时须在平台上进行首次报价）</w:t>
      </w:r>
      <w:r>
        <w:rPr>
          <w:rFonts w:hint="eastAsia" w:ascii="宋体" w:hAnsi="宋体" w:eastAsia="宋体" w:cs="宋体"/>
          <w:sz w:val="24"/>
        </w:rPr>
        <w:t>及线下递交纸质版应答文件。</w:t>
      </w:r>
    </w:p>
    <w:bookmarkEnd w:id="5"/>
    <w:p w14:paraId="3F026999">
      <w:pPr>
        <w:spacing w:line="360" w:lineRule="auto"/>
        <w:ind w:firstLine="480" w:firstLineChars="200"/>
        <w:rPr>
          <w:rFonts w:ascii="宋体" w:hAnsi="宋体" w:eastAsia="宋体" w:cs="宋体"/>
          <w:b/>
          <w:spacing w:val="-1"/>
          <w:sz w:val="24"/>
        </w:rPr>
      </w:pPr>
      <w:r>
        <w:rPr>
          <w:rFonts w:hint="eastAsia" w:ascii="宋体" w:hAnsi="宋体" w:eastAsia="宋体" w:cs="宋体"/>
          <w:sz w:val="24"/>
        </w:rPr>
        <w:t>5.2递交应答文件截止时间</w:t>
      </w:r>
      <w:r>
        <w:rPr>
          <w:rFonts w:hint="eastAsia" w:ascii="宋体" w:hAnsi="宋体" w:eastAsia="宋体" w:cs="宋体"/>
          <w:sz w:val="24"/>
          <w:highlight w:val="none"/>
        </w:rPr>
        <w:t>为</w:t>
      </w:r>
      <w:r>
        <w:rPr>
          <w:rFonts w:hint="eastAsia" w:ascii="宋体" w:hAnsi="宋体" w:eastAsia="宋体" w:cs="宋体"/>
          <w:b/>
          <w:sz w:val="24"/>
          <w:highlight w:val="none"/>
          <w:u w:val="single"/>
        </w:rPr>
        <w:t>2026年</w:t>
      </w:r>
      <w:r>
        <w:rPr>
          <w:rFonts w:hint="eastAsia" w:ascii="宋体" w:hAnsi="宋体" w:eastAsia="宋体" w:cs="宋体"/>
          <w:b/>
          <w:sz w:val="24"/>
          <w:highlight w:val="none"/>
          <w:u w:val="single"/>
          <w:lang w:val="en-US" w:eastAsia="zh-CN"/>
        </w:rPr>
        <w:t>7</w:t>
      </w:r>
      <w:r>
        <w:rPr>
          <w:rFonts w:hint="eastAsia" w:ascii="宋体" w:hAnsi="宋体" w:eastAsia="宋体" w:cs="宋体"/>
          <w:b/>
          <w:sz w:val="24"/>
          <w:highlight w:val="none"/>
          <w:u w:val="single"/>
        </w:rPr>
        <w:t>月</w:t>
      </w:r>
      <w:r>
        <w:rPr>
          <w:rFonts w:hint="eastAsia" w:ascii="宋体" w:hAnsi="宋体" w:eastAsia="宋体" w:cs="宋体"/>
          <w:b/>
          <w:sz w:val="24"/>
          <w:highlight w:val="none"/>
          <w:u w:val="single"/>
          <w:lang w:val="en-US" w:eastAsia="zh-CN"/>
        </w:rPr>
        <w:t>1</w:t>
      </w:r>
      <w:r>
        <w:rPr>
          <w:rFonts w:hint="eastAsia" w:ascii="宋体" w:hAnsi="宋体" w:eastAsia="宋体" w:cs="宋体"/>
          <w:b/>
          <w:sz w:val="24"/>
          <w:highlight w:val="none"/>
          <w:u w:val="single"/>
        </w:rPr>
        <w:t>日</w:t>
      </w:r>
      <w:r>
        <w:rPr>
          <w:rFonts w:hint="eastAsia" w:ascii="宋体" w:hAnsi="宋体" w:eastAsia="宋体" w:cs="宋体"/>
          <w:b/>
          <w:sz w:val="24"/>
          <w:highlight w:val="none"/>
          <w:u w:val="single"/>
          <w:lang w:val="en-US" w:eastAsia="zh-CN"/>
        </w:rPr>
        <w:t>14</w:t>
      </w:r>
      <w:r>
        <w:rPr>
          <w:rFonts w:hint="eastAsia" w:ascii="宋体" w:hAnsi="宋体" w:eastAsia="宋体" w:cs="宋体"/>
          <w:b/>
          <w:sz w:val="24"/>
          <w:highlight w:val="none"/>
        </w:rPr>
        <w:t>时</w:t>
      </w:r>
      <w:r>
        <w:rPr>
          <w:rFonts w:hint="eastAsia" w:ascii="宋体" w:hAnsi="宋体" w:eastAsia="宋体" w:cs="宋体"/>
          <w:b/>
          <w:sz w:val="24"/>
          <w:highlight w:val="none"/>
          <w:u w:val="single"/>
          <w:lang w:val="en-US" w:eastAsia="zh-CN"/>
        </w:rPr>
        <w:t>0</w:t>
      </w:r>
      <w:r>
        <w:rPr>
          <w:rFonts w:hint="eastAsia" w:ascii="宋体" w:hAnsi="宋体" w:eastAsia="宋体" w:cs="宋体"/>
          <w:b/>
          <w:sz w:val="24"/>
          <w:u w:val="single"/>
        </w:rPr>
        <w:t>0</w:t>
      </w:r>
      <w:r>
        <w:rPr>
          <w:rFonts w:hint="eastAsia" w:ascii="宋体" w:hAnsi="宋体" w:eastAsia="宋体" w:cs="宋体"/>
          <w:b/>
          <w:sz w:val="24"/>
        </w:rPr>
        <w:t>分</w:t>
      </w:r>
      <w:r>
        <w:rPr>
          <w:rFonts w:hint="eastAsia" w:ascii="宋体" w:hAnsi="宋体" w:eastAsia="宋体" w:cs="宋体"/>
          <w:sz w:val="24"/>
        </w:rPr>
        <w:t>，递交应答文件地点为</w:t>
      </w:r>
      <w:bookmarkStart w:id="6" w:name="_Hlk183010471"/>
      <w:r>
        <w:rPr>
          <w:rFonts w:hint="eastAsia" w:ascii="宋体" w:hAnsi="宋体" w:eastAsia="宋体" w:cs="宋体"/>
          <w:b/>
          <w:color w:val="000000"/>
          <w:spacing w:val="8"/>
          <w:sz w:val="24"/>
          <w:u w:val="single"/>
        </w:rPr>
        <w:t>金发科技国际科创中心3栋5楼会议室（四川省成都市双流区牧华路三段661号）</w:t>
      </w:r>
      <w:r>
        <w:rPr>
          <w:rFonts w:hint="eastAsia" w:ascii="宋体" w:hAnsi="宋体" w:eastAsia="宋体" w:cs="宋体"/>
          <w:b/>
          <w:bCs/>
          <w:sz w:val="24"/>
          <w:u w:val="single"/>
        </w:rPr>
        <w:t>。</w:t>
      </w:r>
      <w:bookmarkEnd w:id="6"/>
    </w:p>
    <w:p w14:paraId="040BCDFF">
      <w:pPr>
        <w:spacing w:line="360" w:lineRule="auto"/>
        <w:ind w:firstLine="480" w:firstLineChars="200"/>
        <w:rPr>
          <w:rFonts w:ascii="宋体" w:hAnsi="宋体" w:eastAsia="宋体" w:cs="宋体"/>
          <w:sz w:val="24"/>
        </w:rPr>
      </w:pPr>
      <w:r>
        <w:rPr>
          <w:rFonts w:hint="eastAsia" w:ascii="宋体" w:hAnsi="宋体" w:eastAsia="宋体" w:cs="宋体"/>
          <w:sz w:val="24"/>
        </w:rPr>
        <w:t>5.3应答文件应按采购文件规定时间、地点递交，逾期送达的、未送达指定地点的、未按要求上传平台的、或者不按照采购文件要求密封的应答文件，采购单位将予以拒收。</w:t>
      </w:r>
    </w:p>
    <w:p w14:paraId="02F2FF98">
      <w:pPr>
        <w:spacing w:line="360" w:lineRule="auto"/>
        <w:ind w:firstLine="480" w:firstLineChars="200"/>
        <w:rPr>
          <w:rFonts w:ascii="宋体" w:hAnsi="宋体" w:eastAsia="宋体" w:cs="宋体"/>
          <w:bCs/>
          <w:color w:val="000000"/>
          <w:spacing w:val="8"/>
          <w:sz w:val="24"/>
        </w:rPr>
      </w:pPr>
      <w:r>
        <w:rPr>
          <w:rFonts w:hint="eastAsia" w:ascii="宋体" w:hAnsi="宋体" w:eastAsia="宋体" w:cs="宋体"/>
          <w:sz w:val="24"/>
        </w:rPr>
        <w:t>5.4</w:t>
      </w:r>
      <w:r>
        <w:rPr>
          <w:rFonts w:hint="eastAsia" w:ascii="宋体" w:hAnsi="宋体" w:eastAsia="宋体" w:cs="宋体"/>
          <w:b/>
          <w:sz w:val="24"/>
        </w:rPr>
        <w:t>因供应商自身原因无法现场递交应答文件的</w:t>
      </w:r>
      <w:r>
        <w:rPr>
          <w:rFonts w:hint="eastAsia" w:ascii="宋体" w:hAnsi="宋体" w:eastAsia="宋体" w:cs="宋体"/>
          <w:bCs/>
          <w:sz w:val="24"/>
        </w:rPr>
        <w:t>，请将密封完好的应答文件在递交应答文件截止时间前邮寄至采购代理机构，</w:t>
      </w:r>
      <w:r>
        <w:rPr>
          <w:rFonts w:hint="eastAsia" w:ascii="宋体" w:hAnsi="宋体" w:eastAsia="宋体" w:cs="宋体"/>
          <w:bCs/>
          <w:sz w:val="24"/>
          <w:u w:val="single"/>
        </w:rPr>
        <w:t>邮寄地址：</w:t>
      </w:r>
      <w:r>
        <w:rPr>
          <w:rFonts w:hint="eastAsia" w:ascii="宋体" w:hAnsi="宋体" w:eastAsia="宋体" w:cs="宋体"/>
          <w:b/>
          <w:color w:val="000000"/>
          <w:spacing w:val="8"/>
          <w:sz w:val="24"/>
          <w:u w:val="single"/>
        </w:rPr>
        <w:t>金发科技国际科创中心3栋5楼（四川省成都市双流区牧华路三段661号）</w:t>
      </w:r>
      <w:r>
        <w:rPr>
          <w:rFonts w:hint="eastAsia" w:ascii="宋体" w:hAnsi="宋体" w:eastAsia="宋体" w:cs="宋体"/>
          <w:bCs/>
          <w:color w:val="000000"/>
          <w:spacing w:val="8"/>
          <w:sz w:val="24"/>
        </w:rPr>
        <w:t>，收件人：采购代理机构联系人。供应商自行承担因邮寄产生的未按时送达、应答文件破损或遗失等风险。</w:t>
      </w:r>
    </w:p>
    <w:p w14:paraId="255DDABE">
      <w:pPr>
        <w:spacing w:line="360" w:lineRule="auto"/>
        <w:ind w:firstLine="240" w:firstLineChars="100"/>
        <w:rPr>
          <w:rFonts w:ascii="宋体" w:hAnsi="宋体" w:eastAsia="宋体" w:cs="宋体"/>
          <w:bCs/>
          <w:color w:val="000000"/>
          <w:spacing w:val="8"/>
          <w:sz w:val="24"/>
        </w:rPr>
      </w:pPr>
      <w:r>
        <w:rPr>
          <w:rFonts w:hint="eastAsia" w:ascii="宋体" w:hAnsi="宋体" w:eastAsia="宋体" w:cs="宋体"/>
          <w:sz w:val="24"/>
        </w:rPr>
        <w:t xml:space="preserve">5.5 </w:t>
      </w:r>
      <w:r>
        <w:rPr>
          <w:rFonts w:hint="eastAsia" w:ascii="宋体" w:hAnsi="宋体" w:eastAsia="宋体" w:cs="宋体"/>
          <w:b/>
          <w:bCs/>
          <w:sz w:val="24"/>
        </w:rPr>
        <w:t>重要提示：本项目采购文件标志为非密的，供应商递交的</w:t>
      </w:r>
      <w:r>
        <w:rPr>
          <w:rFonts w:hint="eastAsia" w:ascii="宋体" w:hAnsi="宋体" w:eastAsia="宋体" w:cs="宋体"/>
          <w:b/>
          <w:bCs/>
          <w:sz w:val="24"/>
          <w:u w:val="single"/>
        </w:rPr>
        <w:t>应答文件封面中，凡带有国家秘密标志（任何含有国家秘密字眼的标志）的、工作秘密（敏感信息）标志（含内部、商密等标志），一律予以拒收。</w:t>
      </w:r>
    </w:p>
    <w:p w14:paraId="72CEFE29">
      <w:pPr>
        <w:spacing w:line="360" w:lineRule="auto"/>
        <w:ind w:firstLine="482" w:firstLineChars="200"/>
        <w:rPr>
          <w:rFonts w:ascii="宋体" w:hAnsi="宋体" w:eastAsia="宋体" w:cs="宋体"/>
          <w:b/>
          <w:bCs/>
          <w:sz w:val="24"/>
        </w:rPr>
      </w:pPr>
      <w:r>
        <w:rPr>
          <w:rFonts w:hint="eastAsia" w:ascii="宋体" w:hAnsi="宋体" w:eastAsia="宋体" w:cs="宋体"/>
          <w:b/>
          <w:bCs/>
          <w:sz w:val="24"/>
        </w:rPr>
        <w:t>6.应答文件开启时间和地点</w:t>
      </w:r>
    </w:p>
    <w:p w14:paraId="5E0A3507">
      <w:pPr>
        <w:spacing w:line="360" w:lineRule="auto"/>
        <w:ind w:firstLine="480" w:firstLineChars="200"/>
        <w:jc w:val="left"/>
        <w:rPr>
          <w:rFonts w:ascii="宋体" w:hAnsi="宋体" w:eastAsia="宋体" w:cs="宋体"/>
          <w:sz w:val="24"/>
        </w:rPr>
      </w:pPr>
      <w:r>
        <w:rPr>
          <w:rFonts w:hint="eastAsia" w:ascii="宋体" w:hAnsi="宋体" w:eastAsia="宋体" w:cs="宋体"/>
          <w:sz w:val="24"/>
        </w:rPr>
        <w:t>6.1采购单位在本项目递交应答文件截止时间</w:t>
      </w:r>
      <w:r>
        <w:rPr>
          <w:rFonts w:hint="eastAsia" w:ascii="宋体" w:hAnsi="宋体" w:eastAsia="宋体" w:cs="宋体"/>
          <w:b/>
          <w:bCs/>
          <w:sz w:val="24"/>
          <w:u w:val="single"/>
        </w:rPr>
        <w:t>不公开</w:t>
      </w:r>
      <w:r>
        <w:rPr>
          <w:rFonts w:hint="eastAsia" w:ascii="宋体" w:hAnsi="宋体" w:eastAsia="宋体" w:cs="宋体"/>
          <w:sz w:val="24"/>
        </w:rPr>
        <w:t>开启应答文件，地点为应答文件递交地点。</w:t>
      </w:r>
    </w:p>
    <w:p w14:paraId="65DCD36D">
      <w:pPr>
        <w:spacing w:line="360" w:lineRule="auto"/>
        <w:ind w:firstLine="480" w:firstLineChars="200"/>
        <w:jc w:val="left"/>
        <w:rPr>
          <w:rFonts w:cs="黑体" w:asciiTheme="minorEastAsia" w:hAnsiTheme="minorEastAsia"/>
          <w:sz w:val="24"/>
        </w:rPr>
      </w:pPr>
      <w:r>
        <w:rPr>
          <w:rFonts w:hint="eastAsia" w:cs="黑体" w:asciiTheme="minorEastAsia" w:hAnsiTheme="minorEastAsia"/>
          <w:sz w:val="24"/>
        </w:rPr>
        <w:t>6.2递交应答文件的供应商应委派代表准时参加谈判活动，与每一供应商进行谈判的具体时间另行通知。谈判地点同应答文件</w:t>
      </w:r>
      <w:r>
        <w:rPr>
          <w:rFonts w:cs="黑体" w:asciiTheme="minorEastAsia" w:hAnsiTheme="minorEastAsia"/>
          <w:sz w:val="24"/>
        </w:rPr>
        <w:t>递交地点</w:t>
      </w:r>
      <w:r>
        <w:rPr>
          <w:rFonts w:hint="eastAsia" w:cs="黑体" w:asciiTheme="minorEastAsia" w:hAnsiTheme="minorEastAsia"/>
          <w:sz w:val="24"/>
        </w:rPr>
        <w:t>。供应商不能参与现场谈判的，可以采用电话、视频等线上会议的形式进行谈判。</w:t>
      </w:r>
    </w:p>
    <w:p w14:paraId="44CB3903">
      <w:pPr>
        <w:spacing w:line="360" w:lineRule="auto"/>
        <w:ind w:firstLine="482" w:firstLineChars="200"/>
        <w:rPr>
          <w:rFonts w:cs="黑体" w:asciiTheme="minorEastAsia" w:hAnsiTheme="minorEastAsia"/>
          <w:b/>
          <w:bCs/>
          <w:sz w:val="24"/>
        </w:rPr>
      </w:pPr>
      <w:r>
        <w:rPr>
          <w:rFonts w:hint="eastAsia" w:cs="黑体" w:asciiTheme="minorEastAsia" w:hAnsiTheme="minorEastAsia"/>
          <w:b/>
          <w:bCs/>
          <w:sz w:val="24"/>
        </w:rPr>
        <w:t>7.发布公告的媒介</w:t>
      </w:r>
    </w:p>
    <w:p w14:paraId="65484A68">
      <w:pPr>
        <w:spacing w:line="360" w:lineRule="auto"/>
        <w:ind w:firstLine="480" w:firstLineChars="200"/>
        <w:rPr>
          <w:rFonts w:cs="黑体" w:asciiTheme="minorEastAsia" w:hAnsiTheme="minorEastAsia"/>
          <w:sz w:val="24"/>
        </w:rPr>
      </w:pPr>
      <w:r>
        <w:rPr>
          <w:rFonts w:hint="eastAsia" w:cs="黑体" w:asciiTheme="minorEastAsia" w:hAnsiTheme="minorEastAsia"/>
          <w:sz w:val="24"/>
        </w:rPr>
        <w:t>本次谈判采购公告在中国招标投标公共服务平台、中国核工业集团电子采购</w:t>
      </w:r>
      <w:r>
        <w:rPr>
          <w:rFonts w:hint="eastAsia" w:ascii="宋体" w:hAnsi="宋体" w:cs="宋体"/>
          <w:kern w:val="0"/>
          <w:sz w:val="24"/>
        </w:rPr>
        <w:t>平台</w:t>
      </w:r>
      <w:r>
        <w:rPr>
          <w:rFonts w:hint="eastAsia"/>
          <w:sz w:val="24"/>
        </w:rPr>
        <w:t>上</w:t>
      </w:r>
      <w:r>
        <w:rPr>
          <w:rFonts w:hint="eastAsia" w:cs="黑体" w:asciiTheme="minorEastAsia" w:hAnsiTheme="minorEastAsia"/>
          <w:sz w:val="24"/>
        </w:rPr>
        <w:t>发布。</w:t>
      </w:r>
    </w:p>
    <w:p w14:paraId="5ABC2DF3">
      <w:pPr>
        <w:spacing w:line="360" w:lineRule="auto"/>
        <w:ind w:firstLine="482" w:firstLineChars="200"/>
        <w:rPr>
          <w:rFonts w:cs="黑体" w:asciiTheme="minorEastAsia" w:hAnsiTheme="minorEastAsia"/>
          <w:sz w:val="24"/>
        </w:rPr>
      </w:pPr>
      <w:r>
        <w:rPr>
          <w:rFonts w:cs="黑体" w:asciiTheme="minorEastAsia" w:hAnsiTheme="minorEastAsia"/>
          <w:b/>
          <w:bCs/>
          <w:sz w:val="24"/>
        </w:rPr>
        <w:t>8.联系方式</w:t>
      </w:r>
    </w:p>
    <w:p w14:paraId="51D5C090">
      <w:pPr>
        <w:snapToGrid w:val="0"/>
        <w:spacing w:line="360" w:lineRule="auto"/>
        <w:ind w:firstLine="480" w:firstLineChars="200"/>
        <w:rPr>
          <w:sz w:val="24"/>
        </w:rPr>
      </w:pPr>
      <w:r>
        <w:rPr>
          <w:rFonts w:hint="eastAsia" w:cs="黑体" w:asciiTheme="minorEastAsia" w:hAnsiTheme="minorEastAsia"/>
          <w:sz w:val="24"/>
        </w:rPr>
        <w:t>采购单位：</w:t>
      </w:r>
      <w:r>
        <w:rPr>
          <w:rFonts w:hint="eastAsia"/>
          <w:sz w:val="24"/>
        </w:rPr>
        <w:t>中国核动力研究设计院</w:t>
      </w:r>
    </w:p>
    <w:p w14:paraId="63A730E6">
      <w:pPr>
        <w:snapToGrid w:val="0"/>
        <w:spacing w:line="360" w:lineRule="auto"/>
        <w:ind w:firstLine="480" w:firstLineChars="200"/>
        <w:rPr>
          <w:rFonts w:cs="Times New Roman"/>
          <w:color w:val="000000"/>
          <w:sz w:val="24"/>
        </w:rPr>
      </w:pPr>
      <w:r>
        <w:rPr>
          <w:sz w:val="24"/>
        </w:rPr>
        <w:t>地址：</w:t>
      </w:r>
      <w:r>
        <w:rPr>
          <w:rFonts w:hint="eastAsia"/>
          <w:sz w:val="24"/>
        </w:rPr>
        <w:t>四川省</w:t>
      </w:r>
      <w:r>
        <w:rPr>
          <w:rFonts w:hint="eastAsia" w:cs="Times New Roman"/>
          <w:color w:val="000000"/>
          <w:sz w:val="24"/>
        </w:rPr>
        <w:t>成都市双流区长顺大道一段328号</w:t>
      </w:r>
    </w:p>
    <w:p w14:paraId="512E4777">
      <w:pPr>
        <w:snapToGrid w:val="0"/>
        <w:spacing w:line="360" w:lineRule="auto"/>
        <w:ind w:firstLine="480" w:firstLineChars="200"/>
        <w:rPr>
          <w:rFonts w:cs="Times New Roman" w:asciiTheme="minorEastAsia" w:hAnsiTheme="minorEastAsia"/>
          <w:color w:val="000000"/>
          <w:sz w:val="24"/>
        </w:rPr>
      </w:pPr>
      <w:r>
        <w:rPr>
          <w:rFonts w:cs="Times New Roman" w:asciiTheme="minorEastAsia" w:hAnsiTheme="minorEastAsia"/>
          <w:color w:val="000000"/>
          <w:sz w:val="24"/>
        </w:rPr>
        <w:t>联系人：</w:t>
      </w:r>
      <w:r>
        <w:rPr>
          <w:rFonts w:hint="eastAsia" w:cs="Times New Roman" w:asciiTheme="minorEastAsia" w:hAnsiTheme="minorEastAsia"/>
          <w:color w:val="000000"/>
          <w:sz w:val="24"/>
        </w:rPr>
        <w:t>吕仙镜</w:t>
      </w:r>
      <w:r>
        <w:rPr>
          <w:rFonts w:cs="Times New Roman" w:asciiTheme="minorEastAsia" w:hAnsiTheme="minorEastAsia"/>
          <w:color w:val="000000"/>
          <w:sz w:val="24"/>
        </w:rPr>
        <w:t xml:space="preserve"> </w:t>
      </w:r>
    </w:p>
    <w:p w14:paraId="30FAECF7">
      <w:pPr>
        <w:snapToGrid w:val="0"/>
        <w:spacing w:line="360" w:lineRule="auto"/>
        <w:ind w:firstLine="480" w:firstLineChars="200"/>
        <w:rPr>
          <w:rFonts w:cs="黑体" w:asciiTheme="minorEastAsia" w:hAnsiTheme="minorEastAsia"/>
          <w:sz w:val="24"/>
        </w:rPr>
      </w:pPr>
      <w:r>
        <w:rPr>
          <w:rFonts w:cs="Times New Roman" w:asciiTheme="minorEastAsia" w:hAnsiTheme="minorEastAsia"/>
          <w:color w:val="000000"/>
          <w:sz w:val="24"/>
        </w:rPr>
        <w:t>电话：</w:t>
      </w:r>
      <w:r>
        <w:rPr>
          <w:rFonts w:hint="eastAsia" w:cs="Times New Roman" w:asciiTheme="minorEastAsia" w:hAnsiTheme="minorEastAsia"/>
          <w:color w:val="000000"/>
          <w:sz w:val="24"/>
        </w:rPr>
        <w:t>028-85904863</w:t>
      </w:r>
    </w:p>
    <w:p w14:paraId="07247C6B">
      <w:pPr>
        <w:pStyle w:val="3"/>
        <w:tabs>
          <w:tab w:val="left" w:pos="4228"/>
          <w:tab w:val="left" w:pos="7990"/>
        </w:tabs>
        <w:adjustRightInd w:val="0"/>
        <w:snapToGrid w:val="0"/>
        <w:spacing w:line="360" w:lineRule="auto"/>
        <w:ind w:firstLine="480" w:firstLineChars="200"/>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采购</w:t>
      </w:r>
      <w:r>
        <w:rPr>
          <w:rFonts w:asciiTheme="minorEastAsia" w:hAnsiTheme="minorEastAsia" w:eastAsiaTheme="minorEastAsia"/>
          <w:sz w:val="24"/>
          <w:szCs w:val="24"/>
          <w:lang w:eastAsia="zh-CN"/>
        </w:rPr>
        <w:t>代理机构：</w:t>
      </w:r>
      <w:r>
        <w:rPr>
          <w:rFonts w:hint="eastAsia"/>
          <w:sz w:val="24"/>
          <w:lang w:eastAsia="zh-CN"/>
        </w:rPr>
        <w:t>中科信工程咨询（北京）有限责任公司</w:t>
      </w:r>
    </w:p>
    <w:p w14:paraId="2D6CBC22">
      <w:pPr>
        <w:pStyle w:val="3"/>
        <w:tabs>
          <w:tab w:val="left" w:pos="4228"/>
          <w:tab w:val="left" w:pos="7990"/>
        </w:tabs>
        <w:adjustRightInd w:val="0"/>
        <w:snapToGrid w:val="0"/>
        <w:spacing w:line="360" w:lineRule="auto"/>
        <w:ind w:firstLine="480" w:firstLineChars="200"/>
        <w:jc w:val="both"/>
        <w:rPr>
          <w:rFonts w:asciiTheme="minorEastAsia" w:hAnsiTheme="minorEastAsia" w:eastAsiaTheme="minorEastAsia"/>
          <w:sz w:val="24"/>
          <w:szCs w:val="24"/>
          <w:lang w:eastAsia="zh-CN"/>
        </w:rPr>
      </w:pPr>
      <w:bookmarkStart w:id="7" w:name="_Hlk180402508"/>
      <w:r>
        <w:rPr>
          <w:rFonts w:asciiTheme="minorEastAsia" w:hAnsiTheme="minorEastAsia" w:eastAsiaTheme="minorEastAsia"/>
          <w:sz w:val="24"/>
          <w:szCs w:val="24"/>
          <w:lang w:eastAsia="zh-CN"/>
        </w:rPr>
        <w:t>地址：</w:t>
      </w:r>
      <w:r>
        <w:rPr>
          <w:rFonts w:hint="eastAsia"/>
          <w:sz w:val="24"/>
          <w:lang w:eastAsia="zh-CN"/>
        </w:rPr>
        <w:t>北京市海淀区金沟河路与采石北路十字路口东南角88号大楼</w:t>
      </w:r>
    </w:p>
    <w:p w14:paraId="4D439D55">
      <w:pPr>
        <w:pStyle w:val="3"/>
        <w:tabs>
          <w:tab w:val="left" w:pos="4228"/>
          <w:tab w:val="left" w:pos="7990"/>
        </w:tabs>
        <w:adjustRightInd w:val="0"/>
        <w:snapToGrid w:val="0"/>
        <w:spacing w:line="360" w:lineRule="auto"/>
        <w:ind w:firstLine="480" w:firstLineChars="200"/>
        <w:jc w:val="both"/>
        <w:rPr>
          <w:sz w:val="24"/>
          <w:lang w:eastAsia="zh-CN"/>
        </w:rPr>
      </w:pPr>
      <w:r>
        <w:rPr>
          <w:rFonts w:hint="eastAsia" w:asciiTheme="minorEastAsia" w:hAnsiTheme="minorEastAsia" w:eastAsiaTheme="minorEastAsia"/>
          <w:sz w:val="24"/>
          <w:szCs w:val="24"/>
          <w:lang w:eastAsia="zh-CN"/>
        </w:rPr>
        <w:t>售卖</w:t>
      </w:r>
      <w:r>
        <w:rPr>
          <w:rFonts w:asciiTheme="minorEastAsia" w:hAnsiTheme="minorEastAsia" w:eastAsiaTheme="minorEastAsia"/>
          <w:sz w:val="24"/>
          <w:szCs w:val="24"/>
          <w:lang w:eastAsia="zh-CN"/>
        </w:rPr>
        <w:t>联系人</w:t>
      </w:r>
      <w:r>
        <w:rPr>
          <w:sz w:val="24"/>
          <w:lang w:eastAsia="zh-CN"/>
        </w:rPr>
        <w:t>：</w:t>
      </w:r>
      <w:r>
        <w:rPr>
          <w:rFonts w:hint="eastAsia"/>
          <w:sz w:val="24"/>
          <w:lang w:eastAsia="zh-CN"/>
        </w:rPr>
        <w:t xml:space="preserve">李经理 </w:t>
      </w:r>
    </w:p>
    <w:p w14:paraId="7E3B32B5">
      <w:pPr>
        <w:pStyle w:val="3"/>
        <w:tabs>
          <w:tab w:val="left" w:pos="4228"/>
          <w:tab w:val="left" w:pos="7990"/>
        </w:tabs>
        <w:adjustRightInd w:val="0"/>
        <w:snapToGrid w:val="0"/>
        <w:spacing w:line="360" w:lineRule="auto"/>
        <w:ind w:firstLine="480" w:firstLineChars="200"/>
        <w:jc w:val="both"/>
        <w:rPr>
          <w:rFonts w:asciiTheme="minorEastAsia" w:hAnsiTheme="minorEastAsia"/>
          <w:sz w:val="24"/>
          <w:lang w:eastAsia="zh-CN"/>
        </w:rPr>
      </w:pPr>
      <w:r>
        <w:rPr>
          <w:rFonts w:hint="eastAsia" w:asciiTheme="minorEastAsia" w:hAnsiTheme="minorEastAsia"/>
          <w:sz w:val="24"/>
          <w:lang w:eastAsia="zh-CN"/>
        </w:rPr>
        <w:t>电话：028-85756520</w:t>
      </w:r>
    </w:p>
    <w:p w14:paraId="5F0B9EDA">
      <w:pPr>
        <w:pStyle w:val="3"/>
        <w:tabs>
          <w:tab w:val="left" w:pos="4228"/>
          <w:tab w:val="left" w:pos="7990"/>
        </w:tabs>
        <w:adjustRightInd w:val="0"/>
        <w:snapToGrid w:val="0"/>
        <w:spacing w:line="360" w:lineRule="auto"/>
        <w:ind w:firstLine="480" w:firstLineChars="200"/>
        <w:jc w:val="both"/>
        <w:rPr>
          <w:rFonts w:asciiTheme="minorEastAsia" w:hAnsiTheme="minorEastAsia"/>
          <w:sz w:val="24"/>
          <w:lang w:eastAsia="zh-CN"/>
        </w:rPr>
      </w:pPr>
      <w:r>
        <w:rPr>
          <w:rFonts w:hint="eastAsia" w:asciiTheme="minorEastAsia" w:hAnsiTheme="minorEastAsia"/>
          <w:sz w:val="24"/>
          <w:lang w:eastAsia="zh-CN"/>
        </w:rPr>
        <w:t>项目负责人：张智胜</w:t>
      </w:r>
    </w:p>
    <w:p w14:paraId="05A4827A">
      <w:pPr>
        <w:spacing w:line="360" w:lineRule="auto"/>
        <w:ind w:firstLine="480" w:firstLineChars="200"/>
        <w:rPr>
          <w:rFonts w:cs="黑体" w:asciiTheme="minorEastAsia" w:hAnsiTheme="minorEastAsia"/>
          <w:b/>
          <w:bCs/>
          <w:sz w:val="24"/>
        </w:rPr>
      </w:pPr>
      <w:r>
        <w:rPr>
          <w:rFonts w:asciiTheme="minorEastAsia" w:hAnsiTheme="minorEastAsia"/>
          <w:sz w:val="24"/>
        </w:rPr>
        <w:t>电子邮件：</w:t>
      </w:r>
      <w:r>
        <w:fldChar w:fldCharType="begin"/>
      </w:r>
      <w:r>
        <w:instrText xml:space="preserve"> HYPERLINK "mailto:zhongkexin2014@163.com" </w:instrText>
      </w:r>
      <w:r>
        <w:fldChar w:fldCharType="separate"/>
      </w:r>
      <w:r>
        <w:rPr>
          <w:rStyle w:val="26"/>
          <w:rFonts w:hint="eastAsia" w:asciiTheme="minorEastAsia" w:hAnsiTheme="minorEastAsia"/>
          <w:sz w:val="24"/>
          <w:u w:val="none"/>
        </w:rPr>
        <w:t>zhaobiaobu@zonkex.com</w:t>
      </w:r>
      <w:r>
        <w:rPr>
          <w:rStyle w:val="26"/>
          <w:rFonts w:hint="eastAsia" w:asciiTheme="minorEastAsia" w:hAnsiTheme="minorEastAsia"/>
          <w:sz w:val="24"/>
          <w:u w:val="none"/>
        </w:rPr>
        <w:fldChar w:fldCharType="end"/>
      </w:r>
    </w:p>
    <w:p w14:paraId="3925B82D">
      <w:pPr>
        <w:spacing w:line="360" w:lineRule="auto"/>
        <w:ind w:firstLine="482" w:firstLineChars="200"/>
        <w:rPr>
          <w:rFonts w:cs="黑体" w:asciiTheme="minorEastAsia" w:hAnsiTheme="minorEastAsia"/>
          <w:b/>
          <w:bCs/>
          <w:sz w:val="24"/>
        </w:rPr>
      </w:pPr>
      <w:r>
        <w:rPr>
          <w:rFonts w:hint="eastAsia" w:cs="黑体" w:asciiTheme="minorEastAsia" w:hAnsiTheme="minorEastAsia"/>
          <w:b/>
          <w:bCs/>
          <w:sz w:val="24"/>
        </w:rPr>
        <w:t>9.其他说明</w:t>
      </w:r>
    </w:p>
    <w:p w14:paraId="175436D6">
      <w:pPr>
        <w:pStyle w:val="3"/>
        <w:tabs>
          <w:tab w:val="left" w:pos="4228"/>
          <w:tab w:val="left" w:pos="7990"/>
        </w:tabs>
        <w:adjustRightInd w:val="0"/>
        <w:snapToGrid w:val="0"/>
        <w:spacing w:line="360" w:lineRule="auto"/>
        <w:ind w:firstLine="480" w:firstLineChars="200"/>
        <w:jc w:val="both"/>
        <w:rPr>
          <w:sz w:val="24"/>
          <w:lang w:eastAsia="zh-CN"/>
        </w:rPr>
      </w:pPr>
      <w:r>
        <w:rPr>
          <w:rFonts w:hint="eastAsia"/>
          <w:sz w:val="24"/>
          <w:lang w:eastAsia="zh-CN"/>
        </w:rPr>
        <w:t>9.1</w:t>
      </w:r>
      <w:r>
        <w:rPr>
          <w:sz w:val="24"/>
          <w:lang w:eastAsia="zh-CN"/>
        </w:rPr>
        <w:t>对于其它公司利用本公司发布的</w:t>
      </w:r>
      <w:r>
        <w:rPr>
          <w:rFonts w:hint="eastAsia"/>
          <w:sz w:val="24"/>
          <w:lang w:eastAsia="zh-CN"/>
        </w:rPr>
        <w:t>公告</w:t>
      </w:r>
      <w:r>
        <w:rPr>
          <w:sz w:val="24"/>
          <w:lang w:eastAsia="zh-CN"/>
        </w:rPr>
        <w:t>信息进行诈骗的行为，本公司将不承担任何责任，并保留追究相关责任人权利。</w:t>
      </w:r>
    </w:p>
    <w:p w14:paraId="22C63A91">
      <w:pPr>
        <w:pStyle w:val="3"/>
        <w:tabs>
          <w:tab w:val="left" w:pos="4228"/>
          <w:tab w:val="left" w:pos="7990"/>
        </w:tabs>
        <w:adjustRightInd w:val="0"/>
        <w:snapToGrid w:val="0"/>
        <w:spacing w:line="360" w:lineRule="auto"/>
        <w:ind w:firstLine="480" w:firstLineChars="200"/>
        <w:jc w:val="both"/>
        <w:rPr>
          <w:sz w:val="24"/>
          <w:lang w:eastAsia="zh-CN"/>
        </w:rPr>
      </w:pPr>
      <w:r>
        <w:rPr>
          <w:sz w:val="24"/>
          <w:lang w:eastAsia="zh-CN"/>
        </w:rPr>
        <w:t>9.</w:t>
      </w:r>
      <w:r>
        <w:rPr>
          <w:rFonts w:hint="eastAsia"/>
          <w:sz w:val="24"/>
          <w:lang w:eastAsia="zh-CN"/>
        </w:rPr>
        <w:t>2中核集团电子采购平台对供应商参与项目过程中的联系人信息、MAC地址、硬件特征码会进行记录。同一采购包/标段中，若不同供应商以上任意一条信息记录存在异常一致，则视为围标串标，平台将自动禁用涉事供应商参与平台项目的权限。</w:t>
      </w:r>
    </w:p>
    <w:bookmarkEnd w:id="7"/>
    <w:p w14:paraId="34A1986D">
      <w:pPr>
        <w:widowControl/>
        <w:ind w:firstLine="422" w:firstLineChars="200"/>
        <w:jc w:val="left"/>
        <w:rPr>
          <w:rFonts w:cs="Microsoft JhengHei" w:asciiTheme="minorEastAsia" w:hAnsiTheme="minorEastAsia"/>
          <w:bCs/>
          <w:kern w:val="0"/>
          <w:sz w:val="44"/>
          <w:szCs w:val="44"/>
        </w:rPr>
      </w:pPr>
      <w:r>
        <w:rPr>
          <w:rFonts w:asciiTheme="minorEastAsia" w:hAnsiTheme="minorEastAsia"/>
          <w:b/>
        </w:rPr>
        <w:br w:type="page"/>
      </w:r>
      <w:bookmarkEnd w:id="1"/>
    </w:p>
    <w:p w14:paraId="1AAF1FE2">
      <w:pPr>
        <w:pStyle w:val="5"/>
        <w:adjustRightInd w:val="0"/>
        <w:snapToGrid w:val="0"/>
        <w:ind w:firstLine="880" w:firstLineChars="200"/>
        <w:rPr>
          <w:rFonts w:asciiTheme="minorEastAsia" w:hAnsiTheme="minorEastAsia" w:eastAsiaTheme="minorEastAsia"/>
          <w:lang w:eastAsia="zh-CN"/>
        </w:rPr>
      </w:pPr>
      <w:bookmarkStart w:id="8" w:name="_Toc181123611"/>
      <w:r>
        <w:rPr>
          <w:rFonts w:hint="eastAsia" w:asciiTheme="minorEastAsia" w:hAnsiTheme="minorEastAsia" w:eastAsiaTheme="minorEastAsia"/>
          <w:lang w:eastAsia="zh-CN"/>
        </w:rPr>
        <w:t>第二章 供应商须知</w:t>
      </w:r>
      <w:bookmarkEnd w:id="8"/>
    </w:p>
    <w:p w14:paraId="28A3C885">
      <w:pPr>
        <w:spacing w:after="240"/>
        <w:ind w:firstLine="482" w:firstLineChars="200"/>
        <w:jc w:val="center"/>
        <w:rPr>
          <w:rFonts w:cs="黑体" w:asciiTheme="minorEastAsia" w:hAnsiTheme="minorEastAsia"/>
          <w:sz w:val="24"/>
        </w:rPr>
      </w:pPr>
      <w:r>
        <w:rPr>
          <w:rFonts w:hint="eastAsia" w:cs="黑体" w:asciiTheme="minorEastAsia" w:hAnsiTheme="minorEastAsia"/>
          <w:b/>
          <w:bCs/>
          <w:sz w:val="24"/>
        </w:rPr>
        <w:t>供应商须知前附表</w:t>
      </w:r>
    </w:p>
    <w:tbl>
      <w:tblPr>
        <w:tblStyle w:val="23"/>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1774"/>
        <w:gridCol w:w="6221"/>
      </w:tblGrid>
      <w:tr w14:paraId="7A547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185" w:type="dxa"/>
            <w:vAlign w:val="center"/>
          </w:tcPr>
          <w:p w14:paraId="7D180C2A">
            <w:pPr>
              <w:jc w:val="center"/>
              <w:rPr>
                <w:rFonts w:asciiTheme="minorEastAsia" w:hAnsiTheme="minorEastAsia" w:cstheme="minorEastAsia"/>
                <w:sz w:val="24"/>
              </w:rPr>
            </w:pPr>
            <w:r>
              <w:rPr>
                <w:rFonts w:hint="eastAsia" w:asciiTheme="minorEastAsia" w:hAnsiTheme="minorEastAsia" w:cstheme="minorEastAsia"/>
                <w:sz w:val="24"/>
              </w:rPr>
              <w:t>条款号</w:t>
            </w:r>
          </w:p>
        </w:tc>
        <w:tc>
          <w:tcPr>
            <w:tcW w:w="1774" w:type="dxa"/>
            <w:vAlign w:val="center"/>
          </w:tcPr>
          <w:p w14:paraId="73469446">
            <w:pPr>
              <w:jc w:val="center"/>
              <w:rPr>
                <w:rFonts w:asciiTheme="minorEastAsia" w:hAnsiTheme="minorEastAsia" w:cstheme="minorEastAsia"/>
                <w:sz w:val="24"/>
              </w:rPr>
            </w:pPr>
            <w:r>
              <w:rPr>
                <w:rFonts w:hint="eastAsia" w:asciiTheme="minorEastAsia" w:hAnsiTheme="minorEastAsia" w:cstheme="minorEastAsia"/>
                <w:sz w:val="24"/>
              </w:rPr>
              <w:t>条款名称</w:t>
            </w:r>
          </w:p>
        </w:tc>
        <w:tc>
          <w:tcPr>
            <w:tcW w:w="6221" w:type="dxa"/>
            <w:vAlign w:val="center"/>
          </w:tcPr>
          <w:p w14:paraId="714A5125">
            <w:pPr>
              <w:jc w:val="center"/>
              <w:rPr>
                <w:rFonts w:asciiTheme="minorEastAsia" w:hAnsiTheme="minorEastAsia" w:cstheme="minorEastAsia"/>
                <w:sz w:val="24"/>
              </w:rPr>
            </w:pPr>
            <w:r>
              <w:rPr>
                <w:rFonts w:hint="eastAsia" w:asciiTheme="minorEastAsia" w:hAnsiTheme="minorEastAsia" w:cstheme="minorEastAsia"/>
                <w:sz w:val="24"/>
              </w:rPr>
              <w:t>编列内容</w:t>
            </w:r>
          </w:p>
        </w:tc>
      </w:tr>
      <w:tr w14:paraId="0A5CC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185" w:type="dxa"/>
            <w:vAlign w:val="center"/>
          </w:tcPr>
          <w:p w14:paraId="0C1C62F0">
            <w:pPr>
              <w:jc w:val="center"/>
              <w:rPr>
                <w:rFonts w:asciiTheme="minorEastAsia" w:hAnsiTheme="minorEastAsia" w:cstheme="minorEastAsia"/>
                <w:sz w:val="24"/>
              </w:rPr>
            </w:pPr>
            <w:r>
              <w:rPr>
                <w:rFonts w:hint="eastAsia" w:asciiTheme="minorEastAsia" w:hAnsiTheme="minorEastAsia" w:cstheme="minorEastAsia"/>
                <w:sz w:val="24"/>
              </w:rPr>
              <w:t>1.3.2</w:t>
            </w:r>
          </w:p>
        </w:tc>
        <w:tc>
          <w:tcPr>
            <w:tcW w:w="1774" w:type="dxa"/>
            <w:vAlign w:val="center"/>
          </w:tcPr>
          <w:p w14:paraId="41549363">
            <w:pPr>
              <w:jc w:val="center"/>
              <w:rPr>
                <w:rFonts w:asciiTheme="minorEastAsia" w:hAnsiTheme="minorEastAsia" w:cstheme="minorEastAsia"/>
                <w:sz w:val="24"/>
              </w:rPr>
            </w:pPr>
            <w:r>
              <w:rPr>
                <w:rFonts w:hint="eastAsia" w:ascii="宋体" w:hAnsi="宋体" w:eastAsia="宋体" w:cs="宋体"/>
                <w:sz w:val="24"/>
              </w:rPr>
              <w:t>采购代理服务费</w:t>
            </w:r>
          </w:p>
        </w:tc>
        <w:tc>
          <w:tcPr>
            <w:tcW w:w="6221" w:type="dxa"/>
            <w:vAlign w:val="center"/>
          </w:tcPr>
          <w:p w14:paraId="645CAA62">
            <w:pPr>
              <w:rPr>
                <w:rFonts w:ascii="宋体" w:hAnsi="宋体" w:eastAsia="宋体" w:cs="宋体"/>
                <w:bCs/>
                <w:sz w:val="24"/>
              </w:rPr>
            </w:pPr>
            <w:r>
              <w:rPr>
                <w:rFonts w:hint="eastAsia" w:ascii="宋体" w:hAnsi="宋体" w:eastAsia="宋体" w:cs="宋体"/>
                <w:bCs/>
                <w:sz w:val="24"/>
              </w:rPr>
              <w:t>代理服务费：</w:t>
            </w:r>
          </w:p>
          <w:p w14:paraId="3272FE1C">
            <w:pPr>
              <w:numPr>
                <w:ilvl w:val="0"/>
                <w:numId w:val="4"/>
              </w:numPr>
              <w:rPr>
                <w:rFonts w:ascii="宋体" w:hAnsi="宋体" w:eastAsia="宋体" w:cs="宋体"/>
                <w:bCs/>
                <w:sz w:val="24"/>
              </w:rPr>
            </w:pPr>
            <w:r>
              <w:rPr>
                <w:rFonts w:hint="eastAsia" w:ascii="宋体" w:hAnsi="宋体" w:eastAsia="宋体" w:cs="宋体"/>
                <w:bCs/>
                <w:sz w:val="24"/>
              </w:rPr>
              <w:t>由成交供应商向采购代理机构支付代理服务费。</w:t>
            </w:r>
          </w:p>
          <w:p w14:paraId="1CA4DE3C">
            <w:pPr>
              <w:numPr>
                <w:ilvl w:val="0"/>
                <w:numId w:val="4"/>
              </w:numPr>
              <w:snapToGrid w:val="0"/>
              <w:rPr>
                <w:rFonts w:ascii="宋体" w:hAnsi="宋体" w:eastAsia="宋体" w:cs="宋体"/>
                <w:sz w:val="24"/>
              </w:rPr>
            </w:pPr>
            <w:r>
              <w:rPr>
                <w:rFonts w:hint="eastAsia" w:ascii="宋体" w:hAnsi="宋体" w:eastAsia="宋体" w:cs="宋体"/>
                <w:sz w:val="24"/>
              </w:rPr>
              <w:t>代理服务收费以成交金额为基数，按照《招标代理服务收费管理暂行办法》（计价格[2002]1980号）差额定率累进法计算；代理服务费不足1万元的</w:t>
            </w:r>
            <w:r>
              <w:rPr>
                <w:rFonts w:hint="eastAsia" w:ascii="宋体" w:hAnsi="宋体" w:eastAsia="宋体" w:cs="宋体"/>
                <w:b/>
                <w:bCs/>
                <w:sz w:val="24"/>
              </w:rPr>
              <w:t>，其代理服务费按照固定金额1万元收取</w:t>
            </w:r>
            <w:r>
              <w:rPr>
                <w:rFonts w:hint="eastAsia" w:ascii="宋体" w:hAnsi="宋体" w:eastAsia="宋体" w:cs="宋体"/>
                <w:sz w:val="24"/>
              </w:rPr>
              <w:t>。</w:t>
            </w:r>
          </w:p>
          <w:p w14:paraId="672F2BEC">
            <w:pPr>
              <w:numPr>
                <w:ilvl w:val="0"/>
                <w:numId w:val="4"/>
              </w:numPr>
              <w:rPr>
                <w:rFonts w:asciiTheme="minorEastAsia" w:hAnsiTheme="minorEastAsia" w:cstheme="minorEastAsia"/>
                <w:sz w:val="24"/>
              </w:rPr>
            </w:pPr>
            <w:r>
              <w:rPr>
                <w:rFonts w:hint="eastAsia" w:ascii="宋体" w:hAnsi="宋体" w:eastAsia="宋体" w:cs="宋体"/>
                <w:bCs/>
                <w:sz w:val="24"/>
              </w:rPr>
              <w:t>代理服务费由中科信工程咨询（北京）有限责任公司收取，发票由中科信工程咨询（北京）有限责任公司开具。</w:t>
            </w:r>
          </w:p>
        </w:tc>
      </w:tr>
      <w:tr w14:paraId="043E1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185" w:type="dxa"/>
            <w:vAlign w:val="center"/>
          </w:tcPr>
          <w:p w14:paraId="6EAA7EFA">
            <w:pPr>
              <w:jc w:val="center"/>
              <w:rPr>
                <w:rFonts w:asciiTheme="minorEastAsia" w:hAnsiTheme="minorEastAsia" w:cstheme="minorEastAsia"/>
                <w:sz w:val="24"/>
              </w:rPr>
            </w:pPr>
            <w:r>
              <w:rPr>
                <w:rFonts w:hint="eastAsia" w:asciiTheme="minorEastAsia" w:hAnsiTheme="minorEastAsia" w:cstheme="minorEastAsia"/>
                <w:sz w:val="24"/>
              </w:rPr>
              <w:t>1.3.3</w:t>
            </w:r>
          </w:p>
        </w:tc>
        <w:tc>
          <w:tcPr>
            <w:tcW w:w="1774" w:type="dxa"/>
            <w:vAlign w:val="center"/>
          </w:tcPr>
          <w:p w14:paraId="5B39F6F9">
            <w:pPr>
              <w:jc w:val="center"/>
              <w:rPr>
                <w:rFonts w:asciiTheme="minorEastAsia" w:hAnsiTheme="minorEastAsia" w:cstheme="minorEastAsia"/>
                <w:sz w:val="24"/>
              </w:rPr>
            </w:pPr>
            <w:r>
              <w:rPr>
                <w:rFonts w:hint="eastAsia" w:asciiTheme="minorEastAsia" w:hAnsiTheme="minorEastAsia" w:cstheme="minorEastAsia"/>
                <w:sz w:val="24"/>
              </w:rPr>
              <w:t>需要供应商承担的其他费用</w:t>
            </w:r>
          </w:p>
        </w:tc>
        <w:tc>
          <w:tcPr>
            <w:tcW w:w="6221" w:type="dxa"/>
            <w:vAlign w:val="center"/>
          </w:tcPr>
          <w:p w14:paraId="746BCE1C">
            <w:pPr>
              <w:rPr>
                <w:rFonts w:asciiTheme="minorEastAsia" w:hAnsiTheme="minorEastAsia" w:cstheme="minorEastAsia"/>
                <w:bCs/>
                <w:sz w:val="24"/>
              </w:rPr>
            </w:pPr>
            <w:r>
              <w:rPr>
                <w:rFonts w:hint="eastAsia" w:asciiTheme="minorEastAsia" w:hAnsiTheme="minorEastAsia" w:cstheme="minorEastAsia"/>
                <w:bCs/>
                <w:sz w:val="24"/>
              </w:rPr>
              <w:t>/</w:t>
            </w:r>
          </w:p>
        </w:tc>
      </w:tr>
      <w:tr w14:paraId="0AB117AF">
        <w:tblPrEx>
          <w:tblCellMar>
            <w:top w:w="0" w:type="dxa"/>
            <w:left w:w="108" w:type="dxa"/>
            <w:bottom w:w="0" w:type="dxa"/>
            <w:right w:w="108" w:type="dxa"/>
          </w:tblCellMar>
        </w:tblPrEx>
        <w:trPr>
          <w:trHeight w:val="481" w:hRule="atLeast"/>
        </w:trPr>
        <w:tc>
          <w:tcPr>
            <w:tcW w:w="1185" w:type="dxa"/>
            <w:vAlign w:val="center"/>
          </w:tcPr>
          <w:p w14:paraId="0C8BE97F">
            <w:pPr>
              <w:jc w:val="center"/>
              <w:rPr>
                <w:rFonts w:asciiTheme="minorEastAsia" w:hAnsiTheme="minorEastAsia" w:cstheme="minorEastAsia"/>
                <w:sz w:val="24"/>
              </w:rPr>
            </w:pPr>
            <w:r>
              <w:rPr>
                <w:rFonts w:hint="eastAsia" w:asciiTheme="minorEastAsia" w:hAnsiTheme="minorEastAsia" w:cstheme="minorEastAsia"/>
                <w:sz w:val="24"/>
              </w:rPr>
              <w:t>1.7.1</w:t>
            </w:r>
          </w:p>
        </w:tc>
        <w:tc>
          <w:tcPr>
            <w:tcW w:w="1774" w:type="dxa"/>
            <w:vAlign w:val="center"/>
          </w:tcPr>
          <w:p w14:paraId="432D7970">
            <w:pPr>
              <w:jc w:val="center"/>
              <w:rPr>
                <w:rFonts w:asciiTheme="minorEastAsia" w:hAnsiTheme="minorEastAsia" w:cstheme="minorEastAsia"/>
                <w:sz w:val="24"/>
              </w:rPr>
            </w:pPr>
            <w:r>
              <w:rPr>
                <w:rFonts w:hint="eastAsia" w:asciiTheme="minorEastAsia" w:hAnsiTheme="minorEastAsia" w:cstheme="minorEastAsia"/>
                <w:sz w:val="24"/>
              </w:rPr>
              <w:t>踏勘现场</w:t>
            </w:r>
          </w:p>
        </w:tc>
        <w:tc>
          <w:tcPr>
            <w:tcW w:w="6221" w:type="dxa"/>
            <w:vAlign w:val="center"/>
          </w:tcPr>
          <w:p w14:paraId="54C25474">
            <w:pPr>
              <w:jc w:val="left"/>
              <w:rPr>
                <w:rFonts w:asciiTheme="minorEastAsia" w:hAnsiTheme="minorEastAsia" w:cstheme="minorEastAsia"/>
                <w:sz w:val="24"/>
              </w:rPr>
            </w:pPr>
            <w:r>
              <w:rPr>
                <w:rFonts w:hint="eastAsia" w:asciiTheme="minorEastAsia" w:hAnsiTheme="minorEastAsia" w:cstheme="minorEastAsia"/>
                <w:i/>
                <w:sz w:val="24"/>
              </w:rPr>
              <w:t>■</w:t>
            </w:r>
            <w:r>
              <w:rPr>
                <w:rFonts w:hint="eastAsia" w:asciiTheme="minorEastAsia" w:hAnsiTheme="minorEastAsia" w:cstheme="minorEastAsia"/>
                <w:sz w:val="24"/>
              </w:rPr>
              <w:t>不组织</w:t>
            </w:r>
          </w:p>
          <w:p w14:paraId="71A706C0">
            <w:pPr>
              <w:jc w:val="left"/>
              <w:rPr>
                <w:rFonts w:asciiTheme="minorEastAsia" w:hAnsiTheme="minorEastAsia" w:cstheme="minorEastAsia"/>
                <w:sz w:val="24"/>
              </w:rPr>
            </w:pPr>
            <w:r>
              <w:rPr>
                <w:rFonts w:hint="eastAsia" w:asciiTheme="minorEastAsia" w:hAnsiTheme="minorEastAsia" w:cstheme="minorEastAsia"/>
                <w:i/>
                <w:sz w:val="24"/>
              </w:rPr>
              <w:t>□</w:t>
            </w:r>
            <w:r>
              <w:rPr>
                <w:rFonts w:hint="eastAsia" w:asciiTheme="minorEastAsia" w:hAnsiTheme="minorEastAsia" w:cstheme="minorEastAsia"/>
                <w:sz w:val="24"/>
              </w:rPr>
              <w:t>组织，踏勘时间：</w:t>
            </w:r>
            <w:r>
              <w:rPr>
                <w:rFonts w:hint="eastAsia" w:asciiTheme="minorEastAsia" w:hAnsiTheme="minorEastAsia" w:cstheme="minorEastAsia"/>
                <w:sz w:val="24"/>
                <w:u w:val="single"/>
              </w:rPr>
              <w:t xml:space="preserve">/   </w:t>
            </w:r>
          </w:p>
        </w:tc>
      </w:tr>
      <w:tr w14:paraId="58C03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1185" w:type="dxa"/>
            <w:vAlign w:val="center"/>
          </w:tcPr>
          <w:p w14:paraId="08D3BE40">
            <w:pPr>
              <w:jc w:val="center"/>
              <w:rPr>
                <w:rFonts w:asciiTheme="minorEastAsia" w:hAnsiTheme="minorEastAsia" w:cstheme="minorEastAsia"/>
                <w:sz w:val="24"/>
              </w:rPr>
            </w:pPr>
            <w:r>
              <w:rPr>
                <w:rFonts w:hint="eastAsia" w:asciiTheme="minorEastAsia" w:hAnsiTheme="minorEastAsia" w:cstheme="minorEastAsia"/>
                <w:sz w:val="24"/>
              </w:rPr>
              <w:t>1.8</w:t>
            </w:r>
          </w:p>
        </w:tc>
        <w:tc>
          <w:tcPr>
            <w:tcW w:w="1774" w:type="dxa"/>
            <w:vAlign w:val="center"/>
          </w:tcPr>
          <w:p w14:paraId="1CCDE932">
            <w:pPr>
              <w:jc w:val="center"/>
              <w:rPr>
                <w:rFonts w:asciiTheme="minorEastAsia" w:hAnsiTheme="minorEastAsia" w:cstheme="minorEastAsia"/>
                <w:sz w:val="24"/>
              </w:rPr>
            </w:pPr>
            <w:r>
              <w:rPr>
                <w:rFonts w:hint="eastAsia" w:asciiTheme="minorEastAsia" w:hAnsiTheme="minorEastAsia" w:cstheme="minorEastAsia"/>
                <w:sz w:val="24"/>
              </w:rPr>
              <w:t>谈判采购预备会</w:t>
            </w:r>
          </w:p>
        </w:tc>
        <w:tc>
          <w:tcPr>
            <w:tcW w:w="6221" w:type="dxa"/>
            <w:vAlign w:val="center"/>
          </w:tcPr>
          <w:p w14:paraId="1A85ADDE">
            <w:pPr>
              <w:jc w:val="left"/>
              <w:rPr>
                <w:rFonts w:asciiTheme="minorEastAsia" w:hAnsiTheme="minorEastAsia" w:cstheme="minorEastAsia"/>
                <w:sz w:val="24"/>
              </w:rPr>
            </w:pPr>
            <w:r>
              <w:rPr>
                <w:rFonts w:hint="eastAsia" w:asciiTheme="minorEastAsia" w:hAnsiTheme="minorEastAsia" w:cstheme="minorEastAsia"/>
                <w:i/>
                <w:sz w:val="24"/>
              </w:rPr>
              <w:t>■</w:t>
            </w:r>
            <w:r>
              <w:rPr>
                <w:rFonts w:hint="eastAsia" w:asciiTheme="minorEastAsia" w:hAnsiTheme="minorEastAsia" w:cstheme="minorEastAsia"/>
                <w:sz w:val="24"/>
              </w:rPr>
              <w:t>不召开</w:t>
            </w:r>
          </w:p>
          <w:p w14:paraId="48214FFC">
            <w:pPr>
              <w:jc w:val="left"/>
              <w:rPr>
                <w:rFonts w:asciiTheme="minorEastAsia" w:hAnsiTheme="minorEastAsia" w:cstheme="minorEastAsia"/>
                <w:sz w:val="24"/>
              </w:rPr>
            </w:pPr>
            <w:r>
              <w:rPr>
                <w:rFonts w:hint="eastAsia" w:asciiTheme="minorEastAsia" w:hAnsiTheme="minorEastAsia" w:cstheme="minorEastAsia"/>
                <w:i/>
                <w:sz w:val="24"/>
              </w:rPr>
              <w:t>□</w:t>
            </w:r>
            <w:r>
              <w:rPr>
                <w:rFonts w:hint="eastAsia" w:asciiTheme="minorEastAsia" w:hAnsiTheme="minorEastAsia" w:cstheme="minorEastAsia"/>
                <w:sz w:val="24"/>
              </w:rPr>
              <w:t>召开，召开时间：</w:t>
            </w:r>
            <w:r>
              <w:rPr>
                <w:rFonts w:hint="eastAsia" w:asciiTheme="minorEastAsia" w:hAnsiTheme="minorEastAsia" w:cstheme="minorEastAsia"/>
                <w:sz w:val="24"/>
                <w:u w:val="single"/>
              </w:rPr>
              <w:t xml:space="preserve">/  </w:t>
            </w:r>
          </w:p>
          <w:p w14:paraId="56096FD7">
            <w:pPr>
              <w:jc w:val="left"/>
              <w:rPr>
                <w:rFonts w:asciiTheme="minorEastAsia" w:hAnsiTheme="minorEastAsia" w:cstheme="minorEastAsia"/>
                <w:sz w:val="24"/>
              </w:rPr>
            </w:pPr>
            <w:r>
              <w:rPr>
                <w:rFonts w:hint="eastAsia" w:asciiTheme="minorEastAsia" w:hAnsiTheme="minorEastAsia" w:cstheme="minorEastAsia"/>
                <w:sz w:val="24"/>
              </w:rPr>
              <w:t>召开地点：</w:t>
            </w:r>
            <w:r>
              <w:rPr>
                <w:rFonts w:hint="eastAsia" w:asciiTheme="minorEastAsia" w:hAnsiTheme="minorEastAsia" w:cstheme="minorEastAsia"/>
                <w:sz w:val="24"/>
                <w:u w:val="single"/>
              </w:rPr>
              <w:t xml:space="preserve">/  </w:t>
            </w:r>
          </w:p>
        </w:tc>
      </w:tr>
      <w:tr w14:paraId="2C462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1185" w:type="dxa"/>
            <w:vAlign w:val="center"/>
          </w:tcPr>
          <w:p w14:paraId="24026CAF">
            <w:pPr>
              <w:jc w:val="center"/>
              <w:rPr>
                <w:rFonts w:asciiTheme="minorEastAsia" w:hAnsiTheme="minorEastAsia" w:cstheme="minorEastAsia"/>
                <w:sz w:val="24"/>
              </w:rPr>
            </w:pPr>
            <w:r>
              <w:rPr>
                <w:rFonts w:hint="eastAsia" w:asciiTheme="minorEastAsia" w:hAnsiTheme="minorEastAsia" w:cstheme="minorEastAsia"/>
                <w:sz w:val="24"/>
              </w:rPr>
              <w:t>1.9</w:t>
            </w:r>
          </w:p>
        </w:tc>
        <w:tc>
          <w:tcPr>
            <w:tcW w:w="1774" w:type="dxa"/>
            <w:vAlign w:val="center"/>
          </w:tcPr>
          <w:p w14:paraId="6B5F6441">
            <w:pPr>
              <w:pStyle w:val="8"/>
              <w:jc w:val="center"/>
              <w:outlineLvl w:val="8"/>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val="0"/>
                <w:kern w:val="2"/>
                <w:sz w:val="24"/>
                <w:szCs w:val="24"/>
              </w:rPr>
              <w:t>分包</w:t>
            </w:r>
          </w:p>
        </w:tc>
        <w:tc>
          <w:tcPr>
            <w:tcW w:w="6221" w:type="dxa"/>
            <w:vAlign w:val="center"/>
          </w:tcPr>
          <w:p w14:paraId="481F30D8">
            <w:pPr>
              <w:jc w:val="left"/>
              <w:rPr>
                <w:rFonts w:asciiTheme="minorEastAsia" w:hAnsiTheme="minorEastAsia" w:cstheme="minorEastAsia"/>
                <w:sz w:val="24"/>
              </w:rPr>
            </w:pPr>
            <w:r>
              <w:rPr>
                <w:rFonts w:hint="eastAsia" w:asciiTheme="minorEastAsia" w:hAnsiTheme="minorEastAsia" w:cstheme="minorEastAsia"/>
                <w:i/>
                <w:sz w:val="24"/>
              </w:rPr>
              <w:t>■</w:t>
            </w:r>
            <w:r>
              <w:rPr>
                <w:rFonts w:hint="eastAsia" w:asciiTheme="minorEastAsia" w:hAnsiTheme="minorEastAsia" w:cstheme="minorEastAsia"/>
                <w:sz w:val="24"/>
              </w:rPr>
              <w:t>不允许</w:t>
            </w:r>
          </w:p>
          <w:p w14:paraId="386AE602">
            <w:pPr>
              <w:jc w:val="left"/>
              <w:rPr>
                <w:rFonts w:asciiTheme="minorEastAsia" w:hAnsiTheme="minorEastAsia" w:cstheme="minorEastAsia"/>
                <w:sz w:val="24"/>
              </w:rPr>
            </w:pPr>
            <w:r>
              <w:rPr>
                <w:rFonts w:hint="eastAsia" w:asciiTheme="minorEastAsia" w:hAnsiTheme="minorEastAsia" w:cstheme="minorEastAsia"/>
                <w:i/>
                <w:sz w:val="24"/>
              </w:rPr>
              <w:t>□</w:t>
            </w:r>
            <w:r>
              <w:rPr>
                <w:rFonts w:hint="eastAsia" w:asciiTheme="minorEastAsia" w:hAnsiTheme="minorEastAsia" w:cstheme="minorEastAsia"/>
                <w:sz w:val="24"/>
              </w:rPr>
              <w:t>允许：</w:t>
            </w:r>
          </w:p>
          <w:p w14:paraId="342F1881">
            <w:pPr>
              <w:snapToGrid w:val="0"/>
              <w:rPr>
                <w:rFonts w:asciiTheme="minorEastAsia" w:hAnsiTheme="minorEastAsia" w:cstheme="minorEastAsia"/>
                <w:kern w:val="0"/>
                <w:sz w:val="24"/>
              </w:rPr>
            </w:pPr>
            <w:r>
              <w:rPr>
                <w:rFonts w:hint="eastAsia" w:asciiTheme="minorEastAsia" w:hAnsiTheme="minorEastAsia" w:cstheme="minorEastAsia"/>
                <w:kern w:val="0"/>
                <w:sz w:val="24"/>
              </w:rPr>
              <w:t>分包内容要求：</w:t>
            </w:r>
            <w:r>
              <w:rPr>
                <w:rFonts w:hint="eastAsia" w:asciiTheme="minorEastAsia" w:hAnsiTheme="minorEastAsia" w:cstheme="minorEastAsia"/>
                <w:kern w:val="0"/>
                <w:sz w:val="24"/>
                <w:u w:val="single"/>
              </w:rPr>
              <w:t>非核心、非关键主体部分，分包前须经甲方审核确认</w:t>
            </w:r>
          </w:p>
          <w:p w14:paraId="1196B019">
            <w:pPr>
              <w:snapToGrid w:val="0"/>
              <w:rPr>
                <w:rFonts w:asciiTheme="minorEastAsia" w:hAnsiTheme="minorEastAsia" w:cstheme="minorEastAsia"/>
                <w:kern w:val="0"/>
                <w:sz w:val="24"/>
              </w:rPr>
            </w:pPr>
            <w:r>
              <w:rPr>
                <w:rFonts w:hint="eastAsia" w:asciiTheme="minorEastAsia" w:hAnsiTheme="minorEastAsia" w:cstheme="minorEastAsia"/>
                <w:kern w:val="0"/>
                <w:sz w:val="24"/>
              </w:rPr>
              <w:t>分包金额要求：</w:t>
            </w:r>
            <w:r>
              <w:rPr>
                <w:rFonts w:hint="eastAsia" w:asciiTheme="minorEastAsia" w:hAnsiTheme="minorEastAsia" w:cstheme="minorEastAsia"/>
                <w:kern w:val="0"/>
                <w:sz w:val="24"/>
                <w:u w:val="single"/>
              </w:rPr>
              <w:t xml:space="preserve">/ </w:t>
            </w:r>
          </w:p>
          <w:p w14:paraId="67F16D9C">
            <w:pPr>
              <w:jc w:val="left"/>
              <w:rPr>
                <w:rFonts w:asciiTheme="minorEastAsia" w:hAnsiTheme="minorEastAsia" w:cstheme="minorEastAsia"/>
                <w:sz w:val="24"/>
              </w:rPr>
            </w:pPr>
            <w:r>
              <w:rPr>
                <w:rFonts w:hint="eastAsia" w:asciiTheme="minorEastAsia" w:hAnsiTheme="minorEastAsia" w:cstheme="minorEastAsia"/>
                <w:kern w:val="0"/>
                <w:sz w:val="24"/>
              </w:rPr>
              <w:t>分包人的资质要求：</w:t>
            </w:r>
            <w:r>
              <w:rPr>
                <w:rFonts w:hint="eastAsia" w:asciiTheme="minorEastAsia" w:hAnsiTheme="minorEastAsia" w:cstheme="minorEastAsia"/>
                <w:kern w:val="0"/>
                <w:sz w:val="24"/>
                <w:u w:val="single"/>
              </w:rPr>
              <w:t>满足国家行政许可相应的资质（如要求）</w:t>
            </w:r>
          </w:p>
        </w:tc>
      </w:tr>
      <w:tr w14:paraId="62945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185" w:type="dxa"/>
            <w:vAlign w:val="center"/>
          </w:tcPr>
          <w:p w14:paraId="6A8147AF">
            <w:pPr>
              <w:jc w:val="center"/>
              <w:rPr>
                <w:rFonts w:asciiTheme="minorEastAsia" w:hAnsiTheme="minorEastAsia" w:cstheme="minorEastAsia"/>
                <w:sz w:val="24"/>
              </w:rPr>
            </w:pPr>
            <w:r>
              <w:rPr>
                <w:rFonts w:hint="eastAsia" w:asciiTheme="minorEastAsia" w:hAnsiTheme="minorEastAsia" w:cstheme="minorEastAsia"/>
                <w:sz w:val="24"/>
              </w:rPr>
              <w:t>1.10.2</w:t>
            </w:r>
          </w:p>
        </w:tc>
        <w:tc>
          <w:tcPr>
            <w:tcW w:w="1774" w:type="dxa"/>
            <w:vAlign w:val="center"/>
          </w:tcPr>
          <w:p w14:paraId="40090C14">
            <w:pPr>
              <w:jc w:val="center"/>
              <w:rPr>
                <w:rFonts w:asciiTheme="minorEastAsia" w:hAnsiTheme="minorEastAsia" w:cstheme="minorEastAsia"/>
                <w:sz w:val="24"/>
              </w:rPr>
            </w:pPr>
            <w:r>
              <w:rPr>
                <w:rFonts w:hint="eastAsia" w:asciiTheme="minorEastAsia" w:hAnsiTheme="minorEastAsia" w:cstheme="minorEastAsia"/>
                <w:sz w:val="24"/>
              </w:rPr>
              <w:t>对非关键条款的偏差</w:t>
            </w:r>
          </w:p>
        </w:tc>
        <w:tc>
          <w:tcPr>
            <w:tcW w:w="6221" w:type="dxa"/>
            <w:vAlign w:val="center"/>
          </w:tcPr>
          <w:p w14:paraId="525D9C6C">
            <w:pPr>
              <w:pStyle w:val="35"/>
              <w:snapToGrid w:val="0"/>
              <w:ind w:right="10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i/>
                <w:sz w:val="24"/>
                <w:szCs w:val="24"/>
                <w:lang w:eastAsia="zh-CN"/>
              </w:rPr>
              <w:t>■</w:t>
            </w:r>
            <w:r>
              <w:rPr>
                <w:rFonts w:hint="eastAsia" w:asciiTheme="minorEastAsia" w:hAnsiTheme="minorEastAsia" w:eastAsiaTheme="minorEastAsia" w:cstheme="minorEastAsia"/>
                <w:sz w:val="24"/>
                <w:szCs w:val="24"/>
                <w:lang w:eastAsia="zh-CN"/>
              </w:rPr>
              <w:t>不允许负偏差</w:t>
            </w:r>
          </w:p>
          <w:p w14:paraId="062BE964">
            <w:pPr>
              <w:pStyle w:val="35"/>
              <w:snapToGrid w:val="0"/>
              <w:ind w:right="10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i/>
                <w:sz w:val="24"/>
                <w:szCs w:val="24"/>
                <w:lang w:eastAsia="zh-CN"/>
              </w:rPr>
              <w:t>□</w:t>
            </w:r>
            <w:r>
              <w:rPr>
                <w:rFonts w:hint="eastAsia" w:asciiTheme="minorEastAsia" w:hAnsiTheme="minorEastAsia" w:eastAsiaTheme="minorEastAsia" w:cstheme="minorEastAsia"/>
                <w:sz w:val="24"/>
                <w:szCs w:val="24"/>
                <w:lang w:eastAsia="zh-CN"/>
              </w:rPr>
              <w:t>允许，偏差范围：/。</w:t>
            </w:r>
          </w:p>
          <w:p w14:paraId="59C5DCC1">
            <w:pPr>
              <w:jc w:val="left"/>
              <w:rPr>
                <w:rFonts w:asciiTheme="minorEastAsia" w:hAnsiTheme="minorEastAsia" w:cstheme="minorEastAsia"/>
                <w:sz w:val="24"/>
              </w:rPr>
            </w:pPr>
            <w:r>
              <w:rPr>
                <w:rFonts w:hint="eastAsia" w:asciiTheme="minorEastAsia" w:hAnsiTheme="minorEastAsia" w:cstheme="minorEastAsia"/>
                <w:sz w:val="24"/>
              </w:rPr>
              <w:t>最高项数：</w:t>
            </w:r>
            <w:r>
              <w:rPr>
                <w:rFonts w:hint="eastAsia" w:asciiTheme="minorEastAsia" w:hAnsiTheme="minorEastAsia" w:cstheme="minorEastAsia"/>
                <w:sz w:val="24"/>
                <w:u w:val="single"/>
              </w:rPr>
              <w:t>/</w:t>
            </w:r>
          </w:p>
        </w:tc>
      </w:tr>
      <w:tr w14:paraId="79E6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185" w:type="dxa"/>
            <w:vAlign w:val="center"/>
          </w:tcPr>
          <w:p w14:paraId="216E587D">
            <w:pPr>
              <w:jc w:val="center"/>
              <w:rPr>
                <w:rFonts w:asciiTheme="minorEastAsia" w:hAnsiTheme="minorEastAsia" w:cstheme="minorEastAsia"/>
                <w:sz w:val="24"/>
              </w:rPr>
            </w:pPr>
            <w:r>
              <w:rPr>
                <w:rFonts w:hint="eastAsia" w:asciiTheme="minorEastAsia" w:hAnsiTheme="minorEastAsia" w:cstheme="minorEastAsia"/>
                <w:sz w:val="24"/>
              </w:rPr>
              <w:t>2.1（7）</w:t>
            </w:r>
          </w:p>
        </w:tc>
        <w:tc>
          <w:tcPr>
            <w:tcW w:w="1774" w:type="dxa"/>
            <w:vAlign w:val="center"/>
          </w:tcPr>
          <w:p w14:paraId="35C77F25">
            <w:pPr>
              <w:jc w:val="center"/>
              <w:rPr>
                <w:rFonts w:asciiTheme="minorEastAsia" w:hAnsiTheme="minorEastAsia" w:cstheme="minorEastAsia"/>
                <w:sz w:val="24"/>
              </w:rPr>
            </w:pPr>
            <w:r>
              <w:rPr>
                <w:rFonts w:hint="eastAsia" w:asciiTheme="minorEastAsia" w:hAnsiTheme="minorEastAsia" w:cstheme="minorEastAsia"/>
                <w:sz w:val="24"/>
              </w:rPr>
              <w:t>构成采购文件的其他资料</w:t>
            </w:r>
          </w:p>
        </w:tc>
        <w:tc>
          <w:tcPr>
            <w:tcW w:w="6221" w:type="dxa"/>
            <w:vAlign w:val="center"/>
          </w:tcPr>
          <w:p w14:paraId="27A548FD">
            <w:pPr>
              <w:jc w:val="left"/>
              <w:rPr>
                <w:rFonts w:asciiTheme="minorEastAsia" w:hAnsiTheme="minorEastAsia" w:cstheme="minorEastAsia"/>
                <w:sz w:val="24"/>
                <w:u w:val="single"/>
              </w:rPr>
            </w:pPr>
            <w:r>
              <w:rPr>
                <w:rFonts w:hint="eastAsia" w:asciiTheme="minorEastAsia" w:hAnsiTheme="minorEastAsia" w:cstheme="minorEastAsia"/>
                <w:sz w:val="24"/>
                <w:u w:val="single"/>
              </w:rPr>
              <w:t xml:space="preserve">/ </w:t>
            </w:r>
          </w:p>
        </w:tc>
      </w:tr>
      <w:tr w14:paraId="4CA84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85" w:type="dxa"/>
            <w:vMerge w:val="restart"/>
            <w:vAlign w:val="center"/>
          </w:tcPr>
          <w:p w14:paraId="6DF2C3CE">
            <w:pPr>
              <w:jc w:val="center"/>
              <w:rPr>
                <w:rFonts w:asciiTheme="minorEastAsia" w:hAnsiTheme="minorEastAsia" w:cstheme="minorEastAsia"/>
                <w:sz w:val="24"/>
              </w:rPr>
            </w:pPr>
            <w:r>
              <w:rPr>
                <w:rFonts w:hint="eastAsia" w:ascii="宋体" w:hAnsi="宋体" w:eastAsia="宋体" w:cs="宋体"/>
                <w:sz w:val="24"/>
              </w:rPr>
              <w:t>2.2.1</w:t>
            </w:r>
          </w:p>
        </w:tc>
        <w:tc>
          <w:tcPr>
            <w:tcW w:w="1774" w:type="dxa"/>
            <w:vMerge w:val="restart"/>
            <w:vAlign w:val="center"/>
          </w:tcPr>
          <w:p w14:paraId="02E24250">
            <w:pPr>
              <w:jc w:val="center"/>
              <w:rPr>
                <w:rFonts w:asciiTheme="minorEastAsia" w:hAnsiTheme="minorEastAsia" w:cstheme="minorEastAsia"/>
                <w:sz w:val="24"/>
              </w:rPr>
            </w:pPr>
            <w:r>
              <w:rPr>
                <w:rFonts w:hint="eastAsia" w:ascii="宋体" w:hAnsi="宋体" w:eastAsia="宋体" w:cs="宋体"/>
                <w:sz w:val="24"/>
              </w:rPr>
              <w:t>供应商要求澄清采购文件的时间</w:t>
            </w:r>
          </w:p>
        </w:tc>
        <w:tc>
          <w:tcPr>
            <w:tcW w:w="6221" w:type="dxa"/>
            <w:vAlign w:val="center"/>
          </w:tcPr>
          <w:p w14:paraId="6D49E323">
            <w:pPr>
              <w:pStyle w:val="35"/>
              <w:snapToGrid w:val="0"/>
              <w:jc w:val="both"/>
              <w:rPr>
                <w:rFonts w:asciiTheme="minorEastAsia" w:hAnsiTheme="minorEastAsia" w:eastAsiaTheme="minorEastAsia" w:cstheme="minorEastAsia"/>
                <w:sz w:val="24"/>
                <w:szCs w:val="24"/>
                <w:lang w:eastAsia="zh-CN"/>
              </w:rPr>
            </w:pPr>
            <w:r>
              <w:rPr>
                <w:rFonts w:hint="eastAsia"/>
                <w:sz w:val="24"/>
                <w:szCs w:val="24"/>
                <w:lang w:eastAsia="zh-CN"/>
              </w:rPr>
              <w:t>时间：应答文件递交截止时间1日前</w:t>
            </w:r>
          </w:p>
        </w:tc>
      </w:tr>
      <w:tr w14:paraId="295F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85" w:type="dxa"/>
            <w:vMerge w:val="continue"/>
            <w:vAlign w:val="center"/>
          </w:tcPr>
          <w:p w14:paraId="63034CAA">
            <w:pPr>
              <w:jc w:val="center"/>
              <w:rPr>
                <w:rFonts w:asciiTheme="minorEastAsia" w:hAnsiTheme="minorEastAsia" w:cstheme="minorEastAsia"/>
                <w:sz w:val="24"/>
              </w:rPr>
            </w:pPr>
          </w:p>
        </w:tc>
        <w:tc>
          <w:tcPr>
            <w:tcW w:w="1774" w:type="dxa"/>
            <w:vMerge w:val="continue"/>
            <w:vAlign w:val="center"/>
          </w:tcPr>
          <w:p w14:paraId="0009E447">
            <w:pPr>
              <w:jc w:val="center"/>
              <w:rPr>
                <w:rFonts w:asciiTheme="minorEastAsia" w:hAnsiTheme="minorEastAsia" w:cstheme="minorEastAsia"/>
                <w:sz w:val="24"/>
              </w:rPr>
            </w:pPr>
          </w:p>
        </w:tc>
        <w:tc>
          <w:tcPr>
            <w:tcW w:w="6221" w:type="dxa"/>
            <w:vAlign w:val="center"/>
          </w:tcPr>
          <w:p w14:paraId="072E42D9">
            <w:pPr>
              <w:pStyle w:val="35"/>
              <w:snapToGrid w:val="0"/>
              <w:jc w:val="both"/>
              <w:rPr>
                <w:rFonts w:asciiTheme="minorEastAsia" w:hAnsiTheme="minorEastAsia" w:eastAsiaTheme="minorEastAsia" w:cstheme="minorEastAsia"/>
                <w:sz w:val="24"/>
                <w:szCs w:val="24"/>
                <w:lang w:eastAsia="zh-CN"/>
              </w:rPr>
            </w:pPr>
            <w:r>
              <w:rPr>
                <w:rFonts w:hint="eastAsia"/>
                <w:sz w:val="24"/>
                <w:szCs w:val="24"/>
                <w:lang w:eastAsia="zh-CN"/>
              </w:rPr>
              <w:t>形式：</w:t>
            </w:r>
            <w:r>
              <w:rPr>
                <w:sz w:val="24"/>
                <w:szCs w:val="24"/>
                <w:lang w:eastAsia="zh-CN"/>
              </w:rPr>
              <w:t>通过</w:t>
            </w:r>
            <w:r>
              <w:rPr>
                <w:rFonts w:hint="eastAsia"/>
                <w:sz w:val="24"/>
                <w:szCs w:val="24"/>
                <w:lang w:eastAsia="zh-CN"/>
              </w:rPr>
              <w:t>中国核工业集团电子采购平台</w:t>
            </w:r>
            <w:r>
              <w:rPr>
                <w:sz w:val="24"/>
                <w:szCs w:val="24"/>
                <w:lang w:eastAsia="zh-CN"/>
              </w:rPr>
              <w:t>提出</w:t>
            </w:r>
            <w:r>
              <w:rPr>
                <w:rFonts w:hint="eastAsia"/>
                <w:sz w:val="24"/>
                <w:szCs w:val="24"/>
                <w:lang w:eastAsia="zh-CN"/>
              </w:rPr>
              <w:t>，上传的附件应包含问题的可编辑版和盖章扫描件版。</w:t>
            </w:r>
          </w:p>
        </w:tc>
      </w:tr>
      <w:tr w14:paraId="2A4CA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1185" w:type="dxa"/>
            <w:vMerge w:val="restart"/>
            <w:shd w:val="clear" w:color="auto" w:fill="auto"/>
            <w:vAlign w:val="center"/>
          </w:tcPr>
          <w:p w14:paraId="386ADD95">
            <w:pPr>
              <w:jc w:val="center"/>
              <w:rPr>
                <w:rFonts w:cs="黑体" w:asciiTheme="minorEastAsia" w:hAnsiTheme="minorEastAsia"/>
                <w:sz w:val="24"/>
              </w:rPr>
            </w:pPr>
            <w:r>
              <w:rPr>
                <w:rFonts w:hint="eastAsia" w:cs="黑体" w:asciiTheme="minorEastAsia" w:hAnsiTheme="minorEastAsia"/>
                <w:sz w:val="24"/>
              </w:rPr>
              <w:t>2.2.2</w:t>
            </w:r>
          </w:p>
        </w:tc>
        <w:tc>
          <w:tcPr>
            <w:tcW w:w="1774" w:type="dxa"/>
            <w:vMerge w:val="restart"/>
            <w:shd w:val="clear" w:color="auto" w:fill="auto"/>
            <w:vAlign w:val="center"/>
          </w:tcPr>
          <w:p w14:paraId="6668892F">
            <w:pPr>
              <w:jc w:val="center"/>
              <w:rPr>
                <w:rFonts w:cs="黑体" w:asciiTheme="minorEastAsia" w:hAnsiTheme="minorEastAsia"/>
                <w:sz w:val="24"/>
              </w:rPr>
            </w:pPr>
            <w:r>
              <w:rPr>
                <w:rFonts w:hint="eastAsia" w:asciiTheme="minorEastAsia" w:hAnsiTheme="minorEastAsia"/>
                <w:sz w:val="24"/>
              </w:rPr>
              <w:t>采购</w:t>
            </w:r>
            <w:r>
              <w:rPr>
                <w:rFonts w:asciiTheme="minorEastAsia" w:hAnsiTheme="minorEastAsia"/>
                <w:sz w:val="24"/>
              </w:rPr>
              <w:t>文件澄清发出的形式</w:t>
            </w:r>
          </w:p>
        </w:tc>
        <w:tc>
          <w:tcPr>
            <w:tcW w:w="6221" w:type="dxa"/>
            <w:shd w:val="clear" w:color="auto" w:fill="auto"/>
            <w:vAlign w:val="center"/>
          </w:tcPr>
          <w:p w14:paraId="0B095217">
            <w:pPr>
              <w:pStyle w:val="35"/>
              <w:snapToGrid w:val="0"/>
              <w:jc w:val="both"/>
              <w:rPr>
                <w:sz w:val="24"/>
                <w:szCs w:val="24"/>
                <w:lang w:eastAsia="zh-CN"/>
              </w:rPr>
            </w:pPr>
            <w:r>
              <w:rPr>
                <w:rFonts w:hint="eastAsia" w:asciiTheme="minorEastAsia" w:hAnsiTheme="minorEastAsia" w:eastAsiaTheme="minorEastAsia"/>
                <w:sz w:val="24"/>
                <w:szCs w:val="24"/>
                <w:lang w:eastAsia="zh-CN"/>
              </w:rPr>
              <w:t>形式：</w:t>
            </w:r>
            <w:r>
              <w:rPr>
                <w:rFonts w:asciiTheme="minorEastAsia" w:hAnsiTheme="minorEastAsia" w:eastAsiaTheme="minorEastAsia"/>
                <w:sz w:val="24"/>
                <w:szCs w:val="24"/>
                <w:lang w:eastAsia="zh-CN"/>
              </w:rPr>
              <w:t>通过</w:t>
            </w:r>
            <w:r>
              <w:rPr>
                <w:rFonts w:hint="eastAsia"/>
                <w:sz w:val="24"/>
                <w:szCs w:val="24"/>
                <w:lang w:eastAsia="zh-CN"/>
              </w:rPr>
              <w:t>中国核工业集团电子采购平台</w:t>
            </w:r>
            <w:r>
              <w:rPr>
                <w:rFonts w:hint="eastAsia" w:asciiTheme="minorEastAsia" w:hAnsiTheme="minorEastAsia" w:eastAsiaTheme="minorEastAsia"/>
                <w:sz w:val="24"/>
                <w:szCs w:val="24"/>
                <w:lang w:eastAsia="zh-CN"/>
              </w:rPr>
              <w:t>发</w:t>
            </w:r>
            <w:r>
              <w:rPr>
                <w:rFonts w:asciiTheme="minorEastAsia" w:hAnsiTheme="minorEastAsia" w:eastAsiaTheme="minorEastAsia"/>
                <w:sz w:val="24"/>
                <w:szCs w:val="24"/>
                <w:lang w:eastAsia="zh-CN"/>
              </w:rPr>
              <w:t>出</w:t>
            </w:r>
            <w:r>
              <w:rPr>
                <w:rFonts w:hint="eastAsia" w:asciiTheme="minorEastAsia" w:hAnsiTheme="minorEastAsia" w:eastAsiaTheme="minorEastAsia"/>
                <w:sz w:val="24"/>
                <w:szCs w:val="24"/>
                <w:lang w:eastAsia="zh-CN"/>
              </w:rPr>
              <w:t>，供应商应实时在电子采购平台上查询澄清文件，供应商未下载澄清文件的，其后果由供应商承担。</w:t>
            </w:r>
          </w:p>
        </w:tc>
      </w:tr>
      <w:tr w14:paraId="60136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185" w:type="dxa"/>
            <w:vMerge w:val="restart"/>
            <w:vAlign w:val="center"/>
          </w:tcPr>
          <w:p w14:paraId="098DB83B">
            <w:pPr>
              <w:jc w:val="center"/>
              <w:rPr>
                <w:rFonts w:asciiTheme="minorEastAsia" w:hAnsiTheme="minorEastAsia" w:cstheme="minorEastAsia"/>
                <w:sz w:val="24"/>
              </w:rPr>
            </w:pPr>
            <w:r>
              <w:rPr>
                <w:rFonts w:hint="eastAsia" w:ascii="宋体" w:hAnsi="宋体" w:eastAsia="宋体" w:cs="宋体"/>
                <w:sz w:val="24"/>
              </w:rPr>
              <w:t>2.2.3</w:t>
            </w:r>
          </w:p>
        </w:tc>
        <w:tc>
          <w:tcPr>
            <w:tcW w:w="1774" w:type="dxa"/>
            <w:vMerge w:val="restart"/>
            <w:vAlign w:val="center"/>
          </w:tcPr>
          <w:p w14:paraId="21A0EAE5">
            <w:pPr>
              <w:jc w:val="center"/>
              <w:rPr>
                <w:rFonts w:asciiTheme="minorEastAsia" w:hAnsiTheme="minorEastAsia" w:cstheme="minorEastAsia"/>
                <w:sz w:val="24"/>
              </w:rPr>
            </w:pPr>
            <w:r>
              <w:rPr>
                <w:rFonts w:hint="eastAsia" w:ascii="宋体" w:hAnsi="宋体" w:eastAsia="宋体" w:cs="宋体"/>
                <w:sz w:val="24"/>
              </w:rPr>
              <w:t>供应商确认收到采购文件补充文件</w:t>
            </w:r>
          </w:p>
        </w:tc>
        <w:tc>
          <w:tcPr>
            <w:tcW w:w="6221" w:type="dxa"/>
            <w:vAlign w:val="center"/>
          </w:tcPr>
          <w:p w14:paraId="53C199F8">
            <w:pPr>
              <w:jc w:val="left"/>
              <w:rPr>
                <w:rFonts w:asciiTheme="minorEastAsia" w:hAnsiTheme="minorEastAsia" w:cstheme="minorEastAsia"/>
                <w:sz w:val="24"/>
              </w:rPr>
            </w:pPr>
            <w:r>
              <w:rPr>
                <w:rFonts w:hint="eastAsia" w:ascii="宋体" w:hAnsi="宋体" w:eastAsia="宋体" w:cs="宋体"/>
                <w:sz w:val="24"/>
              </w:rPr>
              <w:t>确认的最晚时间：补充文件发出后1个工作日内</w:t>
            </w:r>
          </w:p>
        </w:tc>
      </w:tr>
      <w:tr w14:paraId="2C381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85" w:type="dxa"/>
            <w:vMerge w:val="continue"/>
            <w:vAlign w:val="center"/>
          </w:tcPr>
          <w:p w14:paraId="1D2C652E">
            <w:pPr>
              <w:jc w:val="center"/>
              <w:rPr>
                <w:rFonts w:asciiTheme="minorEastAsia" w:hAnsiTheme="minorEastAsia" w:cstheme="minorEastAsia"/>
                <w:sz w:val="24"/>
              </w:rPr>
            </w:pPr>
          </w:p>
        </w:tc>
        <w:tc>
          <w:tcPr>
            <w:tcW w:w="1774" w:type="dxa"/>
            <w:vMerge w:val="continue"/>
            <w:vAlign w:val="center"/>
          </w:tcPr>
          <w:p w14:paraId="0B34C8E3">
            <w:pPr>
              <w:jc w:val="center"/>
              <w:rPr>
                <w:rFonts w:asciiTheme="minorEastAsia" w:hAnsiTheme="minorEastAsia" w:cstheme="minorEastAsia"/>
                <w:sz w:val="24"/>
              </w:rPr>
            </w:pPr>
          </w:p>
        </w:tc>
        <w:tc>
          <w:tcPr>
            <w:tcW w:w="6221" w:type="dxa"/>
            <w:vAlign w:val="center"/>
          </w:tcPr>
          <w:p w14:paraId="7C7806C0">
            <w:pPr>
              <w:jc w:val="left"/>
              <w:rPr>
                <w:rFonts w:asciiTheme="minorEastAsia" w:hAnsiTheme="minorEastAsia" w:cstheme="minorEastAsia"/>
                <w:sz w:val="24"/>
              </w:rPr>
            </w:pPr>
            <w:r>
              <w:rPr>
                <w:rFonts w:hint="eastAsia" w:ascii="宋体" w:hAnsi="宋体" w:eastAsia="宋体" w:cs="宋体"/>
                <w:sz w:val="24"/>
              </w:rPr>
              <w:t>确认的方式：通过中国核工业集团电子采购平台以附件上传的形式回函确认，若未回函，供应商也将被视为收到该补充文件。</w:t>
            </w:r>
          </w:p>
        </w:tc>
      </w:tr>
      <w:tr w14:paraId="537DB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185" w:type="dxa"/>
            <w:vAlign w:val="center"/>
          </w:tcPr>
          <w:p w14:paraId="09F9DFDE">
            <w:pPr>
              <w:jc w:val="center"/>
              <w:rPr>
                <w:rFonts w:asciiTheme="minorEastAsia" w:hAnsiTheme="minorEastAsia" w:cstheme="minorEastAsia"/>
                <w:sz w:val="24"/>
              </w:rPr>
            </w:pPr>
            <w:r>
              <w:rPr>
                <w:rFonts w:hint="eastAsia" w:asciiTheme="minorEastAsia" w:hAnsiTheme="minorEastAsia" w:cstheme="minorEastAsia"/>
                <w:sz w:val="24"/>
              </w:rPr>
              <w:t>3.1.1</w:t>
            </w:r>
          </w:p>
          <w:p w14:paraId="75233B40">
            <w:pPr>
              <w:jc w:val="center"/>
              <w:rPr>
                <w:rFonts w:asciiTheme="minorEastAsia" w:hAnsiTheme="minorEastAsia" w:cstheme="minorEastAsia"/>
                <w:sz w:val="24"/>
              </w:rPr>
            </w:pPr>
            <w:r>
              <w:rPr>
                <w:rFonts w:hint="eastAsia" w:asciiTheme="minorEastAsia" w:hAnsiTheme="minorEastAsia" w:cstheme="minorEastAsia"/>
                <w:sz w:val="24"/>
              </w:rPr>
              <w:t>（9）</w:t>
            </w:r>
          </w:p>
        </w:tc>
        <w:tc>
          <w:tcPr>
            <w:tcW w:w="1774" w:type="dxa"/>
            <w:vAlign w:val="center"/>
          </w:tcPr>
          <w:p w14:paraId="2F53F9A9">
            <w:pPr>
              <w:jc w:val="center"/>
              <w:rPr>
                <w:rFonts w:asciiTheme="minorEastAsia" w:hAnsiTheme="minorEastAsia" w:cstheme="minorEastAsia"/>
                <w:sz w:val="24"/>
              </w:rPr>
            </w:pPr>
            <w:r>
              <w:rPr>
                <w:rFonts w:hint="eastAsia" w:asciiTheme="minorEastAsia" w:hAnsiTheme="minorEastAsia" w:cstheme="minorEastAsia"/>
                <w:sz w:val="24"/>
              </w:rPr>
              <w:t>构成应答文件的其他资料</w:t>
            </w:r>
          </w:p>
        </w:tc>
        <w:tc>
          <w:tcPr>
            <w:tcW w:w="6221" w:type="dxa"/>
            <w:vAlign w:val="center"/>
          </w:tcPr>
          <w:p w14:paraId="7E98C84E">
            <w:pPr>
              <w:jc w:val="left"/>
              <w:rPr>
                <w:rFonts w:asciiTheme="minorEastAsia" w:hAnsiTheme="minorEastAsia" w:cstheme="minorEastAsia"/>
                <w:sz w:val="24"/>
              </w:rPr>
            </w:pPr>
            <w:r>
              <w:rPr>
                <w:rFonts w:hint="eastAsia" w:asciiTheme="minorEastAsia" w:hAnsiTheme="minorEastAsia" w:cstheme="minorEastAsia"/>
                <w:sz w:val="24"/>
                <w:u w:val="single"/>
              </w:rPr>
              <w:t xml:space="preserve">/  </w:t>
            </w:r>
          </w:p>
        </w:tc>
      </w:tr>
      <w:tr w14:paraId="4ABBE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85" w:type="dxa"/>
            <w:vAlign w:val="center"/>
          </w:tcPr>
          <w:p w14:paraId="6B3B8750">
            <w:pPr>
              <w:jc w:val="center"/>
              <w:rPr>
                <w:rFonts w:asciiTheme="minorEastAsia" w:hAnsiTheme="minorEastAsia" w:cstheme="minorEastAsia"/>
                <w:sz w:val="24"/>
              </w:rPr>
            </w:pPr>
            <w:r>
              <w:rPr>
                <w:rFonts w:hint="eastAsia" w:asciiTheme="minorEastAsia" w:hAnsiTheme="minorEastAsia" w:cstheme="minorEastAsia"/>
                <w:sz w:val="24"/>
              </w:rPr>
              <w:t>3.2.1</w:t>
            </w:r>
          </w:p>
        </w:tc>
        <w:tc>
          <w:tcPr>
            <w:tcW w:w="1774" w:type="dxa"/>
            <w:vAlign w:val="center"/>
          </w:tcPr>
          <w:p w14:paraId="77201294">
            <w:pPr>
              <w:jc w:val="center"/>
              <w:rPr>
                <w:rFonts w:asciiTheme="minorEastAsia" w:hAnsiTheme="minorEastAsia" w:cstheme="minorEastAsia"/>
                <w:sz w:val="24"/>
              </w:rPr>
            </w:pPr>
            <w:r>
              <w:rPr>
                <w:rFonts w:hint="eastAsia" w:asciiTheme="minorEastAsia" w:hAnsiTheme="minorEastAsia" w:cstheme="minorEastAsia"/>
                <w:sz w:val="24"/>
              </w:rPr>
              <w:t>采购标的数量增减幅度</w:t>
            </w:r>
          </w:p>
        </w:tc>
        <w:tc>
          <w:tcPr>
            <w:tcW w:w="6221" w:type="dxa"/>
            <w:vAlign w:val="center"/>
          </w:tcPr>
          <w:p w14:paraId="6020C29F">
            <w:pPr>
              <w:jc w:val="left"/>
              <w:rPr>
                <w:rFonts w:asciiTheme="minorEastAsia" w:hAnsiTheme="minorEastAsia" w:cstheme="minorEastAsia"/>
                <w:sz w:val="24"/>
              </w:rPr>
            </w:pPr>
            <w:r>
              <w:rPr>
                <w:rFonts w:hint="eastAsia" w:asciiTheme="minorEastAsia" w:hAnsiTheme="minorEastAsia" w:cstheme="minorEastAsia"/>
                <w:sz w:val="24"/>
              </w:rPr>
              <w:t>采购标的数量增减幅度：</w:t>
            </w:r>
            <w:r>
              <w:rPr>
                <w:rFonts w:hint="eastAsia" w:asciiTheme="minorEastAsia" w:hAnsiTheme="minorEastAsia" w:cstheme="minorEastAsia"/>
                <w:sz w:val="24"/>
                <w:u w:val="single"/>
              </w:rPr>
              <w:t>/</w:t>
            </w:r>
            <w:r>
              <w:rPr>
                <w:rFonts w:hint="eastAsia" w:asciiTheme="minorEastAsia" w:hAnsiTheme="minorEastAsia" w:cstheme="minorEastAsia"/>
                <w:sz w:val="24"/>
              </w:rPr>
              <w:t>%</w:t>
            </w:r>
          </w:p>
        </w:tc>
      </w:tr>
      <w:tr w14:paraId="51F64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185" w:type="dxa"/>
            <w:vAlign w:val="center"/>
          </w:tcPr>
          <w:p w14:paraId="764AE665">
            <w:pPr>
              <w:jc w:val="center"/>
              <w:rPr>
                <w:rFonts w:asciiTheme="minorEastAsia" w:hAnsiTheme="minorEastAsia" w:cstheme="minorEastAsia"/>
                <w:sz w:val="24"/>
              </w:rPr>
            </w:pPr>
            <w:r>
              <w:rPr>
                <w:rFonts w:hint="eastAsia" w:asciiTheme="minorEastAsia" w:hAnsiTheme="minorEastAsia" w:cstheme="minorEastAsia"/>
                <w:sz w:val="24"/>
              </w:rPr>
              <w:t>3.2.2</w:t>
            </w:r>
          </w:p>
        </w:tc>
        <w:tc>
          <w:tcPr>
            <w:tcW w:w="1774" w:type="dxa"/>
            <w:vAlign w:val="center"/>
          </w:tcPr>
          <w:p w14:paraId="73F75E57">
            <w:pPr>
              <w:jc w:val="center"/>
              <w:rPr>
                <w:rFonts w:asciiTheme="minorEastAsia" w:hAnsiTheme="minorEastAsia" w:cstheme="minorEastAsia"/>
                <w:sz w:val="24"/>
              </w:rPr>
            </w:pPr>
            <w:r>
              <w:rPr>
                <w:rFonts w:hint="eastAsia" w:asciiTheme="minorEastAsia" w:hAnsiTheme="minorEastAsia" w:cstheme="minorEastAsia"/>
                <w:sz w:val="24"/>
              </w:rPr>
              <w:t>最高限价或其计算方法</w:t>
            </w:r>
          </w:p>
        </w:tc>
        <w:tc>
          <w:tcPr>
            <w:tcW w:w="6221" w:type="dxa"/>
            <w:vAlign w:val="center"/>
          </w:tcPr>
          <w:p w14:paraId="29154614">
            <w:pPr>
              <w:jc w:val="left"/>
              <w:rPr>
                <w:rFonts w:asciiTheme="minorEastAsia" w:hAnsiTheme="minorEastAsia" w:cstheme="minorEastAsia"/>
                <w:sz w:val="24"/>
              </w:rPr>
            </w:pPr>
            <w:r>
              <w:rPr>
                <w:rFonts w:hint="eastAsia" w:asciiTheme="minorEastAsia" w:hAnsiTheme="minorEastAsia" w:cstheme="minorEastAsia"/>
                <w:i/>
                <w:sz w:val="24"/>
              </w:rPr>
              <w:t>■</w:t>
            </w:r>
            <w:r>
              <w:rPr>
                <w:rFonts w:hint="eastAsia" w:asciiTheme="minorEastAsia" w:hAnsiTheme="minorEastAsia" w:cstheme="minorEastAsia"/>
                <w:sz w:val="24"/>
              </w:rPr>
              <w:t>无</w:t>
            </w:r>
          </w:p>
          <w:p w14:paraId="27908C29">
            <w:pPr>
              <w:jc w:val="left"/>
              <w:rPr>
                <w:rFonts w:asciiTheme="minorEastAsia" w:hAnsiTheme="minorEastAsia" w:cstheme="minorEastAsia"/>
                <w:sz w:val="24"/>
              </w:rPr>
            </w:pPr>
            <w:r>
              <w:rPr>
                <w:rFonts w:hint="eastAsia" w:asciiTheme="minorEastAsia" w:hAnsiTheme="minorEastAsia" w:cstheme="minorEastAsia"/>
                <w:i/>
                <w:sz w:val="24"/>
              </w:rPr>
              <w:t>□</w:t>
            </w:r>
            <w:r>
              <w:rPr>
                <w:rFonts w:hint="eastAsia" w:asciiTheme="minorEastAsia" w:hAnsiTheme="minorEastAsia" w:cstheme="minorEastAsia"/>
                <w:sz w:val="24"/>
              </w:rPr>
              <w:t>有，最高限价：</w:t>
            </w:r>
            <w:r>
              <w:rPr>
                <w:rFonts w:hint="eastAsia" w:asciiTheme="minorEastAsia" w:hAnsiTheme="minorEastAsia" w:cstheme="minorEastAsia"/>
                <w:b/>
                <w:kern w:val="0"/>
                <w:sz w:val="24"/>
              </w:rPr>
              <w:t>人民币</w:t>
            </w:r>
            <w:r>
              <w:rPr>
                <w:rFonts w:hint="eastAsia" w:asciiTheme="minorEastAsia" w:hAnsiTheme="minorEastAsia" w:cstheme="minorEastAsia"/>
                <w:b/>
                <w:kern w:val="0"/>
                <w:sz w:val="24"/>
                <w:u w:val="single"/>
              </w:rPr>
              <w:t>XX</w:t>
            </w:r>
            <w:r>
              <w:rPr>
                <w:rFonts w:hint="eastAsia" w:asciiTheme="minorEastAsia" w:hAnsiTheme="minorEastAsia" w:cstheme="minorEastAsia"/>
                <w:b/>
                <w:kern w:val="0"/>
                <w:sz w:val="24"/>
              </w:rPr>
              <w:t>万元整（¥XXX00000.00）</w:t>
            </w:r>
          </w:p>
          <w:p w14:paraId="1A89C865">
            <w:pPr>
              <w:pStyle w:val="2"/>
              <w:ind w:firstLine="0" w:firstLineChars="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供应商的最终报价不得超过最高限价，否则应答无效。</w:t>
            </w:r>
          </w:p>
        </w:tc>
      </w:tr>
      <w:tr w14:paraId="287BA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185" w:type="dxa"/>
            <w:vAlign w:val="center"/>
          </w:tcPr>
          <w:p w14:paraId="77FD4BF4">
            <w:pPr>
              <w:jc w:val="center"/>
              <w:rPr>
                <w:rFonts w:asciiTheme="minorEastAsia" w:hAnsiTheme="minorEastAsia" w:cstheme="minorEastAsia"/>
                <w:sz w:val="24"/>
              </w:rPr>
            </w:pPr>
            <w:r>
              <w:rPr>
                <w:rFonts w:hint="eastAsia" w:asciiTheme="minorEastAsia" w:hAnsiTheme="minorEastAsia" w:cstheme="minorEastAsia"/>
                <w:sz w:val="24"/>
              </w:rPr>
              <w:t>3.2.3</w:t>
            </w:r>
          </w:p>
        </w:tc>
        <w:tc>
          <w:tcPr>
            <w:tcW w:w="1774" w:type="dxa"/>
            <w:vAlign w:val="center"/>
          </w:tcPr>
          <w:p w14:paraId="69BB0B8C">
            <w:pPr>
              <w:jc w:val="center"/>
              <w:rPr>
                <w:rFonts w:asciiTheme="minorEastAsia" w:hAnsiTheme="minorEastAsia" w:cstheme="minorEastAsia"/>
                <w:sz w:val="24"/>
              </w:rPr>
            </w:pPr>
            <w:r>
              <w:rPr>
                <w:rFonts w:hint="eastAsia" w:asciiTheme="minorEastAsia" w:hAnsiTheme="minorEastAsia" w:cstheme="minorEastAsia"/>
                <w:sz w:val="24"/>
              </w:rPr>
              <w:t>报价的其他要求</w:t>
            </w:r>
          </w:p>
        </w:tc>
        <w:tc>
          <w:tcPr>
            <w:tcW w:w="6221" w:type="dxa"/>
            <w:vAlign w:val="center"/>
          </w:tcPr>
          <w:p w14:paraId="54059707">
            <w:pPr>
              <w:adjustRightInd w:val="0"/>
              <w:snapToGrid w:val="0"/>
              <w:rPr>
                <w:rFonts w:asciiTheme="minorEastAsia" w:hAnsiTheme="minorEastAsia" w:cstheme="minorEastAsia"/>
                <w:sz w:val="24"/>
              </w:rPr>
            </w:pPr>
            <w:r>
              <w:rPr>
                <w:rFonts w:hint="eastAsia" w:asciiTheme="minorEastAsia" w:hAnsiTheme="minorEastAsia" w:cstheme="minorEastAsia"/>
                <w:sz w:val="24"/>
              </w:rPr>
              <w:t>1.报价为</w:t>
            </w:r>
            <w:r>
              <w:rPr>
                <w:rFonts w:hint="eastAsia" w:asciiTheme="minorEastAsia" w:hAnsiTheme="minorEastAsia" w:cstheme="minorEastAsia"/>
                <w:b/>
                <w:bCs/>
                <w:sz w:val="24"/>
              </w:rPr>
              <w:t>项目现场完税价</w:t>
            </w:r>
            <w:r>
              <w:rPr>
                <w:rFonts w:hint="eastAsia" w:asciiTheme="minorEastAsia" w:hAnsiTheme="minorEastAsia" w:cstheme="minorEastAsia"/>
                <w:sz w:val="24"/>
              </w:rPr>
              <w:t>。供应商应按照采购文件要求和服务内容编制谈判报价并合理报价，只能有一个最终报价。即：单价和总价都只允许有一个报价，任何有选择和保留的报价将不予接受。</w:t>
            </w:r>
          </w:p>
          <w:p w14:paraId="54252834">
            <w:pPr>
              <w:overflowPunct w:val="0"/>
              <w:adjustRightInd w:val="0"/>
              <w:snapToGrid w:val="0"/>
              <w:spacing w:line="276" w:lineRule="auto"/>
              <w:jc w:val="left"/>
              <w:rPr>
                <w:rFonts w:asciiTheme="minorEastAsia" w:hAnsiTheme="minorEastAsia" w:cstheme="minorEastAsia"/>
                <w:sz w:val="24"/>
              </w:rPr>
            </w:pPr>
            <w:r>
              <w:rPr>
                <w:rFonts w:hint="eastAsia" w:asciiTheme="minorEastAsia" w:hAnsiTheme="minorEastAsia" w:cstheme="minorEastAsia"/>
                <w:sz w:val="24"/>
              </w:rPr>
              <w:t>2.谈判报价应包含为完成本项目所需的一切费用。报价应是谈判文件所确定的工作范围内的全部内容的价格体现，因此谈判供应商的报价应包括根据谈判文件要求为完成本项目所需的显在的和隐含的一切费用。应答单位应根据采购方的技术要求，仔细计算并考虑风险进行报价。</w:t>
            </w:r>
          </w:p>
          <w:p w14:paraId="5AF495CE">
            <w:pPr>
              <w:jc w:val="left"/>
              <w:rPr>
                <w:rFonts w:asciiTheme="minorEastAsia" w:hAnsiTheme="minorEastAsia" w:cstheme="minorEastAsia"/>
                <w:sz w:val="24"/>
              </w:rPr>
            </w:pPr>
            <w:r>
              <w:rPr>
                <w:rFonts w:hint="eastAsia" w:asciiTheme="minorEastAsia" w:hAnsiTheme="minorEastAsia" w:cstheme="minorEastAsia"/>
                <w:sz w:val="24"/>
              </w:rPr>
              <w:t>除非谈判文件另有规定，应答单位应根据采购项目工作范围及自身情况合理界定软件研制部分（如果有）、总体及硬件部分。分项报价表无法详细列明的，可进一步提供明细表，格式自拟。</w:t>
            </w:r>
          </w:p>
        </w:tc>
      </w:tr>
      <w:tr w14:paraId="516D5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185" w:type="dxa"/>
            <w:vAlign w:val="center"/>
          </w:tcPr>
          <w:p w14:paraId="2E5FB779">
            <w:pPr>
              <w:jc w:val="center"/>
              <w:rPr>
                <w:rFonts w:asciiTheme="minorEastAsia" w:hAnsiTheme="minorEastAsia" w:cstheme="minorEastAsia"/>
                <w:sz w:val="24"/>
              </w:rPr>
            </w:pPr>
            <w:r>
              <w:rPr>
                <w:rFonts w:hint="eastAsia" w:asciiTheme="minorEastAsia" w:hAnsiTheme="minorEastAsia" w:cstheme="minorEastAsia"/>
                <w:sz w:val="24"/>
              </w:rPr>
              <w:t>3.3.1</w:t>
            </w:r>
          </w:p>
        </w:tc>
        <w:tc>
          <w:tcPr>
            <w:tcW w:w="1774" w:type="dxa"/>
            <w:vAlign w:val="center"/>
          </w:tcPr>
          <w:p w14:paraId="15B453AF">
            <w:pPr>
              <w:jc w:val="center"/>
              <w:rPr>
                <w:rFonts w:asciiTheme="minorEastAsia" w:hAnsiTheme="minorEastAsia" w:cstheme="minorEastAsia"/>
                <w:sz w:val="24"/>
              </w:rPr>
            </w:pPr>
            <w:r>
              <w:rPr>
                <w:rFonts w:hint="eastAsia" w:asciiTheme="minorEastAsia" w:hAnsiTheme="minorEastAsia" w:cstheme="minorEastAsia"/>
                <w:sz w:val="24"/>
              </w:rPr>
              <w:t>应答文件有效期</w:t>
            </w:r>
          </w:p>
        </w:tc>
        <w:tc>
          <w:tcPr>
            <w:tcW w:w="6221" w:type="dxa"/>
            <w:vAlign w:val="center"/>
          </w:tcPr>
          <w:p w14:paraId="297B9E0C">
            <w:pPr>
              <w:jc w:val="left"/>
              <w:rPr>
                <w:rFonts w:asciiTheme="minorEastAsia" w:hAnsiTheme="minorEastAsia" w:cstheme="minorEastAsia"/>
                <w:sz w:val="24"/>
              </w:rPr>
            </w:pPr>
            <w:r>
              <w:rPr>
                <w:rFonts w:hint="eastAsia" w:asciiTheme="minorEastAsia" w:hAnsiTheme="minorEastAsia" w:cstheme="minorEastAsia"/>
                <w:sz w:val="24"/>
              </w:rPr>
              <w:t>递交应答文件的截止时间后</w:t>
            </w:r>
            <w:r>
              <w:rPr>
                <w:rFonts w:hint="eastAsia" w:asciiTheme="minorEastAsia" w:hAnsiTheme="minorEastAsia" w:cstheme="minorEastAsia"/>
                <w:b/>
                <w:sz w:val="24"/>
                <w:u w:val="single"/>
              </w:rPr>
              <w:t>120</w:t>
            </w:r>
            <w:r>
              <w:rPr>
                <w:rFonts w:hint="eastAsia" w:asciiTheme="minorEastAsia" w:hAnsiTheme="minorEastAsia" w:cstheme="minorEastAsia"/>
                <w:sz w:val="24"/>
              </w:rPr>
              <w:t>日历日。</w:t>
            </w:r>
          </w:p>
        </w:tc>
      </w:tr>
      <w:tr w14:paraId="68C8E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185" w:type="dxa"/>
            <w:vAlign w:val="center"/>
          </w:tcPr>
          <w:p w14:paraId="44811FD4">
            <w:pPr>
              <w:jc w:val="center"/>
              <w:rPr>
                <w:rFonts w:asciiTheme="minorEastAsia" w:hAnsiTheme="minorEastAsia" w:cstheme="minorEastAsia"/>
                <w:sz w:val="24"/>
              </w:rPr>
            </w:pPr>
            <w:r>
              <w:rPr>
                <w:rFonts w:hint="eastAsia" w:asciiTheme="minorEastAsia" w:hAnsiTheme="minorEastAsia" w:cstheme="minorEastAsia"/>
                <w:sz w:val="24"/>
              </w:rPr>
              <w:t>3.4.1</w:t>
            </w:r>
          </w:p>
        </w:tc>
        <w:tc>
          <w:tcPr>
            <w:tcW w:w="1774" w:type="dxa"/>
            <w:vAlign w:val="center"/>
          </w:tcPr>
          <w:p w14:paraId="2C14EEDB">
            <w:pPr>
              <w:jc w:val="center"/>
              <w:rPr>
                <w:rFonts w:asciiTheme="minorEastAsia" w:hAnsiTheme="minorEastAsia" w:cstheme="minorEastAsia"/>
                <w:sz w:val="24"/>
              </w:rPr>
            </w:pPr>
            <w:r>
              <w:rPr>
                <w:rFonts w:hint="eastAsia" w:ascii="宋体" w:hAnsi="宋体" w:eastAsia="宋体" w:cs="宋体"/>
                <w:sz w:val="24"/>
              </w:rPr>
              <w:t>应答保证金</w:t>
            </w:r>
          </w:p>
        </w:tc>
        <w:tc>
          <w:tcPr>
            <w:tcW w:w="6221" w:type="dxa"/>
            <w:vAlign w:val="center"/>
          </w:tcPr>
          <w:p w14:paraId="135A60F2">
            <w:pPr>
              <w:rPr>
                <w:rFonts w:ascii="宋体" w:hAnsi="宋体" w:eastAsia="宋体" w:cs="宋体"/>
                <w:sz w:val="24"/>
              </w:rPr>
            </w:pPr>
            <w:r>
              <w:rPr>
                <w:rFonts w:hint="eastAsia" w:ascii="宋体" w:hAnsi="宋体" w:eastAsia="宋体" w:cs="宋体"/>
                <w:sz w:val="24"/>
              </w:rPr>
              <w:t>是否要求供应商提交保证金：</w:t>
            </w:r>
          </w:p>
          <w:p w14:paraId="614928E0">
            <w:pPr>
              <w:rPr>
                <w:rFonts w:ascii="宋体" w:hAnsi="宋体" w:eastAsia="宋体" w:cs="宋体"/>
                <w:sz w:val="24"/>
              </w:rPr>
            </w:pPr>
            <w:r>
              <w:rPr>
                <w:rFonts w:hint="eastAsia" w:ascii="宋体" w:hAnsi="宋体" w:eastAsia="宋体" w:cs="宋体"/>
                <w:i/>
                <w:sz w:val="24"/>
              </w:rPr>
              <w:t>□</w:t>
            </w:r>
            <w:r>
              <w:rPr>
                <w:rFonts w:hint="eastAsia" w:ascii="宋体" w:hAnsi="宋体" w:eastAsia="宋体" w:cs="宋体"/>
                <w:sz w:val="24"/>
              </w:rPr>
              <w:t>不要求提交</w:t>
            </w:r>
          </w:p>
          <w:p w14:paraId="51C56693">
            <w:pPr>
              <w:rPr>
                <w:b/>
                <w:bCs/>
                <w:sz w:val="24"/>
                <w:u w:val="single"/>
              </w:rPr>
            </w:pPr>
            <w:r>
              <w:rPr>
                <w:rFonts w:hint="eastAsia" w:ascii="宋体" w:hAnsi="宋体" w:eastAsia="宋体" w:cs="宋体"/>
                <w:i/>
                <w:sz w:val="24"/>
              </w:rPr>
              <w:t>■</w:t>
            </w:r>
            <w:r>
              <w:rPr>
                <w:rFonts w:hint="eastAsia" w:ascii="宋体" w:hAnsi="宋体" w:eastAsia="宋体" w:cs="宋体"/>
                <w:sz w:val="24"/>
              </w:rPr>
              <w:t>要求提交，</w:t>
            </w:r>
            <w:r>
              <w:rPr>
                <w:rFonts w:hint="eastAsia"/>
                <w:b/>
                <w:bCs/>
                <w:sz w:val="24"/>
              </w:rPr>
              <w:t>应</w:t>
            </w:r>
            <w:r>
              <w:rPr>
                <w:rFonts w:hint="eastAsia" w:ascii="宋体" w:hAnsi="宋体" w:eastAsia="宋体" w:cs="宋体"/>
                <w:b/>
                <w:bCs/>
                <w:sz w:val="24"/>
              </w:rPr>
              <w:t>答保证金的金额：</w:t>
            </w:r>
            <w:r>
              <w:rPr>
                <w:rFonts w:hint="eastAsia" w:ascii="宋体" w:hAnsi="宋体" w:eastAsia="宋体" w:cs="宋体"/>
                <w:b/>
                <w:bCs/>
                <w:sz w:val="24"/>
                <w:u w:val="single"/>
              </w:rPr>
              <w:t>（大写）人民币壹万伍仟元整（小写：¥15000.00）。</w:t>
            </w:r>
          </w:p>
          <w:p w14:paraId="615FCF84">
            <w:pPr>
              <w:pStyle w:val="2"/>
              <w:ind w:firstLine="210"/>
              <w:rPr>
                <w:lang w:eastAsia="zh-CN"/>
              </w:rPr>
            </w:pPr>
          </w:p>
          <w:p w14:paraId="2734CE53">
            <w:pPr>
              <w:pStyle w:val="35"/>
              <w:snapToGrid w:val="0"/>
              <w:ind w:right="102"/>
              <w:jc w:val="both"/>
              <w:rPr>
                <w:sz w:val="24"/>
                <w:szCs w:val="24"/>
                <w:lang w:eastAsia="zh-CN"/>
              </w:rPr>
            </w:pPr>
            <w:r>
              <w:rPr>
                <w:rFonts w:hint="eastAsia"/>
                <w:sz w:val="24"/>
                <w:lang w:eastAsia="zh-CN"/>
              </w:rPr>
              <w:t>应答保证金</w:t>
            </w:r>
            <w:r>
              <w:rPr>
                <w:rFonts w:hint="eastAsia"/>
                <w:sz w:val="24"/>
                <w:szCs w:val="24"/>
                <w:lang w:eastAsia="zh-CN"/>
              </w:rPr>
              <w:t>的形式：</w:t>
            </w:r>
          </w:p>
          <w:p w14:paraId="5BF1E858">
            <w:pPr>
              <w:pStyle w:val="35"/>
              <w:snapToGrid w:val="0"/>
              <w:rPr>
                <w:rFonts w:cs="Arial" w:asciiTheme="minorEastAsia" w:hAnsiTheme="minorEastAsia" w:eastAsiaTheme="minorEastAsia"/>
                <w:sz w:val="24"/>
                <w:szCs w:val="24"/>
                <w:lang w:eastAsia="zh-CN"/>
              </w:rPr>
            </w:pPr>
            <w:r>
              <w:rPr>
                <w:rFonts w:hint="eastAsia" w:asciiTheme="minorEastAsia" w:hAnsiTheme="minorEastAsia" w:eastAsiaTheme="minorEastAsia"/>
                <w:b/>
                <w:bCs/>
                <w:sz w:val="24"/>
                <w:szCs w:val="24"/>
                <w:lang w:eastAsia="zh-CN"/>
              </w:rPr>
              <w:t>1.电汇转账：</w:t>
            </w:r>
            <w:r>
              <w:rPr>
                <w:rFonts w:hint="eastAsia" w:cs="Arial" w:asciiTheme="minorEastAsia" w:hAnsiTheme="minorEastAsia" w:eastAsiaTheme="minorEastAsia"/>
                <w:sz w:val="24"/>
                <w:szCs w:val="24"/>
                <w:lang w:eastAsia="zh-CN"/>
              </w:rPr>
              <w:t>如电汇，应向中国核工业集团电子采购平台生成的账户[此账户为虚拟账户，资金实际进入中科信工程咨询（北京）有限责任公司账户]电汇转出。应答文件应附汇款证明材料复印件。</w:t>
            </w:r>
          </w:p>
          <w:p w14:paraId="3D176A71">
            <w:pPr>
              <w:pStyle w:val="35"/>
              <w:snapToGrid w:val="0"/>
              <w:rPr>
                <w:b/>
                <w:sz w:val="24"/>
                <w:szCs w:val="24"/>
                <w:lang w:val="en-GB" w:eastAsia="zh-CN"/>
              </w:rPr>
            </w:pPr>
            <w:r>
              <w:rPr>
                <w:rFonts w:hint="eastAsia"/>
                <w:b/>
                <w:bCs/>
                <w:sz w:val="24"/>
                <w:szCs w:val="24"/>
                <w:lang w:eastAsia="zh-CN"/>
              </w:rPr>
              <w:t>2.</w:t>
            </w:r>
            <w:r>
              <w:rPr>
                <w:rStyle w:val="25"/>
                <w:rFonts w:hint="eastAsia"/>
                <w:color w:val="333333"/>
                <w:sz w:val="24"/>
                <w:szCs w:val="24"/>
                <w:shd w:val="clear" w:color="auto" w:fill="FFFFFF"/>
                <w:lang w:eastAsia="zh-CN"/>
              </w:rPr>
              <w:t>保函（保险）</w:t>
            </w:r>
            <w:r>
              <w:rPr>
                <w:rFonts w:hint="eastAsia"/>
                <w:b/>
                <w:sz w:val="24"/>
                <w:szCs w:val="24"/>
                <w:lang w:eastAsia="zh-CN"/>
              </w:rPr>
              <w:t>：供应商如采用</w:t>
            </w:r>
            <w:r>
              <w:rPr>
                <w:rFonts w:hint="eastAsia"/>
                <w:b/>
                <w:color w:val="333333"/>
                <w:sz w:val="24"/>
                <w:szCs w:val="24"/>
                <w:shd w:val="clear" w:color="auto" w:fill="FFFFFF"/>
                <w:lang w:eastAsia="zh-CN"/>
              </w:rPr>
              <w:t>担保机构的保函、保险机构的保单等其他非现金交易担保方式缴纳应答保证金，鼓励使用电子</w:t>
            </w:r>
            <w:r>
              <w:rPr>
                <w:rStyle w:val="25"/>
                <w:rFonts w:hint="eastAsia"/>
                <w:color w:val="333333"/>
                <w:sz w:val="24"/>
                <w:szCs w:val="24"/>
                <w:shd w:val="clear" w:color="auto" w:fill="FFFFFF"/>
                <w:lang w:eastAsia="zh-CN"/>
              </w:rPr>
              <w:t>保函（保险）</w:t>
            </w:r>
            <w:r>
              <w:rPr>
                <w:rFonts w:hint="eastAsia"/>
                <w:b/>
                <w:color w:val="333333"/>
                <w:sz w:val="24"/>
                <w:szCs w:val="24"/>
                <w:shd w:val="clear" w:color="auto" w:fill="FFFFFF"/>
                <w:lang w:eastAsia="zh-CN"/>
              </w:rPr>
              <w:t>。</w:t>
            </w:r>
            <w:r>
              <w:rPr>
                <w:rFonts w:hint="eastAsia"/>
                <w:b/>
                <w:sz w:val="24"/>
                <w:szCs w:val="24"/>
                <w:lang w:eastAsia="zh-CN"/>
              </w:rPr>
              <w:t>如提交电子保函（保险），应答文件相关部分应附电子保函（保险）原件，</w:t>
            </w:r>
            <w:r>
              <w:rPr>
                <w:rFonts w:hint="eastAsia"/>
                <w:b/>
                <w:sz w:val="24"/>
                <w:szCs w:val="24"/>
                <w:lang w:val="en-GB" w:eastAsia="zh-CN"/>
              </w:rPr>
              <w:t>电子</w:t>
            </w:r>
            <w:r>
              <w:rPr>
                <w:rStyle w:val="25"/>
                <w:rFonts w:hint="eastAsia"/>
                <w:color w:val="333333"/>
                <w:sz w:val="24"/>
                <w:szCs w:val="24"/>
                <w:shd w:val="clear" w:color="auto" w:fill="FFFFFF"/>
                <w:lang w:eastAsia="zh-CN"/>
              </w:rPr>
              <w:t>保函（保险）</w:t>
            </w:r>
            <w:r>
              <w:rPr>
                <w:rFonts w:hint="eastAsia"/>
                <w:b/>
                <w:sz w:val="24"/>
                <w:szCs w:val="24"/>
                <w:lang w:val="en-GB" w:eastAsia="zh-CN"/>
              </w:rPr>
              <w:t>有效期应与</w:t>
            </w:r>
            <w:r>
              <w:rPr>
                <w:rFonts w:hint="eastAsia"/>
                <w:b/>
                <w:sz w:val="24"/>
                <w:szCs w:val="24"/>
                <w:lang w:eastAsia="zh-CN"/>
              </w:rPr>
              <w:t>应答文件</w:t>
            </w:r>
            <w:r>
              <w:rPr>
                <w:rFonts w:hint="eastAsia"/>
                <w:b/>
                <w:sz w:val="24"/>
                <w:szCs w:val="24"/>
                <w:lang w:val="en-GB" w:eastAsia="zh-CN"/>
              </w:rPr>
              <w:t>有效期一致。</w:t>
            </w:r>
            <w:r>
              <w:rPr>
                <w:rFonts w:hint="eastAsia"/>
                <w:b/>
                <w:sz w:val="24"/>
                <w:szCs w:val="24"/>
                <w:u w:val="single"/>
                <w:lang w:eastAsia="zh-CN"/>
              </w:rPr>
              <w:t>如递交的</w:t>
            </w:r>
            <w:r>
              <w:rPr>
                <w:rStyle w:val="25"/>
                <w:rFonts w:hint="eastAsia"/>
                <w:color w:val="333333"/>
                <w:sz w:val="24"/>
                <w:szCs w:val="24"/>
                <w:u w:val="single"/>
                <w:shd w:val="clear" w:color="auto" w:fill="FFFFFF"/>
                <w:lang w:eastAsia="zh-CN"/>
              </w:rPr>
              <w:t>保函（保险）</w:t>
            </w:r>
            <w:r>
              <w:rPr>
                <w:rFonts w:hint="eastAsia"/>
                <w:b/>
                <w:sz w:val="24"/>
                <w:szCs w:val="24"/>
                <w:u w:val="single"/>
                <w:lang w:eastAsia="zh-CN"/>
              </w:rPr>
              <w:t>为纸质版，请供应商单独密封纸质</w:t>
            </w:r>
            <w:r>
              <w:rPr>
                <w:rStyle w:val="25"/>
                <w:rFonts w:hint="eastAsia"/>
                <w:color w:val="333333"/>
                <w:sz w:val="24"/>
                <w:szCs w:val="24"/>
                <w:u w:val="single"/>
                <w:shd w:val="clear" w:color="auto" w:fill="FFFFFF"/>
                <w:lang w:eastAsia="zh-CN"/>
              </w:rPr>
              <w:t>保函（保险）</w:t>
            </w:r>
            <w:r>
              <w:rPr>
                <w:rFonts w:hint="eastAsia"/>
                <w:b/>
                <w:sz w:val="24"/>
                <w:szCs w:val="24"/>
                <w:u w:val="single"/>
                <w:lang w:eastAsia="zh-CN"/>
              </w:rPr>
              <w:t>原件，于应答截止时间前递交给代理机构，</w:t>
            </w:r>
            <w:r>
              <w:rPr>
                <w:rStyle w:val="25"/>
                <w:rFonts w:hint="eastAsia"/>
                <w:color w:val="333333"/>
                <w:sz w:val="24"/>
                <w:szCs w:val="24"/>
                <w:u w:val="single"/>
                <w:shd w:val="clear" w:color="auto" w:fill="FFFFFF"/>
                <w:lang w:eastAsia="zh-CN"/>
              </w:rPr>
              <w:t>保函（保险）</w:t>
            </w:r>
            <w:r>
              <w:rPr>
                <w:rFonts w:hint="eastAsia"/>
                <w:b/>
                <w:sz w:val="24"/>
                <w:szCs w:val="24"/>
                <w:u w:val="single"/>
                <w:lang w:val="en-GB" w:eastAsia="zh-CN"/>
              </w:rPr>
              <w:t>有效期应与</w:t>
            </w:r>
            <w:r>
              <w:rPr>
                <w:rFonts w:hint="eastAsia"/>
                <w:b/>
                <w:sz w:val="24"/>
                <w:szCs w:val="24"/>
                <w:u w:val="single"/>
                <w:lang w:eastAsia="zh-CN"/>
              </w:rPr>
              <w:t>应答文件</w:t>
            </w:r>
            <w:r>
              <w:rPr>
                <w:rFonts w:hint="eastAsia"/>
                <w:b/>
                <w:sz w:val="24"/>
                <w:szCs w:val="24"/>
                <w:u w:val="single"/>
                <w:lang w:val="en-GB" w:eastAsia="zh-CN"/>
              </w:rPr>
              <w:t>有效期一致。</w:t>
            </w:r>
          </w:p>
          <w:p w14:paraId="489454F1">
            <w:pPr>
              <w:pStyle w:val="35"/>
              <w:snapToGrid w:val="0"/>
              <w:rPr>
                <w:rFonts w:asciiTheme="minorEastAsia" w:hAnsiTheme="minorEastAsia" w:eastAsiaTheme="minorEastAsia" w:cstheme="minorEastAsia"/>
                <w:i/>
                <w:sz w:val="24"/>
                <w:szCs w:val="24"/>
                <w:lang w:eastAsia="zh-CN"/>
              </w:rPr>
            </w:pPr>
            <w:r>
              <w:rPr>
                <w:rFonts w:hint="eastAsia"/>
                <w:sz w:val="24"/>
                <w:szCs w:val="24"/>
                <w:lang w:val="en-GB" w:eastAsia="zh-CN"/>
              </w:rPr>
              <w:t>应答保证金不接收现钞。</w:t>
            </w:r>
          </w:p>
        </w:tc>
      </w:tr>
      <w:tr w14:paraId="48198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185" w:type="dxa"/>
            <w:vAlign w:val="center"/>
          </w:tcPr>
          <w:p w14:paraId="0AB201FF">
            <w:pPr>
              <w:jc w:val="center"/>
              <w:rPr>
                <w:rFonts w:asciiTheme="minorEastAsia" w:hAnsiTheme="minorEastAsia" w:cstheme="minorEastAsia"/>
                <w:sz w:val="24"/>
              </w:rPr>
            </w:pPr>
            <w:r>
              <w:rPr>
                <w:rFonts w:hint="eastAsia" w:asciiTheme="minorEastAsia" w:hAnsiTheme="minorEastAsia" w:cstheme="minorEastAsia"/>
                <w:sz w:val="24"/>
              </w:rPr>
              <w:t>3.4.3</w:t>
            </w:r>
          </w:p>
          <w:p w14:paraId="6197E41D">
            <w:pPr>
              <w:jc w:val="center"/>
              <w:rPr>
                <w:rFonts w:asciiTheme="minorEastAsia" w:hAnsiTheme="minorEastAsia" w:cstheme="minorEastAsia"/>
                <w:sz w:val="24"/>
              </w:rPr>
            </w:pPr>
            <w:r>
              <w:rPr>
                <w:rFonts w:hint="eastAsia" w:asciiTheme="minorEastAsia" w:hAnsiTheme="minorEastAsia" w:cstheme="minorEastAsia"/>
                <w:sz w:val="24"/>
              </w:rPr>
              <w:t>(3)</w:t>
            </w:r>
          </w:p>
        </w:tc>
        <w:tc>
          <w:tcPr>
            <w:tcW w:w="1774" w:type="dxa"/>
            <w:vAlign w:val="center"/>
          </w:tcPr>
          <w:p w14:paraId="0A555240">
            <w:pPr>
              <w:jc w:val="center"/>
              <w:rPr>
                <w:rFonts w:asciiTheme="minorEastAsia" w:hAnsiTheme="minorEastAsia" w:cstheme="minorEastAsia"/>
                <w:sz w:val="24"/>
              </w:rPr>
            </w:pPr>
            <w:r>
              <w:rPr>
                <w:rFonts w:hint="eastAsia" w:asciiTheme="minorEastAsia" w:hAnsiTheme="minorEastAsia" w:cstheme="minorEastAsia"/>
                <w:sz w:val="24"/>
              </w:rPr>
              <w:t>不退还应答保证金的其他情形</w:t>
            </w:r>
          </w:p>
        </w:tc>
        <w:tc>
          <w:tcPr>
            <w:tcW w:w="6221" w:type="dxa"/>
            <w:vAlign w:val="center"/>
          </w:tcPr>
          <w:p w14:paraId="0E624918">
            <w:pPr>
              <w:jc w:val="left"/>
              <w:rPr>
                <w:rFonts w:asciiTheme="minorEastAsia" w:hAnsiTheme="minorEastAsia" w:cstheme="minorEastAsia"/>
                <w:b/>
                <w:sz w:val="24"/>
              </w:rPr>
            </w:pPr>
            <w:r>
              <w:rPr>
                <w:rFonts w:hint="eastAsia" w:asciiTheme="minorEastAsia" w:hAnsiTheme="minorEastAsia" w:cstheme="minorEastAsia"/>
                <w:b/>
                <w:sz w:val="24"/>
              </w:rPr>
              <w:t>供应商有串通、弄虚作假、行贿等违法行为的。</w:t>
            </w:r>
          </w:p>
          <w:p w14:paraId="7DD460B3">
            <w:pPr>
              <w:pStyle w:val="2"/>
              <w:ind w:firstLine="240"/>
              <w:rPr>
                <w:rFonts w:asciiTheme="minorEastAsia" w:hAnsiTheme="minorEastAsia" w:eastAsiaTheme="minorEastAsia" w:cstheme="minorEastAsia"/>
                <w:sz w:val="24"/>
                <w:szCs w:val="24"/>
                <w:lang w:eastAsia="zh-CN"/>
              </w:rPr>
            </w:pPr>
          </w:p>
          <w:p w14:paraId="764FA6B4">
            <w:pPr>
              <w:jc w:val="left"/>
              <w:rPr>
                <w:rFonts w:asciiTheme="minorEastAsia" w:hAnsiTheme="minorEastAsia" w:cstheme="minorEastAsia"/>
                <w:sz w:val="24"/>
              </w:rPr>
            </w:pPr>
            <w:r>
              <w:rPr>
                <w:rFonts w:hint="eastAsia" w:asciiTheme="minorEastAsia" w:hAnsiTheme="minorEastAsia" w:cstheme="minorEastAsia"/>
                <w:sz w:val="24"/>
              </w:rPr>
              <w:t>不予退还应答保证金的，由应答保证金收取单位据采购单位的书面通知或行政监督部门的书面处理意见，将应答保证金转至指定账户。</w:t>
            </w:r>
          </w:p>
        </w:tc>
      </w:tr>
      <w:tr w14:paraId="7F83C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185" w:type="dxa"/>
            <w:vAlign w:val="center"/>
          </w:tcPr>
          <w:p w14:paraId="119D6586">
            <w:pPr>
              <w:jc w:val="center"/>
              <w:rPr>
                <w:rFonts w:asciiTheme="minorEastAsia" w:hAnsiTheme="minorEastAsia" w:cstheme="minorEastAsia"/>
                <w:sz w:val="24"/>
              </w:rPr>
            </w:pPr>
            <w:r>
              <w:rPr>
                <w:rFonts w:hint="eastAsia" w:asciiTheme="minorEastAsia" w:hAnsiTheme="minorEastAsia" w:cstheme="minorEastAsia"/>
                <w:sz w:val="24"/>
              </w:rPr>
              <w:t>3.5.1</w:t>
            </w:r>
          </w:p>
        </w:tc>
        <w:tc>
          <w:tcPr>
            <w:tcW w:w="1774" w:type="dxa"/>
            <w:vAlign w:val="center"/>
          </w:tcPr>
          <w:p w14:paraId="4CC468A4">
            <w:pPr>
              <w:jc w:val="center"/>
              <w:rPr>
                <w:rFonts w:asciiTheme="minorEastAsia" w:hAnsiTheme="minorEastAsia" w:cstheme="minorEastAsia"/>
                <w:sz w:val="24"/>
              </w:rPr>
            </w:pPr>
            <w:r>
              <w:rPr>
                <w:rFonts w:hint="eastAsia" w:asciiTheme="minorEastAsia" w:hAnsiTheme="minorEastAsia" w:cstheme="minorEastAsia"/>
                <w:sz w:val="24"/>
              </w:rPr>
              <w:t>资格审查资料的要求</w:t>
            </w:r>
          </w:p>
        </w:tc>
        <w:tc>
          <w:tcPr>
            <w:tcW w:w="6221" w:type="dxa"/>
            <w:vAlign w:val="center"/>
          </w:tcPr>
          <w:p w14:paraId="4F9A0309">
            <w:pPr>
              <w:rPr>
                <w:rFonts w:asciiTheme="minorEastAsia" w:hAnsiTheme="minorEastAsia" w:cstheme="minorEastAsia"/>
                <w:sz w:val="24"/>
              </w:rPr>
            </w:pPr>
            <w:r>
              <w:rPr>
                <w:rFonts w:hint="eastAsia" w:asciiTheme="minorEastAsia" w:hAnsiTheme="minorEastAsia" w:cstheme="minorEastAsia"/>
                <w:sz w:val="24"/>
              </w:rPr>
              <w:t>供应商应具备承担本采购项目资质条件、能力和信誉，提供下列证明资料：</w:t>
            </w:r>
          </w:p>
        </w:tc>
      </w:tr>
      <w:tr w14:paraId="37C1F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185" w:type="dxa"/>
            <w:vAlign w:val="center"/>
          </w:tcPr>
          <w:p w14:paraId="3BABFE53">
            <w:pPr>
              <w:jc w:val="center"/>
              <w:rPr>
                <w:rFonts w:asciiTheme="minorEastAsia" w:hAnsiTheme="minorEastAsia" w:cstheme="minorEastAsia"/>
                <w:sz w:val="24"/>
              </w:rPr>
            </w:pPr>
            <w:r>
              <w:rPr>
                <w:rFonts w:hint="eastAsia" w:asciiTheme="minorEastAsia" w:hAnsiTheme="minorEastAsia" w:cstheme="minorEastAsia"/>
                <w:sz w:val="24"/>
              </w:rPr>
              <w:t>3.5.1 (1)</w:t>
            </w:r>
          </w:p>
        </w:tc>
        <w:tc>
          <w:tcPr>
            <w:tcW w:w="1774" w:type="dxa"/>
            <w:vAlign w:val="center"/>
          </w:tcPr>
          <w:p w14:paraId="7FE1D060">
            <w:pPr>
              <w:jc w:val="center"/>
              <w:rPr>
                <w:rFonts w:asciiTheme="minorEastAsia" w:hAnsiTheme="minorEastAsia" w:cstheme="minorEastAsia"/>
                <w:sz w:val="24"/>
              </w:rPr>
            </w:pPr>
            <w:r>
              <w:rPr>
                <w:rFonts w:hint="eastAsia" w:asciiTheme="minorEastAsia" w:hAnsiTheme="minorEastAsia" w:cstheme="minorEastAsia"/>
                <w:sz w:val="24"/>
              </w:rPr>
              <w:t>依法设立的证明材料</w:t>
            </w:r>
          </w:p>
        </w:tc>
        <w:tc>
          <w:tcPr>
            <w:tcW w:w="6221" w:type="dxa"/>
            <w:vAlign w:val="center"/>
          </w:tcPr>
          <w:p w14:paraId="2927EED9">
            <w:pPr>
              <w:rPr>
                <w:rFonts w:asciiTheme="minorEastAsia" w:hAnsiTheme="minorEastAsia" w:cstheme="minorEastAsia"/>
                <w:sz w:val="24"/>
              </w:rPr>
            </w:pPr>
            <w:r>
              <w:rPr>
                <w:rFonts w:hint="eastAsia" w:asciiTheme="minorEastAsia" w:hAnsiTheme="minorEastAsia" w:cstheme="minorEastAsia"/>
                <w:sz w:val="24"/>
              </w:rPr>
              <w:t>详见第一章谈判采购邀请书/谈判采购公告3.供应商资格要求。</w:t>
            </w:r>
          </w:p>
        </w:tc>
      </w:tr>
      <w:tr w14:paraId="56FDE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1185" w:type="dxa"/>
            <w:vAlign w:val="center"/>
          </w:tcPr>
          <w:p w14:paraId="3A169B4D">
            <w:pPr>
              <w:jc w:val="center"/>
              <w:rPr>
                <w:rFonts w:asciiTheme="minorEastAsia" w:hAnsiTheme="minorEastAsia" w:cstheme="minorEastAsia"/>
                <w:sz w:val="24"/>
              </w:rPr>
            </w:pPr>
            <w:r>
              <w:rPr>
                <w:rFonts w:hint="eastAsia" w:asciiTheme="minorEastAsia" w:hAnsiTheme="minorEastAsia" w:cstheme="minorEastAsia"/>
                <w:sz w:val="24"/>
              </w:rPr>
              <w:t>3.5.1 (2)</w:t>
            </w:r>
          </w:p>
        </w:tc>
        <w:tc>
          <w:tcPr>
            <w:tcW w:w="1774" w:type="dxa"/>
            <w:vAlign w:val="center"/>
          </w:tcPr>
          <w:p w14:paraId="794454B2">
            <w:pPr>
              <w:jc w:val="center"/>
              <w:rPr>
                <w:rFonts w:asciiTheme="minorEastAsia" w:hAnsiTheme="minorEastAsia" w:cstheme="minorEastAsia"/>
                <w:sz w:val="24"/>
              </w:rPr>
            </w:pPr>
            <w:r>
              <w:rPr>
                <w:rFonts w:hint="eastAsia" w:asciiTheme="minorEastAsia" w:hAnsiTheme="minorEastAsia" w:cstheme="minorEastAsia"/>
                <w:sz w:val="24"/>
              </w:rPr>
              <w:t>资质要求证明材料</w:t>
            </w:r>
          </w:p>
        </w:tc>
        <w:tc>
          <w:tcPr>
            <w:tcW w:w="6221" w:type="dxa"/>
            <w:vAlign w:val="center"/>
          </w:tcPr>
          <w:p w14:paraId="1C08B896">
            <w:pPr>
              <w:rPr>
                <w:rFonts w:asciiTheme="minorEastAsia" w:hAnsiTheme="minorEastAsia" w:cstheme="minorEastAsia"/>
                <w:sz w:val="24"/>
              </w:rPr>
            </w:pPr>
            <w:r>
              <w:rPr>
                <w:rFonts w:hint="eastAsia" w:asciiTheme="minorEastAsia" w:hAnsiTheme="minorEastAsia" w:cstheme="minorEastAsia"/>
                <w:sz w:val="24"/>
              </w:rPr>
              <w:t>详见第一章谈判采购邀请书/谈判采购公告3.供应商资格要求。</w:t>
            </w:r>
          </w:p>
        </w:tc>
      </w:tr>
      <w:tr w14:paraId="33813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185" w:type="dxa"/>
            <w:vAlign w:val="center"/>
          </w:tcPr>
          <w:p w14:paraId="70523D3F">
            <w:pPr>
              <w:jc w:val="center"/>
              <w:rPr>
                <w:rFonts w:asciiTheme="minorEastAsia" w:hAnsiTheme="minorEastAsia" w:cstheme="minorEastAsia"/>
                <w:sz w:val="24"/>
              </w:rPr>
            </w:pPr>
            <w:r>
              <w:rPr>
                <w:rFonts w:hint="eastAsia" w:asciiTheme="minorEastAsia" w:hAnsiTheme="minorEastAsia" w:cstheme="minorEastAsia"/>
                <w:sz w:val="24"/>
              </w:rPr>
              <w:t>3.5.1 (3)</w:t>
            </w:r>
          </w:p>
        </w:tc>
        <w:tc>
          <w:tcPr>
            <w:tcW w:w="1774" w:type="dxa"/>
            <w:vAlign w:val="center"/>
          </w:tcPr>
          <w:p w14:paraId="170D0C8A">
            <w:pPr>
              <w:jc w:val="center"/>
              <w:rPr>
                <w:rFonts w:asciiTheme="minorEastAsia" w:hAnsiTheme="minorEastAsia" w:cstheme="minorEastAsia"/>
                <w:sz w:val="24"/>
              </w:rPr>
            </w:pPr>
            <w:r>
              <w:rPr>
                <w:rFonts w:hint="eastAsia" w:asciiTheme="minorEastAsia" w:hAnsiTheme="minorEastAsia" w:cstheme="minorEastAsia"/>
                <w:sz w:val="24"/>
              </w:rPr>
              <w:t>财务要求证明材料</w:t>
            </w:r>
          </w:p>
        </w:tc>
        <w:tc>
          <w:tcPr>
            <w:tcW w:w="6221" w:type="dxa"/>
            <w:vAlign w:val="center"/>
          </w:tcPr>
          <w:p w14:paraId="57916146">
            <w:pPr>
              <w:pStyle w:val="3"/>
              <w:adjustRightInd w:val="0"/>
              <w:snapToGrid w:val="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详见第一章谈判采购邀请书/谈判采购公告3.供应商资格要求。</w:t>
            </w:r>
          </w:p>
          <w:p w14:paraId="71D3D608">
            <w:pPr>
              <w:pStyle w:val="3"/>
              <w:adjustRightInd w:val="0"/>
              <w:snapToGrid w:val="0"/>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注：（1）若供应商为母公司的，应至少提供母公司财务会计报表，否则应答无效；提供的财务会计报表包含母公司报表及合并报表的，在认定财务指标时，以母公司报表中的数值为准。</w:t>
            </w:r>
          </w:p>
          <w:p w14:paraId="4B7CECCE">
            <w:pPr>
              <w:pStyle w:val="3"/>
              <w:adjustRightInd w:val="0"/>
              <w:snapToGrid w:val="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（2）当近三年财务报表出现连续年度关联数据不一致时，以最近的年度财务报表数值为准。</w:t>
            </w:r>
          </w:p>
        </w:tc>
      </w:tr>
      <w:tr w14:paraId="36D68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185" w:type="dxa"/>
            <w:vAlign w:val="center"/>
          </w:tcPr>
          <w:p w14:paraId="3BBE0AEA">
            <w:pPr>
              <w:jc w:val="center"/>
              <w:rPr>
                <w:rFonts w:asciiTheme="minorEastAsia" w:hAnsiTheme="minorEastAsia" w:cstheme="minorEastAsia"/>
                <w:sz w:val="24"/>
              </w:rPr>
            </w:pPr>
            <w:r>
              <w:rPr>
                <w:rFonts w:hint="eastAsia" w:asciiTheme="minorEastAsia" w:hAnsiTheme="minorEastAsia" w:cstheme="minorEastAsia"/>
                <w:sz w:val="24"/>
              </w:rPr>
              <w:t>3.5.1（4）</w:t>
            </w:r>
          </w:p>
        </w:tc>
        <w:tc>
          <w:tcPr>
            <w:tcW w:w="1774" w:type="dxa"/>
            <w:vAlign w:val="center"/>
          </w:tcPr>
          <w:p w14:paraId="2880AEA7">
            <w:pPr>
              <w:jc w:val="center"/>
              <w:rPr>
                <w:rFonts w:asciiTheme="minorEastAsia" w:hAnsiTheme="minorEastAsia" w:cstheme="minorEastAsia"/>
                <w:sz w:val="24"/>
              </w:rPr>
            </w:pPr>
            <w:r>
              <w:rPr>
                <w:rFonts w:hint="eastAsia" w:asciiTheme="minorEastAsia" w:hAnsiTheme="minorEastAsia" w:cstheme="minorEastAsia"/>
                <w:sz w:val="24"/>
              </w:rPr>
              <w:t>业绩要求证明材料</w:t>
            </w:r>
          </w:p>
        </w:tc>
        <w:tc>
          <w:tcPr>
            <w:tcW w:w="6221" w:type="dxa"/>
            <w:vAlign w:val="center"/>
          </w:tcPr>
          <w:p w14:paraId="6D439D12">
            <w:pPr>
              <w:rPr>
                <w:rFonts w:asciiTheme="minorEastAsia" w:hAnsiTheme="minorEastAsia" w:cstheme="minorEastAsia"/>
                <w:sz w:val="24"/>
              </w:rPr>
            </w:pPr>
            <w:r>
              <w:rPr>
                <w:rFonts w:hint="eastAsia" w:asciiTheme="minorEastAsia" w:hAnsiTheme="minorEastAsia" w:cstheme="minorEastAsia"/>
                <w:sz w:val="24"/>
              </w:rPr>
              <w:t>详见第一章谈判采购邀请书/谈判采购公告3.供应商资格要求。</w:t>
            </w:r>
          </w:p>
        </w:tc>
      </w:tr>
      <w:tr w14:paraId="7DC34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185" w:type="dxa"/>
            <w:vAlign w:val="center"/>
          </w:tcPr>
          <w:p w14:paraId="68F1DEA8">
            <w:pPr>
              <w:jc w:val="center"/>
              <w:rPr>
                <w:rFonts w:asciiTheme="minorEastAsia" w:hAnsiTheme="minorEastAsia" w:cstheme="minorEastAsia"/>
                <w:sz w:val="24"/>
              </w:rPr>
            </w:pPr>
            <w:r>
              <w:rPr>
                <w:rFonts w:hint="eastAsia" w:asciiTheme="minorEastAsia" w:hAnsiTheme="minorEastAsia" w:cstheme="minorEastAsia"/>
                <w:sz w:val="24"/>
              </w:rPr>
              <w:t>3.5.1（5）</w:t>
            </w:r>
          </w:p>
        </w:tc>
        <w:tc>
          <w:tcPr>
            <w:tcW w:w="1774" w:type="dxa"/>
            <w:vAlign w:val="center"/>
          </w:tcPr>
          <w:p w14:paraId="322414A3">
            <w:pPr>
              <w:jc w:val="center"/>
              <w:rPr>
                <w:rFonts w:asciiTheme="minorEastAsia" w:hAnsiTheme="minorEastAsia" w:cstheme="minorEastAsia"/>
                <w:sz w:val="24"/>
              </w:rPr>
            </w:pPr>
            <w:r>
              <w:rPr>
                <w:rFonts w:hint="eastAsia" w:asciiTheme="minorEastAsia" w:hAnsiTheme="minorEastAsia" w:cstheme="minorEastAsia"/>
                <w:sz w:val="24"/>
              </w:rPr>
              <w:t>信誉要求证明材料</w:t>
            </w:r>
          </w:p>
        </w:tc>
        <w:tc>
          <w:tcPr>
            <w:tcW w:w="6221" w:type="dxa"/>
            <w:vAlign w:val="center"/>
          </w:tcPr>
          <w:p w14:paraId="3D3A71EA">
            <w:pPr>
              <w:rPr>
                <w:rFonts w:asciiTheme="minorEastAsia" w:hAnsiTheme="minorEastAsia" w:cstheme="minorEastAsia"/>
                <w:sz w:val="24"/>
              </w:rPr>
            </w:pPr>
            <w:r>
              <w:rPr>
                <w:rFonts w:hint="eastAsia" w:asciiTheme="minorEastAsia" w:hAnsiTheme="minorEastAsia" w:cstheme="minorEastAsia"/>
                <w:sz w:val="24"/>
              </w:rPr>
              <w:t>详见第一章谈判采购邀请书/谈判采购公告3.供应商资格要求。</w:t>
            </w:r>
          </w:p>
        </w:tc>
      </w:tr>
      <w:tr w14:paraId="0D112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185" w:type="dxa"/>
            <w:vAlign w:val="center"/>
          </w:tcPr>
          <w:p w14:paraId="1453606A">
            <w:pPr>
              <w:jc w:val="center"/>
              <w:rPr>
                <w:rFonts w:asciiTheme="minorEastAsia" w:hAnsiTheme="minorEastAsia" w:cstheme="minorEastAsia"/>
                <w:sz w:val="24"/>
              </w:rPr>
            </w:pPr>
            <w:r>
              <w:rPr>
                <w:rFonts w:hint="eastAsia" w:asciiTheme="minorEastAsia" w:hAnsiTheme="minorEastAsia" w:cstheme="minorEastAsia"/>
                <w:sz w:val="24"/>
              </w:rPr>
              <w:t>3.5.1（6）</w:t>
            </w:r>
          </w:p>
        </w:tc>
        <w:tc>
          <w:tcPr>
            <w:tcW w:w="1774" w:type="dxa"/>
            <w:vAlign w:val="center"/>
          </w:tcPr>
          <w:p w14:paraId="28631722">
            <w:pPr>
              <w:jc w:val="center"/>
              <w:rPr>
                <w:rFonts w:asciiTheme="minorEastAsia" w:hAnsiTheme="minorEastAsia" w:cstheme="minorEastAsia"/>
                <w:sz w:val="24"/>
              </w:rPr>
            </w:pPr>
            <w:r>
              <w:rPr>
                <w:rFonts w:hint="eastAsia" w:asciiTheme="minorEastAsia" w:hAnsiTheme="minorEastAsia" w:cstheme="minorEastAsia"/>
                <w:sz w:val="24"/>
              </w:rPr>
              <w:t>承担本项目的主要人员要求证明材料</w:t>
            </w:r>
          </w:p>
        </w:tc>
        <w:tc>
          <w:tcPr>
            <w:tcW w:w="6221" w:type="dxa"/>
            <w:vAlign w:val="center"/>
          </w:tcPr>
          <w:p w14:paraId="72337F11">
            <w:pPr>
              <w:rPr>
                <w:rFonts w:asciiTheme="minorEastAsia" w:hAnsiTheme="minorEastAsia" w:cstheme="minorEastAsia"/>
                <w:sz w:val="24"/>
              </w:rPr>
            </w:pPr>
            <w:r>
              <w:rPr>
                <w:rFonts w:hint="eastAsia" w:asciiTheme="minorEastAsia" w:hAnsiTheme="minorEastAsia" w:cstheme="minorEastAsia"/>
                <w:sz w:val="24"/>
              </w:rPr>
              <w:t>详见第一章谈判采购邀请书/谈判采购公告3.供应商资格要求。</w:t>
            </w:r>
          </w:p>
        </w:tc>
      </w:tr>
      <w:tr w14:paraId="7CD0B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185" w:type="dxa"/>
            <w:vAlign w:val="center"/>
          </w:tcPr>
          <w:p w14:paraId="07886586">
            <w:pPr>
              <w:jc w:val="center"/>
              <w:rPr>
                <w:rFonts w:asciiTheme="minorEastAsia" w:hAnsiTheme="minorEastAsia" w:cstheme="minorEastAsia"/>
                <w:sz w:val="24"/>
              </w:rPr>
            </w:pPr>
            <w:r>
              <w:rPr>
                <w:rFonts w:hint="eastAsia" w:asciiTheme="minorEastAsia" w:hAnsiTheme="minorEastAsia" w:cstheme="minorEastAsia"/>
                <w:sz w:val="24"/>
              </w:rPr>
              <w:t>3.5.1（7）</w:t>
            </w:r>
          </w:p>
        </w:tc>
        <w:tc>
          <w:tcPr>
            <w:tcW w:w="1774" w:type="dxa"/>
            <w:vAlign w:val="center"/>
          </w:tcPr>
          <w:p w14:paraId="51299130">
            <w:pPr>
              <w:jc w:val="center"/>
              <w:rPr>
                <w:rFonts w:asciiTheme="minorEastAsia" w:hAnsiTheme="minorEastAsia" w:cstheme="minorEastAsia"/>
                <w:sz w:val="24"/>
              </w:rPr>
            </w:pPr>
            <w:r>
              <w:rPr>
                <w:rFonts w:hint="eastAsia" w:asciiTheme="minorEastAsia" w:hAnsiTheme="minorEastAsia" w:cstheme="minorEastAsia"/>
                <w:sz w:val="24"/>
              </w:rPr>
              <w:t>其他要求的证明材料</w:t>
            </w:r>
          </w:p>
        </w:tc>
        <w:tc>
          <w:tcPr>
            <w:tcW w:w="6221" w:type="dxa"/>
            <w:vAlign w:val="center"/>
          </w:tcPr>
          <w:p w14:paraId="505A64E4">
            <w:pPr>
              <w:pStyle w:val="3"/>
              <w:tabs>
                <w:tab w:val="left" w:pos="2812"/>
                <w:tab w:val="left" w:pos="4300"/>
              </w:tabs>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kern w:val="2"/>
                <w:sz w:val="24"/>
                <w:szCs w:val="24"/>
                <w:lang w:eastAsia="zh-CN"/>
              </w:rPr>
              <w:t>详见第一章谈判采购邀请书/谈判采购公告3.供应商资格要求。</w:t>
            </w:r>
          </w:p>
        </w:tc>
      </w:tr>
      <w:tr w14:paraId="17418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85" w:type="dxa"/>
            <w:vAlign w:val="center"/>
          </w:tcPr>
          <w:p w14:paraId="552A5506">
            <w:pPr>
              <w:jc w:val="center"/>
              <w:rPr>
                <w:rFonts w:asciiTheme="minorEastAsia" w:hAnsiTheme="minorEastAsia" w:cstheme="minorEastAsia"/>
                <w:sz w:val="24"/>
              </w:rPr>
            </w:pPr>
            <w:r>
              <w:rPr>
                <w:rFonts w:hint="eastAsia" w:asciiTheme="minorEastAsia" w:hAnsiTheme="minorEastAsia" w:cstheme="minorEastAsia"/>
                <w:sz w:val="24"/>
              </w:rPr>
              <w:t>3.5.3</w:t>
            </w:r>
          </w:p>
        </w:tc>
        <w:tc>
          <w:tcPr>
            <w:tcW w:w="1774" w:type="dxa"/>
            <w:vAlign w:val="center"/>
          </w:tcPr>
          <w:p w14:paraId="1505A0E8">
            <w:pPr>
              <w:jc w:val="center"/>
              <w:rPr>
                <w:rFonts w:asciiTheme="minorEastAsia" w:hAnsiTheme="minorEastAsia" w:cstheme="minorEastAsia"/>
                <w:sz w:val="24"/>
              </w:rPr>
            </w:pPr>
            <w:r>
              <w:rPr>
                <w:rFonts w:hint="eastAsia" w:asciiTheme="minorEastAsia" w:hAnsiTheme="minorEastAsia" w:cstheme="minorEastAsia"/>
                <w:sz w:val="24"/>
              </w:rPr>
              <w:t>联合体要求的证明材料</w:t>
            </w:r>
          </w:p>
        </w:tc>
        <w:tc>
          <w:tcPr>
            <w:tcW w:w="6221" w:type="dxa"/>
            <w:vAlign w:val="center"/>
          </w:tcPr>
          <w:p w14:paraId="0268BEBC">
            <w:pPr>
              <w:rPr>
                <w:rFonts w:asciiTheme="minorEastAsia" w:hAnsiTheme="minorEastAsia" w:cstheme="minorEastAsia"/>
                <w:sz w:val="24"/>
              </w:rPr>
            </w:pPr>
            <w:r>
              <w:rPr>
                <w:rFonts w:hint="eastAsia" w:asciiTheme="minorEastAsia" w:hAnsiTheme="minorEastAsia" w:cstheme="minorEastAsia"/>
                <w:i/>
                <w:sz w:val="24"/>
              </w:rPr>
              <w:t>■</w:t>
            </w:r>
            <w:r>
              <w:rPr>
                <w:rFonts w:hint="eastAsia" w:asciiTheme="minorEastAsia" w:hAnsiTheme="minorEastAsia" w:cstheme="minorEastAsia"/>
                <w:sz w:val="24"/>
              </w:rPr>
              <w:t>不适用。</w:t>
            </w:r>
          </w:p>
          <w:p w14:paraId="5E3A1742">
            <w:pPr>
              <w:rPr>
                <w:rFonts w:asciiTheme="minorEastAsia" w:hAnsiTheme="minorEastAsia" w:cstheme="minorEastAsia"/>
                <w:i/>
                <w:sz w:val="24"/>
              </w:rPr>
            </w:pPr>
            <w:r>
              <w:rPr>
                <w:rFonts w:hint="eastAsia" w:asciiTheme="minorEastAsia" w:hAnsiTheme="minorEastAsia" w:cstheme="minorEastAsia"/>
                <w:i/>
                <w:sz w:val="24"/>
              </w:rPr>
              <w:t>□</w:t>
            </w:r>
            <w:r>
              <w:rPr>
                <w:rFonts w:hint="eastAsia" w:asciiTheme="minorEastAsia" w:hAnsiTheme="minorEastAsia" w:cstheme="minorEastAsia"/>
                <w:sz w:val="24"/>
              </w:rPr>
              <w:t>适用。供应商应按照谈判采购文件提供的格式（格式见第六章所述格式）拟定联合体协议书，并提供联合体协议书的原件。联合体协议书应明确联合体各方的分工。</w:t>
            </w:r>
          </w:p>
        </w:tc>
      </w:tr>
      <w:tr w14:paraId="6FC6E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185" w:type="dxa"/>
            <w:vAlign w:val="center"/>
          </w:tcPr>
          <w:p w14:paraId="209AA8A8">
            <w:pPr>
              <w:jc w:val="center"/>
              <w:rPr>
                <w:rFonts w:asciiTheme="minorEastAsia" w:hAnsiTheme="minorEastAsia" w:cstheme="minorEastAsia"/>
                <w:color w:val="FF0000"/>
                <w:sz w:val="24"/>
              </w:rPr>
            </w:pPr>
            <w:r>
              <w:rPr>
                <w:rFonts w:hint="eastAsia" w:asciiTheme="minorEastAsia" w:hAnsiTheme="minorEastAsia" w:cstheme="minorEastAsia"/>
                <w:sz w:val="24"/>
              </w:rPr>
              <w:t>3.7.7</w:t>
            </w:r>
          </w:p>
        </w:tc>
        <w:tc>
          <w:tcPr>
            <w:tcW w:w="1774" w:type="dxa"/>
            <w:vAlign w:val="center"/>
          </w:tcPr>
          <w:p w14:paraId="7C07D3BC">
            <w:pPr>
              <w:jc w:val="center"/>
              <w:rPr>
                <w:rFonts w:asciiTheme="minorEastAsia" w:hAnsiTheme="minorEastAsia" w:cstheme="minorEastAsia"/>
                <w:sz w:val="24"/>
              </w:rPr>
            </w:pPr>
            <w:r>
              <w:rPr>
                <w:rFonts w:hint="eastAsia" w:asciiTheme="minorEastAsia" w:hAnsiTheme="minorEastAsia" w:cstheme="minorEastAsia"/>
                <w:sz w:val="24"/>
              </w:rPr>
              <w:t>应答文件副本份数及电子版要求</w:t>
            </w:r>
          </w:p>
        </w:tc>
        <w:tc>
          <w:tcPr>
            <w:tcW w:w="6221" w:type="dxa"/>
            <w:vAlign w:val="center"/>
          </w:tcPr>
          <w:p w14:paraId="1312A5B3">
            <w:pPr>
              <w:rPr>
                <w:rFonts w:asciiTheme="minorEastAsia" w:hAnsiTheme="minorEastAsia" w:cstheme="minorEastAsia"/>
                <w:sz w:val="24"/>
              </w:rPr>
            </w:pPr>
            <w:r>
              <w:rPr>
                <w:rFonts w:hint="eastAsia" w:asciiTheme="minorEastAsia" w:hAnsiTheme="minorEastAsia" w:cstheme="minorEastAsia"/>
                <w:sz w:val="24"/>
              </w:rPr>
              <w:t>正本的份数：1份。</w:t>
            </w:r>
          </w:p>
          <w:p w14:paraId="44D94DE2">
            <w:pPr>
              <w:rPr>
                <w:rFonts w:asciiTheme="minorEastAsia" w:hAnsiTheme="minorEastAsia" w:cstheme="minorEastAsia"/>
                <w:sz w:val="24"/>
              </w:rPr>
            </w:pPr>
            <w:r>
              <w:rPr>
                <w:rFonts w:hint="eastAsia" w:asciiTheme="minorEastAsia" w:hAnsiTheme="minorEastAsia" w:cstheme="minorEastAsia"/>
                <w:sz w:val="24"/>
              </w:rPr>
              <w:t>副本的份数：3份。</w:t>
            </w:r>
          </w:p>
          <w:p w14:paraId="62BDC7D8">
            <w:pPr>
              <w:pStyle w:val="35"/>
              <w:tabs>
                <w:tab w:val="left" w:pos="6311"/>
              </w:tabs>
              <w:snapToGrid w:val="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是否要求提交电子版文件：1份</w:t>
            </w:r>
          </w:p>
          <w:p w14:paraId="05E5A444">
            <w:pPr>
              <w:pStyle w:val="35"/>
              <w:tabs>
                <w:tab w:val="left" w:pos="6311"/>
              </w:tabs>
              <w:jc w:val="both"/>
              <w:rPr>
                <w:rFonts w:asciiTheme="minorEastAsia" w:hAnsiTheme="minorEastAsia" w:cstheme="minorEastAsia"/>
                <w:sz w:val="24"/>
                <w:lang w:eastAsia="zh-CN"/>
              </w:rPr>
            </w:pPr>
            <w:r>
              <w:rPr>
                <w:rFonts w:hint="eastAsia" w:asciiTheme="minorEastAsia" w:hAnsiTheme="minorEastAsia" w:eastAsiaTheme="minorEastAsia" w:cstheme="minorEastAsia"/>
                <w:sz w:val="24"/>
                <w:szCs w:val="24"/>
                <w:lang w:eastAsia="zh-CN"/>
              </w:rPr>
              <w:t>其他要求：电子版</w:t>
            </w:r>
            <w:r>
              <w:rPr>
                <w:rFonts w:hint="eastAsia" w:asciiTheme="minorEastAsia" w:hAnsiTheme="minorEastAsia" w:cstheme="minorEastAsia"/>
                <w:sz w:val="24"/>
                <w:lang w:eastAsia="zh-CN"/>
              </w:rPr>
              <w:t>使用U盘载体，可编辑的word版及签字盖章的PDF版；</w:t>
            </w:r>
          </w:p>
          <w:p w14:paraId="3ACE6269">
            <w:pPr>
              <w:pStyle w:val="2"/>
              <w:ind w:firstLine="0" w:firstLineChars="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应答文件电子版密封方式：单独放入一个密封袋中，加贴封条，并标记“应答文件电子版”字样。</w:t>
            </w:r>
          </w:p>
          <w:p w14:paraId="082557C6">
            <w:pPr>
              <w:rPr>
                <w:rFonts w:asciiTheme="minorEastAsia" w:hAnsiTheme="minorEastAsia" w:cstheme="minorEastAsia"/>
                <w:sz w:val="24"/>
              </w:rPr>
            </w:pPr>
            <w:r>
              <w:rPr>
                <w:rFonts w:hint="eastAsia" w:asciiTheme="minorEastAsia" w:hAnsiTheme="minorEastAsia" w:cstheme="minorEastAsia"/>
                <w:sz w:val="24"/>
              </w:rPr>
              <w:t>电子版应答文件还须在中国核工业集团电子采购平台上传递交（并在平台上进行首次报价）。</w:t>
            </w:r>
            <w:r>
              <w:rPr>
                <w:rFonts w:hint="eastAsia" w:asciiTheme="minorEastAsia" w:hAnsiTheme="minorEastAsia" w:cstheme="minorEastAsia"/>
                <w:sz w:val="24"/>
              </w:rPr>
              <w:tab/>
            </w:r>
          </w:p>
          <w:p w14:paraId="7AC48859">
            <w:pPr>
              <w:tabs>
                <w:tab w:val="left" w:pos="2999"/>
              </w:tabs>
              <w:spacing w:before="15"/>
              <w:rPr>
                <w:rFonts w:asciiTheme="minorEastAsia" w:hAnsiTheme="minorEastAsia" w:cstheme="minorEastAsia"/>
                <w:sz w:val="24"/>
              </w:rPr>
            </w:pPr>
            <w:r>
              <w:rPr>
                <w:rFonts w:hint="eastAsia" w:asciiTheme="minorEastAsia" w:hAnsiTheme="minorEastAsia" w:cstheme="minorEastAsia"/>
                <w:kern w:val="0"/>
                <w:sz w:val="24"/>
              </w:rPr>
              <w:t>注：</w:t>
            </w:r>
            <w:r>
              <w:rPr>
                <w:rFonts w:hint="eastAsia" w:asciiTheme="minorEastAsia" w:hAnsiTheme="minorEastAsia" w:cstheme="minorEastAsia"/>
                <w:b/>
                <w:bCs/>
                <w:kern w:val="0"/>
                <w:sz w:val="24"/>
              </w:rPr>
              <w:t>供应商所提供的应答文件密级不得超过采购文件、技术规格书等发售文件的最高密级。</w:t>
            </w:r>
          </w:p>
        </w:tc>
      </w:tr>
      <w:tr w14:paraId="74F6B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185" w:type="dxa"/>
            <w:vAlign w:val="center"/>
          </w:tcPr>
          <w:p w14:paraId="23EF0629">
            <w:pPr>
              <w:jc w:val="center"/>
              <w:rPr>
                <w:rFonts w:asciiTheme="minorEastAsia" w:hAnsiTheme="minorEastAsia" w:cstheme="minorEastAsia"/>
                <w:color w:val="FF0000"/>
                <w:sz w:val="24"/>
              </w:rPr>
            </w:pPr>
            <w:r>
              <w:rPr>
                <w:rFonts w:hint="eastAsia" w:asciiTheme="minorEastAsia" w:hAnsiTheme="minorEastAsia" w:cstheme="minorEastAsia"/>
                <w:sz w:val="24"/>
              </w:rPr>
              <w:t>3.7.8</w:t>
            </w:r>
          </w:p>
        </w:tc>
        <w:tc>
          <w:tcPr>
            <w:tcW w:w="1774" w:type="dxa"/>
            <w:vAlign w:val="center"/>
          </w:tcPr>
          <w:p w14:paraId="593AF56D">
            <w:pPr>
              <w:jc w:val="center"/>
              <w:rPr>
                <w:rFonts w:asciiTheme="minorEastAsia" w:hAnsiTheme="minorEastAsia" w:cstheme="minorEastAsia"/>
                <w:sz w:val="24"/>
              </w:rPr>
            </w:pPr>
            <w:r>
              <w:rPr>
                <w:rFonts w:hint="eastAsia" w:asciiTheme="minorEastAsia" w:hAnsiTheme="minorEastAsia" w:cstheme="minorEastAsia"/>
                <w:sz w:val="24"/>
              </w:rPr>
              <w:t>分册装订要求</w:t>
            </w:r>
          </w:p>
        </w:tc>
        <w:tc>
          <w:tcPr>
            <w:tcW w:w="6221" w:type="dxa"/>
            <w:vAlign w:val="center"/>
          </w:tcPr>
          <w:p w14:paraId="2CF03406">
            <w:pPr>
              <w:pStyle w:val="35"/>
              <w:snapToGrid w:val="0"/>
              <w:ind w:right="144"/>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i/>
                <w:sz w:val="24"/>
                <w:szCs w:val="24"/>
                <w:lang w:eastAsia="zh-CN"/>
              </w:rPr>
              <w:t>■</w:t>
            </w:r>
            <w:r>
              <w:rPr>
                <w:rFonts w:hint="eastAsia" w:asciiTheme="minorEastAsia" w:hAnsiTheme="minorEastAsia" w:eastAsiaTheme="minorEastAsia" w:cstheme="minorEastAsia"/>
                <w:sz w:val="24"/>
                <w:szCs w:val="24"/>
                <w:lang w:eastAsia="zh-CN"/>
              </w:rPr>
              <w:t>不需要，供应商自行决定</w:t>
            </w:r>
          </w:p>
          <w:p w14:paraId="654717D0">
            <w:pPr>
              <w:pStyle w:val="35"/>
              <w:snapToGrid w:val="0"/>
              <w:ind w:right="144"/>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i/>
                <w:sz w:val="24"/>
                <w:szCs w:val="24"/>
                <w:lang w:eastAsia="zh-CN"/>
              </w:rPr>
              <w:t>□</w:t>
            </w:r>
            <w:r>
              <w:rPr>
                <w:rFonts w:hint="eastAsia" w:asciiTheme="minorEastAsia" w:hAnsiTheme="minorEastAsia" w:eastAsiaTheme="minorEastAsia" w:cstheme="minorEastAsia"/>
                <w:sz w:val="24"/>
                <w:szCs w:val="24"/>
                <w:lang w:eastAsia="zh-CN"/>
              </w:rPr>
              <w:t>需要，分册装订要求：/</w:t>
            </w:r>
          </w:p>
          <w:p w14:paraId="3B268A72">
            <w:pPr>
              <w:rPr>
                <w:rFonts w:asciiTheme="minorEastAsia" w:hAnsiTheme="minorEastAsia" w:cstheme="minorEastAsia"/>
                <w:sz w:val="24"/>
              </w:rPr>
            </w:pPr>
            <w:r>
              <w:rPr>
                <w:rFonts w:hint="eastAsia" w:asciiTheme="minorEastAsia" w:hAnsiTheme="minorEastAsia" w:cstheme="minorEastAsia"/>
                <w:b/>
                <w:sz w:val="24"/>
              </w:rPr>
              <w:t>其他要求：</w:t>
            </w:r>
            <w:r>
              <w:rPr>
                <w:rFonts w:hint="eastAsia" w:asciiTheme="minorEastAsia" w:hAnsiTheme="minorEastAsia" w:cstheme="minorEastAsia"/>
                <w:sz w:val="24"/>
              </w:rPr>
              <w:t>应答文件正本与副本应采用胶装左侧固定方式并标注页码。</w:t>
            </w:r>
            <w:r>
              <w:rPr>
                <w:rFonts w:hint="eastAsia" w:asciiTheme="minorEastAsia" w:hAnsiTheme="minorEastAsia" w:cstheme="minorEastAsia"/>
                <w:b/>
                <w:sz w:val="24"/>
              </w:rPr>
              <w:t>不得采用活页夹等随时拆换的方式装订，不得有零散页。</w:t>
            </w:r>
            <w:r>
              <w:rPr>
                <w:rFonts w:hint="eastAsia" w:asciiTheme="minorEastAsia" w:hAnsiTheme="minorEastAsia" w:cstheme="minorEastAsia"/>
                <w:sz w:val="24"/>
              </w:rPr>
              <w:t>正本和副本封面右上角应清晰标记“正本”或“副本”字样，副本可为正本的复印件。</w:t>
            </w:r>
          </w:p>
        </w:tc>
      </w:tr>
      <w:tr w14:paraId="4C79D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185" w:type="dxa"/>
            <w:vAlign w:val="center"/>
          </w:tcPr>
          <w:p w14:paraId="1EAAF3D6">
            <w:pPr>
              <w:rPr>
                <w:rFonts w:asciiTheme="minorEastAsia" w:hAnsiTheme="minorEastAsia" w:cstheme="minorEastAsia"/>
                <w:sz w:val="24"/>
              </w:rPr>
            </w:pPr>
            <w:r>
              <w:rPr>
                <w:rFonts w:hint="eastAsia" w:ascii="宋体" w:hAnsi="宋体" w:eastAsia="宋体" w:cs="宋体"/>
                <w:sz w:val="24"/>
              </w:rPr>
              <w:t>3.7.9</w:t>
            </w:r>
          </w:p>
        </w:tc>
        <w:tc>
          <w:tcPr>
            <w:tcW w:w="1774" w:type="dxa"/>
            <w:vAlign w:val="center"/>
          </w:tcPr>
          <w:p w14:paraId="4D5E4351">
            <w:pPr>
              <w:pStyle w:val="35"/>
              <w:snapToGrid w:val="0"/>
              <w:jc w:val="both"/>
              <w:rPr>
                <w:rFonts w:asciiTheme="minorEastAsia" w:hAnsiTheme="minorEastAsia" w:cstheme="minorEastAsia"/>
                <w:sz w:val="24"/>
              </w:rPr>
            </w:pPr>
            <w:r>
              <w:rPr>
                <w:rFonts w:hint="eastAsia"/>
                <w:sz w:val="24"/>
                <w:szCs w:val="24"/>
                <w:lang w:eastAsia="zh-CN"/>
              </w:rPr>
              <w:t>应答文件的标志</w:t>
            </w:r>
          </w:p>
        </w:tc>
        <w:tc>
          <w:tcPr>
            <w:tcW w:w="6221" w:type="dxa"/>
            <w:vAlign w:val="center"/>
          </w:tcPr>
          <w:p w14:paraId="2AA37027">
            <w:pPr>
              <w:pStyle w:val="3"/>
              <w:adjustRightInd w:val="0"/>
              <w:snapToGrid w:val="0"/>
              <w:jc w:val="both"/>
              <w:rPr>
                <w:b/>
                <w:bCs/>
                <w:sz w:val="24"/>
                <w:szCs w:val="24"/>
                <w:lang w:eastAsia="zh-CN"/>
              </w:rPr>
            </w:pPr>
            <w:r>
              <w:rPr>
                <w:rFonts w:hint="eastAsia"/>
                <w:b/>
                <w:bCs/>
                <w:sz w:val="24"/>
                <w:szCs w:val="24"/>
                <w:lang w:eastAsia="zh-CN"/>
              </w:rPr>
              <w:t>重要提示：</w:t>
            </w:r>
          </w:p>
          <w:p w14:paraId="31AB05D1">
            <w:pPr>
              <w:pStyle w:val="39"/>
              <w:numPr>
                <w:ilvl w:val="0"/>
                <w:numId w:val="5"/>
              </w:numPr>
              <w:ind w:firstLine="0" w:firstLineChars="0"/>
              <w:rPr>
                <w:rFonts w:ascii="宋体" w:hAnsi="宋体" w:eastAsia="宋体" w:cs="宋体"/>
                <w:b/>
                <w:bCs/>
                <w:sz w:val="24"/>
                <w:u w:val="single"/>
              </w:rPr>
            </w:pPr>
            <w:r>
              <w:rPr>
                <w:rFonts w:hint="eastAsia" w:ascii="宋体" w:hAnsi="宋体" w:eastAsia="宋体" w:cs="宋体"/>
                <w:b/>
                <w:bCs/>
                <w:sz w:val="24"/>
              </w:rPr>
              <w:t>拒收情形：</w:t>
            </w:r>
            <w:r>
              <w:rPr>
                <w:rFonts w:hint="eastAsia" w:ascii="宋体" w:hAnsi="宋体" w:eastAsia="宋体" w:cs="宋体"/>
                <w:sz w:val="24"/>
              </w:rPr>
              <w:t>本项目采购文件及技术规格书标志均为非密的，供应商递交的</w:t>
            </w:r>
            <w:r>
              <w:rPr>
                <w:rFonts w:hint="eastAsia" w:ascii="宋体" w:hAnsi="宋体" w:eastAsia="宋体" w:cs="宋体"/>
                <w:b/>
                <w:bCs/>
                <w:sz w:val="24"/>
                <w:u w:val="single"/>
              </w:rPr>
              <w:t>应答文件封面中，凡带有国家秘密标志（任何含有国家秘密字眼的标志）的、工作秘密（敏感信息）标志（含内部、商密等标志），一律予以拒收；</w:t>
            </w:r>
          </w:p>
          <w:p w14:paraId="293D413E">
            <w:pPr>
              <w:pStyle w:val="39"/>
              <w:numPr>
                <w:ilvl w:val="0"/>
                <w:numId w:val="5"/>
              </w:numPr>
              <w:ind w:firstLine="0" w:firstLineChars="0"/>
              <w:rPr>
                <w:rFonts w:ascii="宋体" w:hAnsi="宋体" w:eastAsia="宋体" w:cs="宋体"/>
                <w:b/>
                <w:sz w:val="24"/>
              </w:rPr>
            </w:pPr>
            <w:r>
              <w:rPr>
                <w:rFonts w:hint="eastAsia" w:ascii="宋体" w:hAnsi="宋体" w:eastAsia="宋体" w:cs="宋体"/>
                <w:b/>
                <w:bCs/>
                <w:sz w:val="24"/>
              </w:rPr>
              <w:t>无效情形：</w:t>
            </w:r>
            <w:r>
              <w:rPr>
                <w:rFonts w:hint="eastAsia" w:ascii="宋体" w:hAnsi="宋体" w:eastAsia="宋体" w:cs="宋体"/>
                <w:sz w:val="24"/>
              </w:rPr>
              <w:t>本项目采购文件及技术规格书标志均为非密的，供应商递交的应答文件中，凡带有</w:t>
            </w:r>
            <w:r>
              <w:rPr>
                <w:rFonts w:hint="eastAsia" w:ascii="宋体" w:hAnsi="宋体" w:eastAsia="宋体" w:cs="宋体"/>
                <w:b/>
                <w:bCs/>
                <w:sz w:val="24"/>
                <w:u w:val="single"/>
              </w:rPr>
              <w:t>国家秘密标志（任何含有国家秘密字眼的标志）、工作秘密（敏感信息）标志（含内部、商密等标志），以及包含涉密资质证书等应按密件管理的资料的，评审小组将直接视为应答文件无效，不予澄清。</w:t>
            </w:r>
          </w:p>
          <w:p w14:paraId="684BBE75">
            <w:pPr>
              <w:pStyle w:val="39"/>
              <w:numPr>
                <w:ilvl w:val="0"/>
                <w:numId w:val="5"/>
              </w:numPr>
              <w:ind w:firstLine="0" w:firstLineChars="0"/>
              <w:rPr>
                <w:rFonts w:asciiTheme="minorEastAsia" w:hAnsiTheme="minorEastAsia" w:cstheme="minorEastAsia"/>
                <w:b/>
                <w:sz w:val="24"/>
              </w:rPr>
            </w:pPr>
            <w:r>
              <w:rPr>
                <w:rFonts w:hint="eastAsia" w:ascii="宋体" w:hAnsi="宋体" w:eastAsia="宋体" w:cs="宋体"/>
                <w:sz w:val="24"/>
              </w:rPr>
              <w:t>中国核工业集团电子采购平台属于公共互联网平台，任何单位及个人严禁在平台上传、提交涉及国家秘密、工作秘密的任何文件及资料。因供应商违规上传、提交涉密文件资料，给采购人、中国核工业集团电子采购平台及我公司造成一切损失及不良后果的，全部由供应商自行承担相应责任及经济赔偿。</w:t>
            </w:r>
          </w:p>
        </w:tc>
      </w:tr>
      <w:tr w14:paraId="20DE6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185" w:type="dxa"/>
            <w:vAlign w:val="center"/>
          </w:tcPr>
          <w:p w14:paraId="2F5C8285">
            <w:pPr>
              <w:jc w:val="center"/>
              <w:rPr>
                <w:rFonts w:asciiTheme="minorEastAsia" w:hAnsiTheme="minorEastAsia" w:cstheme="minorEastAsia"/>
                <w:sz w:val="24"/>
              </w:rPr>
            </w:pPr>
            <w:r>
              <w:rPr>
                <w:rFonts w:hint="eastAsia" w:asciiTheme="minorEastAsia" w:hAnsiTheme="minorEastAsia" w:cstheme="minorEastAsia"/>
                <w:sz w:val="24"/>
              </w:rPr>
              <w:t>4.1.2</w:t>
            </w:r>
          </w:p>
        </w:tc>
        <w:tc>
          <w:tcPr>
            <w:tcW w:w="1774" w:type="dxa"/>
            <w:vAlign w:val="center"/>
          </w:tcPr>
          <w:p w14:paraId="0A58B440">
            <w:pPr>
              <w:jc w:val="center"/>
              <w:rPr>
                <w:rFonts w:asciiTheme="minorEastAsia" w:hAnsiTheme="minorEastAsia" w:cstheme="minorEastAsia"/>
                <w:sz w:val="24"/>
              </w:rPr>
            </w:pPr>
            <w:r>
              <w:rPr>
                <w:rFonts w:hint="eastAsia" w:asciiTheme="minorEastAsia" w:hAnsiTheme="minorEastAsia" w:cstheme="minorEastAsia"/>
                <w:sz w:val="24"/>
              </w:rPr>
              <w:t>封套上应载明的信息</w:t>
            </w:r>
          </w:p>
        </w:tc>
        <w:tc>
          <w:tcPr>
            <w:tcW w:w="6221" w:type="dxa"/>
            <w:vAlign w:val="center"/>
          </w:tcPr>
          <w:p w14:paraId="31739239">
            <w:pPr>
              <w:pStyle w:val="35"/>
              <w:snapToGrid w:val="0"/>
              <w:ind w:right="2858"/>
              <w:jc w:val="both"/>
              <w:rPr>
                <w:rFonts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z w:val="24"/>
                <w:szCs w:val="24"/>
                <w:lang w:eastAsia="zh-CN"/>
              </w:rPr>
              <w:t>供应商名称：</w:t>
            </w:r>
          </w:p>
          <w:p w14:paraId="021085C2">
            <w:pPr>
              <w:pStyle w:val="35"/>
              <w:snapToGrid w:val="0"/>
              <w:ind w:right="2858"/>
              <w:jc w:val="both"/>
              <w:rPr>
                <w:rFonts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z w:val="24"/>
                <w:szCs w:val="24"/>
                <w:lang w:eastAsia="zh-CN"/>
              </w:rPr>
              <w:t>供应商地址：</w:t>
            </w:r>
          </w:p>
          <w:p w14:paraId="4598BBAF">
            <w:pPr>
              <w:pStyle w:val="35"/>
              <w:snapToGrid w:val="0"/>
              <w:ind w:right="10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u w:val="single"/>
                <w:lang w:eastAsia="zh-CN"/>
              </w:rPr>
              <w:t>（项目名称）（采购编号）</w:t>
            </w:r>
            <w:r>
              <w:rPr>
                <w:rFonts w:hint="eastAsia" w:asciiTheme="minorEastAsia" w:hAnsiTheme="minorEastAsia" w:eastAsiaTheme="minorEastAsia" w:cstheme="minorEastAsia"/>
                <w:sz w:val="24"/>
                <w:szCs w:val="24"/>
                <w:lang w:eastAsia="zh-CN"/>
              </w:rPr>
              <w:t>应答文件在</w:t>
            </w:r>
            <w:r>
              <w:rPr>
                <w:rFonts w:hint="eastAsia" w:asciiTheme="minorEastAsia" w:hAnsiTheme="minorEastAsia" w:eastAsiaTheme="minorEastAsia" w:cstheme="minorEastAsia"/>
                <w:sz w:val="24"/>
                <w:szCs w:val="24"/>
                <w:u w:val="single"/>
                <w:lang w:eastAsia="zh-CN"/>
              </w:rPr>
              <w:t>（递交截止时间）</w:t>
            </w:r>
            <w:r>
              <w:rPr>
                <w:rFonts w:hint="eastAsia" w:asciiTheme="minorEastAsia" w:hAnsiTheme="minorEastAsia" w:eastAsiaTheme="minorEastAsia" w:cstheme="minorEastAsia"/>
                <w:sz w:val="24"/>
                <w:szCs w:val="24"/>
                <w:lang w:eastAsia="zh-CN"/>
              </w:rPr>
              <w:t>前不得开启</w:t>
            </w:r>
          </w:p>
        </w:tc>
      </w:tr>
      <w:tr w14:paraId="1F645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185" w:type="dxa"/>
            <w:vAlign w:val="center"/>
          </w:tcPr>
          <w:p w14:paraId="037E45F0">
            <w:pPr>
              <w:jc w:val="center"/>
              <w:rPr>
                <w:rFonts w:asciiTheme="minorEastAsia" w:hAnsiTheme="minorEastAsia" w:cstheme="minorEastAsia"/>
                <w:sz w:val="24"/>
              </w:rPr>
            </w:pPr>
            <w:r>
              <w:rPr>
                <w:rFonts w:hint="eastAsia" w:asciiTheme="minorEastAsia" w:hAnsiTheme="minorEastAsia" w:cstheme="minorEastAsia"/>
                <w:sz w:val="24"/>
              </w:rPr>
              <w:t>4.2.1</w:t>
            </w:r>
          </w:p>
        </w:tc>
        <w:tc>
          <w:tcPr>
            <w:tcW w:w="1774" w:type="dxa"/>
            <w:vAlign w:val="center"/>
          </w:tcPr>
          <w:p w14:paraId="44CBFBE7">
            <w:pPr>
              <w:jc w:val="center"/>
              <w:rPr>
                <w:rFonts w:asciiTheme="minorEastAsia" w:hAnsiTheme="minorEastAsia" w:cstheme="minorEastAsia"/>
                <w:sz w:val="24"/>
              </w:rPr>
            </w:pPr>
            <w:r>
              <w:rPr>
                <w:rFonts w:hint="eastAsia" w:asciiTheme="minorEastAsia" w:hAnsiTheme="minorEastAsia" w:cstheme="minorEastAsia"/>
                <w:sz w:val="24"/>
              </w:rPr>
              <w:t>递交应答文件截止时间和地点</w:t>
            </w:r>
          </w:p>
        </w:tc>
        <w:tc>
          <w:tcPr>
            <w:tcW w:w="6221" w:type="dxa"/>
            <w:vAlign w:val="center"/>
          </w:tcPr>
          <w:p w14:paraId="23B7112B">
            <w:pPr>
              <w:rPr>
                <w:rFonts w:asciiTheme="minorEastAsia" w:hAnsiTheme="minorEastAsia" w:cstheme="minorEastAsia"/>
                <w:sz w:val="24"/>
              </w:rPr>
            </w:pPr>
            <w:r>
              <w:rPr>
                <w:rFonts w:hint="eastAsia" w:asciiTheme="minorEastAsia" w:hAnsiTheme="minorEastAsia" w:cstheme="minorEastAsia"/>
                <w:sz w:val="24"/>
              </w:rPr>
              <w:t>同第一章谈判采购邀请书/谈判采购公告中的截止时间和应答文件递交地点</w:t>
            </w:r>
          </w:p>
        </w:tc>
      </w:tr>
      <w:tr w14:paraId="694C5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185" w:type="dxa"/>
            <w:vAlign w:val="center"/>
          </w:tcPr>
          <w:p w14:paraId="6CBFB881">
            <w:pPr>
              <w:jc w:val="center"/>
              <w:rPr>
                <w:rFonts w:asciiTheme="minorEastAsia" w:hAnsiTheme="minorEastAsia" w:cstheme="minorEastAsia"/>
                <w:sz w:val="24"/>
              </w:rPr>
            </w:pPr>
            <w:r>
              <w:rPr>
                <w:rFonts w:hint="eastAsia" w:asciiTheme="minorEastAsia" w:hAnsiTheme="minorEastAsia" w:cstheme="minorEastAsia"/>
                <w:sz w:val="24"/>
              </w:rPr>
              <w:t>4.2.2</w:t>
            </w:r>
          </w:p>
        </w:tc>
        <w:tc>
          <w:tcPr>
            <w:tcW w:w="1774" w:type="dxa"/>
            <w:vAlign w:val="center"/>
          </w:tcPr>
          <w:p w14:paraId="25A839D7">
            <w:pPr>
              <w:jc w:val="center"/>
              <w:rPr>
                <w:rFonts w:asciiTheme="minorEastAsia" w:hAnsiTheme="minorEastAsia" w:cstheme="minorEastAsia"/>
                <w:sz w:val="24"/>
              </w:rPr>
            </w:pPr>
            <w:r>
              <w:rPr>
                <w:rFonts w:hint="eastAsia" w:asciiTheme="minorEastAsia" w:hAnsiTheme="minorEastAsia" w:cstheme="minorEastAsia"/>
                <w:sz w:val="24"/>
              </w:rPr>
              <w:t>是否退还应答文件</w:t>
            </w:r>
          </w:p>
        </w:tc>
        <w:tc>
          <w:tcPr>
            <w:tcW w:w="6221" w:type="dxa"/>
            <w:vAlign w:val="center"/>
          </w:tcPr>
          <w:p w14:paraId="7360A660">
            <w:pPr>
              <w:pStyle w:val="35"/>
              <w:snapToGrid w:val="0"/>
              <w:ind w:right="3278"/>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i/>
                <w:sz w:val="24"/>
                <w:szCs w:val="24"/>
                <w:lang w:eastAsia="zh-CN"/>
              </w:rPr>
              <w:t>■</w:t>
            </w:r>
            <w:r>
              <w:rPr>
                <w:rFonts w:hint="eastAsia" w:asciiTheme="minorEastAsia" w:hAnsiTheme="minorEastAsia" w:eastAsiaTheme="minorEastAsia" w:cstheme="minorEastAsia"/>
                <w:sz w:val="24"/>
                <w:szCs w:val="24"/>
                <w:lang w:eastAsia="zh-CN"/>
              </w:rPr>
              <w:t>否</w:t>
            </w:r>
          </w:p>
          <w:p w14:paraId="5DE47BF1">
            <w:pPr>
              <w:rPr>
                <w:rFonts w:asciiTheme="minorEastAsia" w:hAnsiTheme="minorEastAsia" w:cstheme="minorEastAsia"/>
                <w:sz w:val="24"/>
              </w:rPr>
            </w:pPr>
            <w:r>
              <w:rPr>
                <w:rFonts w:hint="eastAsia" w:asciiTheme="minorEastAsia" w:hAnsiTheme="minorEastAsia" w:cstheme="minorEastAsia"/>
                <w:i/>
                <w:sz w:val="24"/>
              </w:rPr>
              <w:t>□</w:t>
            </w:r>
            <w:r>
              <w:rPr>
                <w:rFonts w:hint="eastAsia" w:asciiTheme="minorEastAsia" w:hAnsiTheme="minorEastAsia" w:cstheme="minorEastAsia"/>
                <w:sz w:val="24"/>
              </w:rPr>
              <w:t>是，退还时间：</w:t>
            </w:r>
            <w:r>
              <w:rPr>
                <w:rFonts w:hint="eastAsia" w:asciiTheme="minorEastAsia" w:hAnsiTheme="minorEastAsia" w:cstheme="minorEastAsia"/>
                <w:sz w:val="24"/>
                <w:u w:val="single"/>
              </w:rPr>
              <w:t>谈判采购结束后，退还供应商所有副本文件。</w:t>
            </w:r>
          </w:p>
        </w:tc>
      </w:tr>
      <w:tr w14:paraId="0A6B6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185" w:type="dxa"/>
            <w:vAlign w:val="center"/>
          </w:tcPr>
          <w:p w14:paraId="2976D434">
            <w:pPr>
              <w:jc w:val="center"/>
              <w:rPr>
                <w:rFonts w:asciiTheme="minorEastAsia" w:hAnsiTheme="minorEastAsia" w:cstheme="minorEastAsia"/>
                <w:sz w:val="24"/>
              </w:rPr>
            </w:pPr>
            <w:r>
              <w:rPr>
                <w:rFonts w:hint="eastAsia" w:asciiTheme="minorEastAsia" w:hAnsiTheme="minorEastAsia" w:cstheme="minorEastAsia"/>
                <w:sz w:val="24"/>
              </w:rPr>
              <w:t>5</w:t>
            </w:r>
          </w:p>
        </w:tc>
        <w:tc>
          <w:tcPr>
            <w:tcW w:w="1774" w:type="dxa"/>
            <w:vAlign w:val="center"/>
          </w:tcPr>
          <w:p w14:paraId="4B581493">
            <w:pPr>
              <w:jc w:val="center"/>
              <w:rPr>
                <w:rFonts w:asciiTheme="minorEastAsia" w:hAnsiTheme="minorEastAsia" w:cstheme="minorEastAsia"/>
                <w:sz w:val="24"/>
              </w:rPr>
            </w:pPr>
            <w:r>
              <w:rPr>
                <w:rFonts w:hint="eastAsia" w:asciiTheme="minorEastAsia" w:hAnsiTheme="minorEastAsia" w:cstheme="minorEastAsia"/>
                <w:sz w:val="24"/>
              </w:rPr>
              <w:t>是否公开开启应答文件</w:t>
            </w:r>
          </w:p>
        </w:tc>
        <w:tc>
          <w:tcPr>
            <w:tcW w:w="6221" w:type="dxa"/>
            <w:vAlign w:val="center"/>
          </w:tcPr>
          <w:p w14:paraId="5DCFD048">
            <w:pPr>
              <w:jc w:val="left"/>
              <w:rPr>
                <w:rFonts w:asciiTheme="minorEastAsia" w:hAnsiTheme="minorEastAsia" w:cstheme="minorEastAsia"/>
                <w:sz w:val="24"/>
              </w:rPr>
            </w:pPr>
            <w:r>
              <w:rPr>
                <w:rFonts w:hint="eastAsia" w:asciiTheme="minorEastAsia" w:hAnsiTheme="minorEastAsia" w:cstheme="minorEastAsia"/>
                <w:i/>
                <w:sz w:val="24"/>
              </w:rPr>
              <w:t>■</w:t>
            </w:r>
            <w:r>
              <w:rPr>
                <w:rFonts w:hint="eastAsia" w:asciiTheme="minorEastAsia" w:hAnsiTheme="minorEastAsia" w:cstheme="minorEastAsia"/>
                <w:sz w:val="24"/>
              </w:rPr>
              <w:t>否</w:t>
            </w:r>
          </w:p>
          <w:p w14:paraId="60987CEB">
            <w:pPr>
              <w:jc w:val="left"/>
              <w:rPr>
                <w:rFonts w:asciiTheme="minorEastAsia" w:hAnsiTheme="minorEastAsia" w:cstheme="minorEastAsia"/>
                <w:sz w:val="24"/>
              </w:rPr>
            </w:pPr>
            <w:r>
              <w:rPr>
                <w:rFonts w:hint="eastAsia" w:asciiTheme="minorEastAsia" w:hAnsiTheme="minorEastAsia" w:cstheme="minorEastAsia"/>
                <w:i/>
                <w:sz w:val="24"/>
              </w:rPr>
              <w:t>□</w:t>
            </w:r>
            <w:r>
              <w:rPr>
                <w:rFonts w:hint="eastAsia" w:asciiTheme="minorEastAsia" w:hAnsiTheme="minorEastAsia" w:cstheme="minorEastAsia"/>
                <w:sz w:val="24"/>
              </w:rPr>
              <w:t>是</w:t>
            </w:r>
          </w:p>
        </w:tc>
      </w:tr>
      <w:tr w14:paraId="603AA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85" w:type="dxa"/>
            <w:vAlign w:val="center"/>
          </w:tcPr>
          <w:p w14:paraId="181481A4">
            <w:pPr>
              <w:jc w:val="center"/>
              <w:rPr>
                <w:rFonts w:asciiTheme="minorEastAsia" w:hAnsiTheme="minorEastAsia" w:cstheme="minorEastAsia"/>
                <w:sz w:val="24"/>
              </w:rPr>
            </w:pPr>
            <w:r>
              <w:rPr>
                <w:rFonts w:hint="eastAsia" w:asciiTheme="minorEastAsia" w:hAnsiTheme="minorEastAsia" w:cstheme="minorEastAsia"/>
                <w:sz w:val="24"/>
              </w:rPr>
              <w:t>5.1</w:t>
            </w:r>
          </w:p>
        </w:tc>
        <w:tc>
          <w:tcPr>
            <w:tcW w:w="1774" w:type="dxa"/>
            <w:vAlign w:val="center"/>
          </w:tcPr>
          <w:p w14:paraId="1997B571">
            <w:pPr>
              <w:jc w:val="center"/>
              <w:rPr>
                <w:rFonts w:asciiTheme="minorEastAsia" w:hAnsiTheme="minorEastAsia" w:cstheme="minorEastAsia"/>
                <w:sz w:val="24"/>
              </w:rPr>
            </w:pPr>
            <w:r>
              <w:rPr>
                <w:rFonts w:hint="eastAsia" w:asciiTheme="minorEastAsia" w:hAnsiTheme="minorEastAsia" w:cstheme="minorEastAsia"/>
                <w:sz w:val="24"/>
              </w:rPr>
              <w:t>开启地点</w:t>
            </w:r>
          </w:p>
        </w:tc>
        <w:tc>
          <w:tcPr>
            <w:tcW w:w="6221" w:type="dxa"/>
            <w:vAlign w:val="center"/>
          </w:tcPr>
          <w:p w14:paraId="644D9B80">
            <w:pPr>
              <w:rPr>
                <w:rFonts w:asciiTheme="minorEastAsia" w:hAnsiTheme="minorEastAsia" w:cstheme="minorEastAsia"/>
                <w:sz w:val="24"/>
              </w:rPr>
            </w:pPr>
            <w:r>
              <w:rPr>
                <w:rFonts w:hint="eastAsia" w:asciiTheme="minorEastAsia" w:hAnsiTheme="minorEastAsia" w:cstheme="minorEastAsia"/>
                <w:sz w:val="24"/>
              </w:rPr>
              <w:t>同第一章谈判采购邀请书/谈判采购公告中的应答文件递交地点</w:t>
            </w:r>
          </w:p>
        </w:tc>
      </w:tr>
      <w:tr w14:paraId="066C8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185" w:type="dxa"/>
            <w:vAlign w:val="center"/>
          </w:tcPr>
          <w:p w14:paraId="33127CF4">
            <w:pPr>
              <w:jc w:val="center"/>
              <w:rPr>
                <w:rFonts w:asciiTheme="minorEastAsia" w:hAnsiTheme="minorEastAsia" w:cstheme="minorEastAsia"/>
                <w:sz w:val="24"/>
              </w:rPr>
            </w:pPr>
            <w:r>
              <w:rPr>
                <w:rFonts w:hint="eastAsia" w:asciiTheme="minorEastAsia" w:hAnsiTheme="minorEastAsia" w:cstheme="minorEastAsia"/>
                <w:sz w:val="24"/>
              </w:rPr>
              <w:t>5.2(4)</w:t>
            </w:r>
          </w:p>
        </w:tc>
        <w:tc>
          <w:tcPr>
            <w:tcW w:w="1774" w:type="dxa"/>
            <w:vAlign w:val="center"/>
          </w:tcPr>
          <w:p w14:paraId="5B0D227B">
            <w:pPr>
              <w:jc w:val="center"/>
              <w:rPr>
                <w:rFonts w:asciiTheme="minorEastAsia" w:hAnsiTheme="minorEastAsia" w:cstheme="minorEastAsia"/>
                <w:sz w:val="24"/>
              </w:rPr>
            </w:pPr>
            <w:r>
              <w:rPr>
                <w:rFonts w:hint="eastAsia" w:asciiTheme="minorEastAsia" w:hAnsiTheme="minorEastAsia" w:cstheme="minorEastAsia"/>
                <w:sz w:val="24"/>
              </w:rPr>
              <w:t>开启程序</w:t>
            </w:r>
          </w:p>
        </w:tc>
        <w:tc>
          <w:tcPr>
            <w:tcW w:w="6221" w:type="dxa"/>
            <w:vAlign w:val="center"/>
          </w:tcPr>
          <w:p w14:paraId="25A6D380">
            <w:pPr>
              <w:rPr>
                <w:rFonts w:asciiTheme="minorEastAsia" w:hAnsiTheme="minorEastAsia" w:cstheme="minorEastAsia"/>
                <w:sz w:val="24"/>
                <w:u w:val="single"/>
              </w:rPr>
            </w:pPr>
            <w:r>
              <w:rPr>
                <w:rFonts w:hint="eastAsia" w:asciiTheme="minorEastAsia" w:hAnsiTheme="minorEastAsia" w:cstheme="minorEastAsia"/>
                <w:sz w:val="24"/>
              </w:rPr>
              <w:t>开启顺序：</w:t>
            </w:r>
            <w:r>
              <w:rPr>
                <w:rFonts w:hint="eastAsia" w:asciiTheme="minorEastAsia" w:hAnsiTheme="minorEastAsia" w:cstheme="minorEastAsia"/>
                <w:sz w:val="24"/>
                <w:u w:val="single"/>
              </w:rPr>
              <w:t>/</w:t>
            </w:r>
          </w:p>
          <w:p w14:paraId="429F0C5F">
            <w:pPr>
              <w:rPr>
                <w:rFonts w:asciiTheme="minorEastAsia" w:hAnsiTheme="minorEastAsia" w:cstheme="minorEastAsia"/>
                <w:sz w:val="24"/>
              </w:rPr>
            </w:pPr>
            <w:r>
              <w:rPr>
                <w:rFonts w:hint="eastAsia" w:asciiTheme="minorEastAsia" w:hAnsiTheme="minorEastAsia" w:cstheme="minorEastAsia"/>
                <w:sz w:val="24"/>
              </w:rPr>
              <w:t>其他应公布的信息：</w:t>
            </w:r>
            <w:r>
              <w:rPr>
                <w:rFonts w:hint="eastAsia" w:asciiTheme="minorEastAsia" w:hAnsiTheme="minorEastAsia" w:cstheme="minorEastAsia"/>
                <w:sz w:val="24"/>
                <w:u w:val="single"/>
              </w:rPr>
              <w:t>/</w:t>
            </w:r>
          </w:p>
        </w:tc>
      </w:tr>
      <w:tr w14:paraId="3EED8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185" w:type="dxa"/>
            <w:vAlign w:val="center"/>
          </w:tcPr>
          <w:p w14:paraId="0FAF8E4F">
            <w:pPr>
              <w:jc w:val="center"/>
              <w:rPr>
                <w:rFonts w:asciiTheme="minorEastAsia" w:hAnsiTheme="minorEastAsia" w:cstheme="minorEastAsia"/>
                <w:sz w:val="24"/>
              </w:rPr>
            </w:pPr>
            <w:r>
              <w:rPr>
                <w:rFonts w:hint="eastAsia" w:asciiTheme="minorEastAsia" w:hAnsiTheme="minorEastAsia" w:cstheme="minorEastAsia"/>
                <w:sz w:val="24"/>
              </w:rPr>
              <w:t>6.1.3</w:t>
            </w:r>
          </w:p>
        </w:tc>
        <w:tc>
          <w:tcPr>
            <w:tcW w:w="1774" w:type="dxa"/>
            <w:vAlign w:val="center"/>
          </w:tcPr>
          <w:p w14:paraId="26FB61B5">
            <w:pPr>
              <w:jc w:val="center"/>
              <w:rPr>
                <w:rFonts w:asciiTheme="minorEastAsia" w:hAnsiTheme="minorEastAsia" w:cstheme="minorEastAsia"/>
                <w:sz w:val="24"/>
              </w:rPr>
            </w:pPr>
            <w:r>
              <w:rPr>
                <w:rFonts w:hint="eastAsia"/>
                <w:sz w:val="24"/>
              </w:rPr>
              <w:t>谈判小组组建原则</w:t>
            </w:r>
          </w:p>
        </w:tc>
        <w:tc>
          <w:tcPr>
            <w:tcW w:w="6221" w:type="dxa"/>
            <w:vAlign w:val="center"/>
          </w:tcPr>
          <w:p w14:paraId="5DE78898">
            <w:pPr>
              <w:pStyle w:val="3"/>
              <w:adjustRightInd w:val="0"/>
              <w:snapToGrid w:val="0"/>
              <w:rPr>
                <w:sz w:val="24"/>
                <w:szCs w:val="24"/>
                <w:lang w:eastAsia="zh-CN"/>
              </w:rPr>
            </w:pPr>
            <w:r>
              <w:rPr>
                <w:rFonts w:hint="eastAsia"/>
                <w:sz w:val="24"/>
                <w:szCs w:val="24"/>
                <w:lang w:eastAsia="zh-CN"/>
              </w:rPr>
              <w:t>谈判小组人数：</w:t>
            </w:r>
            <w:r>
              <w:rPr>
                <w:rFonts w:hint="eastAsia"/>
                <w:sz w:val="24"/>
                <w:szCs w:val="24"/>
                <w:u w:val="single"/>
                <w:lang w:eastAsia="zh-CN"/>
              </w:rPr>
              <w:t>3</w:t>
            </w:r>
            <w:r>
              <w:rPr>
                <w:rFonts w:hint="eastAsia"/>
                <w:sz w:val="24"/>
                <w:szCs w:val="24"/>
                <w:lang w:eastAsia="zh-CN"/>
              </w:rPr>
              <w:t>名；</w:t>
            </w:r>
          </w:p>
          <w:p w14:paraId="31D71243">
            <w:pPr>
              <w:rPr>
                <w:rFonts w:asciiTheme="minorEastAsia" w:hAnsiTheme="minorEastAsia" w:cstheme="minorEastAsia"/>
                <w:sz w:val="24"/>
              </w:rPr>
            </w:pPr>
            <w:r>
              <w:rPr>
                <w:rFonts w:hint="eastAsia"/>
                <w:sz w:val="24"/>
              </w:rPr>
              <w:t>谈判专家确定方式：随机抽取。</w:t>
            </w:r>
          </w:p>
        </w:tc>
      </w:tr>
      <w:tr w14:paraId="62D09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185" w:type="dxa"/>
            <w:vAlign w:val="center"/>
          </w:tcPr>
          <w:p w14:paraId="1213D16E">
            <w:pPr>
              <w:rPr>
                <w:rFonts w:asciiTheme="minorEastAsia" w:hAnsiTheme="minorEastAsia" w:cstheme="minorEastAsia"/>
                <w:sz w:val="24"/>
              </w:rPr>
            </w:pPr>
            <w:r>
              <w:rPr>
                <w:rFonts w:hint="eastAsia" w:asciiTheme="minorEastAsia" w:hAnsiTheme="minorEastAsia" w:cstheme="minorEastAsia"/>
                <w:sz w:val="24"/>
              </w:rPr>
              <w:t>6.3.1</w:t>
            </w:r>
          </w:p>
        </w:tc>
        <w:tc>
          <w:tcPr>
            <w:tcW w:w="1774" w:type="dxa"/>
            <w:vAlign w:val="center"/>
          </w:tcPr>
          <w:p w14:paraId="08FAD850">
            <w:pPr>
              <w:jc w:val="center"/>
              <w:rPr>
                <w:rFonts w:asciiTheme="minorEastAsia" w:hAnsiTheme="minorEastAsia" w:cstheme="minorEastAsia"/>
                <w:sz w:val="24"/>
              </w:rPr>
            </w:pPr>
            <w:r>
              <w:rPr>
                <w:rFonts w:hint="eastAsia" w:asciiTheme="minorEastAsia" w:hAnsiTheme="minorEastAsia" w:cstheme="minorEastAsia"/>
                <w:sz w:val="24"/>
              </w:rPr>
              <w:t>谈判轮次及谈判顺序</w:t>
            </w:r>
          </w:p>
        </w:tc>
        <w:tc>
          <w:tcPr>
            <w:tcW w:w="6221" w:type="dxa"/>
            <w:vAlign w:val="center"/>
          </w:tcPr>
          <w:p w14:paraId="00CE4AA8">
            <w:pPr>
              <w:rPr>
                <w:rFonts w:asciiTheme="minorEastAsia" w:hAnsiTheme="minorEastAsia" w:cstheme="minorEastAsia"/>
                <w:sz w:val="24"/>
              </w:rPr>
            </w:pPr>
            <w:r>
              <w:rPr>
                <w:rFonts w:hint="eastAsia" w:asciiTheme="minorEastAsia" w:hAnsiTheme="minorEastAsia" w:cstheme="minorEastAsia"/>
                <w:sz w:val="24"/>
              </w:rPr>
              <w:t>谈判轮次：</w:t>
            </w:r>
          </w:p>
          <w:p w14:paraId="404A7175">
            <w:pPr>
              <w:rPr>
                <w:rFonts w:asciiTheme="minorEastAsia" w:hAnsiTheme="minorEastAsia" w:cstheme="minorEastAsia"/>
                <w:sz w:val="24"/>
              </w:rPr>
            </w:pPr>
            <w:r>
              <w:rPr>
                <w:rFonts w:hint="eastAsia" w:asciiTheme="minorEastAsia" w:hAnsiTheme="minorEastAsia" w:cstheme="minorEastAsia"/>
                <w:i/>
                <w:sz w:val="24"/>
              </w:rPr>
              <w:t>□</w:t>
            </w:r>
            <w:r>
              <w:rPr>
                <w:rFonts w:hint="eastAsia" w:asciiTheme="minorEastAsia" w:hAnsiTheme="minorEastAsia" w:cstheme="minorEastAsia"/>
                <w:sz w:val="24"/>
              </w:rPr>
              <w:t>本项目共进行轮谈判。</w:t>
            </w:r>
          </w:p>
          <w:p w14:paraId="00F015DD">
            <w:pPr>
              <w:rPr>
                <w:rFonts w:asciiTheme="minorEastAsia" w:hAnsiTheme="minorEastAsia" w:cstheme="minorEastAsia"/>
                <w:sz w:val="24"/>
              </w:rPr>
            </w:pPr>
            <w:r>
              <w:rPr>
                <w:rFonts w:hint="eastAsia" w:asciiTheme="minorEastAsia" w:hAnsiTheme="minorEastAsia" w:cstheme="minorEastAsia"/>
                <w:i/>
                <w:sz w:val="24"/>
              </w:rPr>
              <w:t>■</w:t>
            </w:r>
            <w:r>
              <w:rPr>
                <w:rFonts w:hint="eastAsia" w:asciiTheme="minorEastAsia" w:hAnsiTheme="minorEastAsia" w:cstheme="minorEastAsia"/>
                <w:sz w:val="24"/>
              </w:rPr>
              <w:t>本项目不事先确定谈判轮次,谈判小组根据谈判情况确定，并在最后一轮谈判前告知供应商。</w:t>
            </w:r>
          </w:p>
          <w:p w14:paraId="2763582B">
            <w:pPr>
              <w:rPr>
                <w:rFonts w:asciiTheme="minorEastAsia" w:hAnsiTheme="minorEastAsia" w:cstheme="minorEastAsia"/>
                <w:sz w:val="24"/>
              </w:rPr>
            </w:pPr>
            <w:r>
              <w:rPr>
                <w:rFonts w:hint="eastAsia" w:asciiTheme="minorEastAsia" w:hAnsiTheme="minorEastAsia" w:cstheme="minorEastAsia"/>
                <w:sz w:val="24"/>
              </w:rPr>
              <w:t>谈判顺序：</w:t>
            </w:r>
            <w:r>
              <w:rPr>
                <w:rFonts w:hint="eastAsia" w:asciiTheme="minorEastAsia" w:hAnsiTheme="minorEastAsia" w:cstheme="minorEastAsia"/>
                <w:kern w:val="0"/>
                <w:sz w:val="24"/>
              </w:rPr>
              <w:t xml:space="preserve"> 应答文件递交签到表正顺序。</w:t>
            </w:r>
          </w:p>
        </w:tc>
      </w:tr>
      <w:tr w14:paraId="1968F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185" w:type="dxa"/>
            <w:vAlign w:val="center"/>
          </w:tcPr>
          <w:p w14:paraId="516970A4">
            <w:pPr>
              <w:jc w:val="center"/>
              <w:rPr>
                <w:rFonts w:asciiTheme="minorEastAsia" w:hAnsiTheme="minorEastAsia" w:cstheme="minorEastAsia"/>
                <w:sz w:val="24"/>
              </w:rPr>
            </w:pPr>
            <w:r>
              <w:rPr>
                <w:rFonts w:hint="eastAsia" w:asciiTheme="minorEastAsia" w:hAnsiTheme="minorEastAsia" w:cstheme="minorEastAsia"/>
                <w:sz w:val="24"/>
              </w:rPr>
              <w:t>6.6</w:t>
            </w:r>
          </w:p>
        </w:tc>
        <w:tc>
          <w:tcPr>
            <w:tcW w:w="1774" w:type="dxa"/>
            <w:vAlign w:val="center"/>
          </w:tcPr>
          <w:p w14:paraId="68F08523">
            <w:pPr>
              <w:jc w:val="center"/>
              <w:rPr>
                <w:rFonts w:asciiTheme="minorEastAsia" w:hAnsiTheme="minorEastAsia" w:cstheme="minorEastAsia"/>
                <w:sz w:val="24"/>
              </w:rPr>
            </w:pPr>
            <w:r>
              <w:rPr>
                <w:rFonts w:hint="eastAsia" w:asciiTheme="minorEastAsia" w:hAnsiTheme="minorEastAsia" w:cstheme="minorEastAsia"/>
                <w:sz w:val="24"/>
              </w:rPr>
              <w:t>是否公开开启最终报价</w:t>
            </w:r>
          </w:p>
        </w:tc>
        <w:tc>
          <w:tcPr>
            <w:tcW w:w="6221" w:type="dxa"/>
            <w:vAlign w:val="center"/>
          </w:tcPr>
          <w:p w14:paraId="6070F2DE">
            <w:pPr>
              <w:rPr>
                <w:rFonts w:asciiTheme="minorEastAsia" w:hAnsiTheme="minorEastAsia" w:cstheme="minorEastAsia"/>
                <w:sz w:val="24"/>
              </w:rPr>
            </w:pPr>
            <w:r>
              <w:rPr>
                <w:rFonts w:hint="eastAsia" w:asciiTheme="minorEastAsia" w:hAnsiTheme="minorEastAsia" w:cstheme="minorEastAsia"/>
                <w:i/>
                <w:sz w:val="24"/>
              </w:rPr>
              <w:t>■</w:t>
            </w:r>
            <w:r>
              <w:rPr>
                <w:rFonts w:hint="eastAsia" w:asciiTheme="minorEastAsia" w:hAnsiTheme="minorEastAsia" w:cstheme="minorEastAsia"/>
                <w:sz w:val="24"/>
              </w:rPr>
              <w:t xml:space="preserve">否 </w:t>
            </w:r>
          </w:p>
          <w:p w14:paraId="749D9B31">
            <w:pPr>
              <w:rPr>
                <w:rFonts w:asciiTheme="minorEastAsia" w:hAnsiTheme="minorEastAsia" w:cstheme="minorEastAsia"/>
                <w:sz w:val="24"/>
              </w:rPr>
            </w:pPr>
            <w:r>
              <w:rPr>
                <w:rFonts w:hint="eastAsia" w:asciiTheme="minorEastAsia" w:hAnsiTheme="minorEastAsia" w:cstheme="minorEastAsia"/>
                <w:i/>
                <w:sz w:val="24"/>
              </w:rPr>
              <w:t>□</w:t>
            </w:r>
            <w:r>
              <w:rPr>
                <w:rFonts w:hint="eastAsia" w:asciiTheme="minorEastAsia" w:hAnsiTheme="minorEastAsia" w:cstheme="minorEastAsia"/>
                <w:sz w:val="24"/>
              </w:rPr>
              <w:t>是</w:t>
            </w:r>
          </w:p>
        </w:tc>
      </w:tr>
      <w:tr w14:paraId="3CB66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185" w:type="dxa"/>
            <w:vAlign w:val="center"/>
          </w:tcPr>
          <w:p w14:paraId="40B9FC68">
            <w:pPr>
              <w:jc w:val="center"/>
              <w:rPr>
                <w:rFonts w:asciiTheme="minorEastAsia" w:hAnsiTheme="minorEastAsia" w:cstheme="minorEastAsia"/>
                <w:sz w:val="24"/>
              </w:rPr>
            </w:pPr>
            <w:r>
              <w:rPr>
                <w:rFonts w:hint="eastAsia" w:asciiTheme="minorEastAsia" w:hAnsiTheme="minorEastAsia" w:cstheme="minorEastAsia"/>
                <w:sz w:val="24"/>
              </w:rPr>
              <w:t>6.7.2</w:t>
            </w:r>
          </w:p>
        </w:tc>
        <w:tc>
          <w:tcPr>
            <w:tcW w:w="1774" w:type="dxa"/>
            <w:vAlign w:val="center"/>
          </w:tcPr>
          <w:p w14:paraId="39C179D3">
            <w:pPr>
              <w:jc w:val="center"/>
              <w:rPr>
                <w:rFonts w:asciiTheme="minorEastAsia" w:hAnsiTheme="minorEastAsia" w:cstheme="minorEastAsia"/>
                <w:sz w:val="24"/>
              </w:rPr>
            </w:pPr>
            <w:r>
              <w:rPr>
                <w:rFonts w:hint="eastAsia" w:asciiTheme="minorEastAsia" w:hAnsiTheme="minorEastAsia" w:cstheme="minorEastAsia"/>
                <w:sz w:val="24"/>
              </w:rPr>
              <w:t>推荐候选成交供应商的数量</w:t>
            </w:r>
          </w:p>
        </w:tc>
        <w:tc>
          <w:tcPr>
            <w:tcW w:w="6221" w:type="dxa"/>
            <w:vAlign w:val="center"/>
          </w:tcPr>
          <w:p w14:paraId="76C6F539">
            <w:pPr>
              <w:rPr>
                <w:rFonts w:asciiTheme="minorEastAsia" w:hAnsiTheme="minorEastAsia" w:cstheme="minorEastAsia"/>
                <w:b/>
                <w:sz w:val="24"/>
                <w:u w:val="single"/>
              </w:rPr>
            </w:pPr>
            <w:r>
              <w:rPr>
                <w:rFonts w:hint="eastAsia" w:asciiTheme="minorEastAsia" w:hAnsiTheme="minorEastAsia" w:cstheme="minorEastAsia"/>
                <w:b/>
                <w:sz w:val="24"/>
                <w:u w:val="single"/>
              </w:rPr>
              <w:t>1～3名</w:t>
            </w:r>
          </w:p>
        </w:tc>
      </w:tr>
      <w:tr w14:paraId="3E715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85" w:type="dxa"/>
            <w:vAlign w:val="center"/>
          </w:tcPr>
          <w:p w14:paraId="7828DADE">
            <w:pPr>
              <w:jc w:val="center"/>
              <w:rPr>
                <w:rFonts w:asciiTheme="minorEastAsia" w:hAnsiTheme="minorEastAsia" w:cstheme="minorEastAsia"/>
                <w:sz w:val="24"/>
              </w:rPr>
            </w:pPr>
            <w:r>
              <w:rPr>
                <w:rFonts w:hint="eastAsia" w:ascii="宋体" w:hAnsi="宋体" w:eastAsia="宋体" w:cs="宋体"/>
                <w:sz w:val="24"/>
              </w:rPr>
              <w:t>7.3</w:t>
            </w:r>
          </w:p>
        </w:tc>
        <w:tc>
          <w:tcPr>
            <w:tcW w:w="1774" w:type="dxa"/>
            <w:vAlign w:val="center"/>
          </w:tcPr>
          <w:p w14:paraId="36C47487">
            <w:pPr>
              <w:jc w:val="center"/>
              <w:rPr>
                <w:rFonts w:asciiTheme="minorEastAsia" w:hAnsiTheme="minorEastAsia" w:cstheme="minorEastAsia"/>
                <w:b/>
                <w:bCs/>
                <w:sz w:val="24"/>
              </w:rPr>
            </w:pPr>
            <w:r>
              <w:rPr>
                <w:rFonts w:hint="eastAsia" w:ascii="宋体" w:hAnsi="宋体" w:eastAsia="宋体" w:cs="宋体"/>
                <w:sz w:val="24"/>
              </w:rPr>
              <w:t>预成交结果公示</w:t>
            </w:r>
          </w:p>
        </w:tc>
        <w:tc>
          <w:tcPr>
            <w:tcW w:w="6221" w:type="dxa"/>
            <w:vAlign w:val="center"/>
          </w:tcPr>
          <w:p w14:paraId="04427DC8">
            <w:pPr>
              <w:jc w:val="left"/>
              <w:rPr>
                <w:rFonts w:ascii="宋体" w:hAnsi="宋体" w:eastAsia="宋体" w:cs="宋体"/>
                <w:sz w:val="24"/>
              </w:rPr>
            </w:pPr>
            <w:r>
              <w:rPr>
                <w:rFonts w:asciiTheme="minorEastAsia" w:hAnsiTheme="minorEastAsia"/>
                <w:i/>
                <w:sz w:val="24"/>
              </w:rPr>
              <w:t>□</w:t>
            </w:r>
            <w:r>
              <w:rPr>
                <w:rFonts w:hint="eastAsia" w:ascii="宋体" w:hAnsi="宋体" w:eastAsia="宋体" w:cs="宋体"/>
                <w:sz w:val="24"/>
              </w:rPr>
              <w:t>不公示</w:t>
            </w:r>
          </w:p>
          <w:p w14:paraId="1093BC73">
            <w:pPr>
              <w:rPr>
                <w:rFonts w:ascii="宋体" w:hAnsi="宋体" w:eastAsia="宋体" w:cs="宋体"/>
                <w:sz w:val="24"/>
              </w:rPr>
            </w:pPr>
            <w:r>
              <w:rPr>
                <w:rFonts w:hint="eastAsia" w:ascii="宋体" w:hAnsi="宋体" w:eastAsia="宋体" w:cs="宋体"/>
                <w:i/>
                <w:sz w:val="24"/>
              </w:rPr>
              <w:t>■</w:t>
            </w:r>
            <w:r>
              <w:rPr>
                <w:rFonts w:hint="eastAsia" w:ascii="宋体" w:hAnsi="宋体" w:eastAsia="宋体" w:cs="宋体"/>
                <w:sz w:val="24"/>
              </w:rPr>
              <w:t>公示</w:t>
            </w:r>
          </w:p>
          <w:p w14:paraId="61A896F5">
            <w:pPr>
              <w:rPr>
                <w:rFonts w:ascii="宋体" w:hAnsi="宋体" w:eastAsia="宋体" w:cs="宋体"/>
                <w:sz w:val="24"/>
              </w:rPr>
            </w:pPr>
            <w:r>
              <w:rPr>
                <w:rFonts w:hint="eastAsia" w:ascii="宋体" w:hAnsi="宋体" w:eastAsia="宋体" w:cs="宋体"/>
                <w:sz w:val="24"/>
              </w:rPr>
              <w:t>公示媒介：</w:t>
            </w:r>
            <w:r>
              <w:rPr>
                <w:rFonts w:hint="eastAsia" w:ascii="宋体" w:hAnsi="宋体" w:eastAsia="宋体" w:cs="宋体"/>
                <w:sz w:val="24"/>
                <w:u w:val="single"/>
              </w:rPr>
              <w:t>同第一章公告发布的媒介</w:t>
            </w:r>
          </w:p>
          <w:p w14:paraId="012675BA">
            <w:pPr>
              <w:rPr>
                <w:rFonts w:asciiTheme="minorEastAsia" w:hAnsiTheme="minorEastAsia" w:cstheme="minorEastAsia"/>
                <w:sz w:val="24"/>
              </w:rPr>
            </w:pPr>
            <w:r>
              <w:rPr>
                <w:rFonts w:hint="eastAsia" w:ascii="宋体" w:hAnsi="宋体" w:eastAsia="宋体" w:cs="宋体"/>
                <w:sz w:val="24"/>
              </w:rPr>
              <w:t>公示期限：</w:t>
            </w:r>
            <w:r>
              <w:rPr>
                <w:rFonts w:hint="eastAsia" w:ascii="宋体" w:hAnsi="宋体" w:eastAsia="宋体" w:cs="宋体"/>
                <w:sz w:val="24"/>
                <w:u w:val="single"/>
              </w:rPr>
              <w:t>不少于3天</w:t>
            </w:r>
          </w:p>
        </w:tc>
      </w:tr>
      <w:tr w14:paraId="77FBD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5" w:type="dxa"/>
            <w:vAlign w:val="center"/>
          </w:tcPr>
          <w:p w14:paraId="3AEDB6CD">
            <w:pPr>
              <w:jc w:val="center"/>
              <w:rPr>
                <w:rFonts w:asciiTheme="minorEastAsia" w:hAnsiTheme="minorEastAsia" w:cstheme="minorEastAsia"/>
                <w:b/>
                <w:sz w:val="24"/>
              </w:rPr>
            </w:pPr>
            <w:r>
              <w:rPr>
                <w:rFonts w:hint="eastAsia" w:ascii="宋体" w:hAnsi="宋体" w:eastAsia="宋体" w:cs="宋体"/>
                <w:sz w:val="24"/>
              </w:rPr>
              <w:t>7.5</w:t>
            </w:r>
          </w:p>
        </w:tc>
        <w:tc>
          <w:tcPr>
            <w:tcW w:w="1774" w:type="dxa"/>
            <w:vAlign w:val="center"/>
          </w:tcPr>
          <w:p w14:paraId="3B592614">
            <w:pPr>
              <w:jc w:val="center"/>
              <w:rPr>
                <w:rFonts w:asciiTheme="minorEastAsia" w:hAnsiTheme="minorEastAsia" w:cstheme="minorEastAsia"/>
                <w:sz w:val="24"/>
              </w:rPr>
            </w:pPr>
            <w:r>
              <w:rPr>
                <w:rFonts w:hint="eastAsia" w:ascii="宋体" w:hAnsi="宋体" w:eastAsia="宋体" w:cs="宋体"/>
                <w:sz w:val="24"/>
              </w:rPr>
              <w:t>发布成交公告</w:t>
            </w:r>
          </w:p>
        </w:tc>
        <w:tc>
          <w:tcPr>
            <w:tcW w:w="6221" w:type="dxa"/>
            <w:vAlign w:val="center"/>
          </w:tcPr>
          <w:p w14:paraId="65408B64">
            <w:pPr>
              <w:rPr>
                <w:rFonts w:ascii="宋体" w:hAnsi="宋体" w:eastAsia="宋体" w:cs="宋体"/>
                <w:sz w:val="24"/>
                <w:u w:val="single"/>
              </w:rPr>
            </w:pPr>
            <w:r>
              <w:rPr>
                <w:rFonts w:hint="eastAsia" w:ascii="宋体" w:hAnsi="宋体" w:eastAsia="宋体" w:cs="宋体"/>
                <w:i/>
                <w:sz w:val="24"/>
              </w:rPr>
              <w:t>■</w:t>
            </w:r>
            <w:r>
              <w:rPr>
                <w:rFonts w:hint="eastAsia" w:ascii="宋体" w:hAnsi="宋体" w:eastAsia="宋体" w:cs="宋体"/>
                <w:sz w:val="24"/>
              </w:rPr>
              <w:t>是，公告媒介为：</w:t>
            </w:r>
            <w:r>
              <w:rPr>
                <w:rFonts w:hint="eastAsia" w:ascii="宋体" w:hAnsi="宋体" w:eastAsia="宋体" w:cs="宋体"/>
                <w:sz w:val="24"/>
                <w:u w:val="single"/>
              </w:rPr>
              <w:t>同第一章公告发布的媒介</w:t>
            </w:r>
          </w:p>
          <w:p w14:paraId="2F20048E">
            <w:pPr>
              <w:rPr>
                <w:rFonts w:asciiTheme="minorEastAsia" w:hAnsiTheme="minorEastAsia" w:cstheme="minorEastAsia"/>
                <w:sz w:val="24"/>
              </w:rPr>
            </w:pPr>
            <w:r>
              <w:rPr>
                <w:rFonts w:asciiTheme="minorEastAsia" w:hAnsiTheme="minorEastAsia"/>
                <w:i/>
                <w:sz w:val="24"/>
              </w:rPr>
              <w:t>□</w:t>
            </w:r>
            <w:r>
              <w:rPr>
                <w:rFonts w:hint="eastAsia" w:ascii="宋体" w:hAnsi="宋体" w:eastAsia="宋体" w:cs="宋体"/>
                <w:iCs/>
                <w:sz w:val="24"/>
              </w:rPr>
              <w:t>否</w:t>
            </w:r>
          </w:p>
        </w:tc>
      </w:tr>
      <w:tr w14:paraId="4C9A4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1185" w:type="dxa"/>
            <w:vAlign w:val="center"/>
          </w:tcPr>
          <w:p w14:paraId="4EB6D0F3">
            <w:pPr>
              <w:jc w:val="center"/>
              <w:rPr>
                <w:rFonts w:asciiTheme="minorEastAsia" w:hAnsiTheme="minorEastAsia" w:cstheme="minorEastAsia"/>
                <w:sz w:val="24"/>
              </w:rPr>
            </w:pPr>
            <w:r>
              <w:rPr>
                <w:rFonts w:hint="eastAsia" w:asciiTheme="minorEastAsia" w:hAnsiTheme="minorEastAsia" w:cstheme="minorEastAsia"/>
                <w:sz w:val="24"/>
              </w:rPr>
              <w:t>7.6</w:t>
            </w:r>
          </w:p>
        </w:tc>
        <w:tc>
          <w:tcPr>
            <w:tcW w:w="1774" w:type="dxa"/>
            <w:vAlign w:val="center"/>
          </w:tcPr>
          <w:p w14:paraId="36B4AA71">
            <w:pPr>
              <w:jc w:val="center"/>
              <w:rPr>
                <w:rFonts w:asciiTheme="minorEastAsia" w:hAnsiTheme="minorEastAsia" w:cstheme="minorEastAsia"/>
                <w:sz w:val="24"/>
              </w:rPr>
            </w:pPr>
            <w:r>
              <w:rPr>
                <w:rFonts w:hint="eastAsia" w:ascii="宋体" w:hAnsi="宋体" w:eastAsia="宋体" w:cs="宋体"/>
                <w:sz w:val="24"/>
              </w:rPr>
              <w:t>履约保证金</w:t>
            </w:r>
          </w:p>
        </w:tc>
        <w:tc>
          <w:tcPr>
            <w:tcW w:w="6221" w:type="dxa"/>
            <w:vAlign w:val="center"/>
          </w:tcPr>
          <w:p w14:paraId="56EA092B">
            <w:pPr>
              <w:rPr>
                <w:rFonts w:ascii="宋体" w:hAnsi="宋体" w:eastAsia="宋体" w:cs="宋体"/>
                <w:sz w:val="24"/>
              </w:rPr>
            </w:pPr>
            <w:r>
              <w:rPr>
                <w:rFonts w:hint="eastAsia" w:ascii="宋体" w:hAnsi="宋体" w:eastAsia="宋体" w:cs="宋体"/>
                <w:i/>
                <w:sz w:val="24"/>
              </w:rPr>
              <w:t>■</w:t>
            </w:r>
            <w:r>
              <w:rPr>
                <w:rFonts w:hint="eastAsia" w:ascii="宋体" w:hAnsi="宋体" w:eastAsia="宋体" w:cs="宋体"/>
                <w:sz w:val="24"/>
              </w:rPr>
              <w:t>不要求提交</w:t>
            </w:r>
          </w:p>
          <w:p w14:paraId="6ADAFCC5">
            <w:pPr>
              <w:rPr>
                <w:rFonts w:ascii="宋体" w:hAnsi="宋体" w:eastAsia="宋体" w:cs="宋体"/>
                <w:sz w:val="24"/>
              </w:rPr>
            </w:pPr>
            <w:r>
              <w:rPr>
                <w:rFonts w:hint="eastAsia" w:ascii="宋体" w:hAnsi="宋体" w:eastAsia="宋体" w:cs="宋体"/>
                <w:i/>
                <w:sz w:val="24"/>
              </w:rPr>
              <w:t>□</w:t>
            </w:r>
            <w:r>
              <w:rPr>
                <w:rFonts w:hint="eastAsia" w:ascii="宋体" w:hAnsi="宋体" w:eastAsia="宋体" w:cs="宋体"/>
                <w:sz w:val="24"/>
              </w:rPr>
              <w:t>要求提交</w:t>
            </w:r>
          </w:p>
          <w:p w14:paraId="00AC2BAA">
            <w:pPr>
              <w:snapToGrid w:val="0"/>
              <w:rPr>
                <w:rFonts w:ascii="宋体" w:hAnsi="宋体" w:eastAsia="宋体" w:cs="宋体"/>
                <w:kern w:val="0"/>
                <w:sz w:val="24"/>
              </w:rPr>
            </w:pPr>
            <w:r>
              <w:rPr>
                <w:rFonts w:ascii="宋体" w:hAnsi="宋体" w:eastAsia="宋体" w:cs="宋体"/>
                <w:kern w:val="0"/>
                <w:sz w:val="24"/>
              </w:rPr>
              <w:t>履约保证金的形式：</w:t>
            </w:r>
            <w:r>
              <w:rPr>
                <w:rFonts w:hint="eastAsia" w:ascii="宋体" w:hAnsi="宋体" w:eastAsia="宋体" w:cs="宋体"/>
                <w:kern w:val="0"/>
                <w:sz w:val="24"/>
              </w:rPr>
              <w:t>银行保函或银行转账或中核财务保函。</w:t>
            </w:r>
          </w:p>
          <w:p w14:paraId="6005445F">
            <w:pPr>
              <w:snapToGrid w:val="0"/>
              <w:rPr>
                <w:rFonts w:ascii="宋体" w:hAnsi="宋体" w:eastAsia="宋体" w:cs="宋体"/>
                <w:kern w:val="0"/>
                <w:sz w:val="24"/>
              </w:rPr>
            </w:pPr>
            <w:r>
              <w:rPr>
                <w:rFonts w:ascii="宋体" w:hAnsi="宋体" w:eastAsia="宋体" w:cs="宋体"/>
                <w:kern w:val="0"/>
                <w:sz w:val="24"/>
              </w:rPr>
              <w:t>履约保证金的金额：</w:t>
            </w:r>
            <w:r>
              <w:rPr>
                <w:rFonts w:hint="eastAsia" w:ascii="宋体" w:hAnsi="宋体" w:eastAsia="宋体" w:cs="宋体"/>
                <w:kern w:val="0"/>
                <w:sz w:val="24"/>
                <w:lang w:val="en-US" w:eastAsia="zh-CN"/>
              </w:rPr>
              <w:t>/</w:t>
            </w:r>
            <w:r>
              <w:rPr>
                <w:rFonts w:hint="eastAsia" w:ascii="宋体" w:hAnsi="宋体" w:eastAsia="宋体" w:cs="宋体"/>
                <w:kern w:val="0"/>
                <w:sz w:val="24"/>
              </w:rPr>
              <w:t>。</w:t>
            </w:r>
          </w:p>
          <w:p w14:paraId="3DAFE80B">
            <w:pPr>
              <w:pStyle w:val="35"/>
              <w:snapToGrid w:val="0"/>
              <w:ind w:right="102"/>
              <w:jc w:val="both"/>
              <w:rPr>
                <w:rFonts w:asciiTheme="minorEastAsia" w:hAnsiTheme="minorEastAsia" w:eastAsiaTheme="minorEastAsia" w:cstheme="minorEastAsia"/>
                <w:sz w:val="24"/>
                <w:szCs w:val="24"/>
                <w:u w:val="single"/>
                <w:lang w:eastAsia="zh-CN"/>
              </w:rPr>
            </w:pPr>
            <w:r>
              <w:rPr>
                <w:rFonts w:hint="eastAsia"/>
                <w:sz w:val="24"/>
                <w:lang w:eastAsia="zh-CN"/>
              </w:rPr>
              <w:t>履约保证金缴纳时间：成交通知书发出之日起至合同首付款之前。</w:t>
            </w:r>
          </w:p>
        </w:tc>
      </w:tr>
      <w:tr w14:paraId="7FB03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185" w:type="dxa"/>
            <w:vAlign w:val="center"/>
          </w:tcPr>
          <w:p w14:paraId="66F68D35">
            <w:pPr>
              <w:jc w:val="center"/>
              <w:rPr>
                <w:rFonts w:asciiTheme="minorEastAsia" w:hAnsiTheme="minorEastAsia" w:cstheme="minorEastAsia"/>
                <w:sz w:val="24"/>
              </w:rPr>
            </w:pPr>
            <w:r>
              <w:rPr>
                <w:rFonts w:hint="eastAsia" w:asciiTheme="minorEastAsia" w:hAnsiTheme="minorEastAsia" w:cstheme="minorEastAsia"/>
                <w:sz w:val="24"/>
              </w:rPr>
              <w:t>8.1</w:t>
            </w:r>
          </w:p>
        </w:tc>
        <w:tc>
          <w:tcPr>
            <w:tcW w:w="1774" w:type="dxa"/>
            <w:vAlign w:val="center"/>
          </w:tcPr>
          <w:p w14:paraId="0D61F660">
            <w:pPr>
              <w:jc w:val="center"/>
              <w:rPr>
                <w:rFonts w:asciiTheme="minorEastAsia" w:hAnsiTheme="minorEastAsia" w:cstheme="minorEastAsia"/>
                <w:sz w:val="24"/>
              </w:rPr>
            </w:pPr>
            <w:r>
              <w:rPr>
                <w:rFonts w:hint="eastAsia" w:asciiTheme="minorEastAsia" w:hAnsiTheme="minorEastAsia" w:cstheme="minorEastAsia"/>
                <w:sz w:val="24"/>
              </w:rPr>
              <w:t>异议渠道</w:t>
            </w:r>
          </w:p>
        </w:tc>
        <w:tc>
          <w:tcPr>
            <w:tcW w:w="6221" w:type="dxa"/>
            <w:shd w:val="clear" w:color="auto" w:fill="auto"/>
            <w:vAlign w:val="center"/>
          </w:tcPr>
          <w:p w14:paraId="464CEDDA">
            <w:pPr>
              <w:jc w:val="left"/>
              <w:rPr>
                <w:rFonts w:ascii="宋体" w:hAnsi="宋体" w:eastAsia="宋体" w:cs="宋体"/>
                <w:sz w:val="24"/>
              </w:rPr>
            </w:pPr>
            <w:r>
              <w:rPr>
                <w:rFonts w:hint="eastAsia" w:ascii="宋体" w:hAnsi="宋体" w:eastAsia="宋体" w:cs="宋体"/>
                <w:sz w:val="24"/>
              </w:rPr>
              <w:t>对评审结果如有异议，</w:t>
            </w:r>
            <w:r>
              <w:fldChar w:fldCharType="begin"/>
            </w:r>
            <w:r>
              <w:instrText xml:space="preserve"> HYPERLINK "mailto:请在公示期内将加盖异议人公章和法定代表人签字的文件传真至010-88529153或发送邮件至%20%20%20zhongkexin2014@163.com" </w:instrText>
            </w:r>
            <w:r>
              <w:fldChar w:fldCharType="separate"/>
            </w:r>
            <w:r>
              <w:rPr>
                <w:rStyle w:val="26"/>
                <w:rFonts w:hint="eastAsia" w:ascii="宋体" w:hAnsi="宋体" w:eastAsia="宋体" w:cs="宋体"/>
                <w:sz w:val="24"/>
              </w:rPr>
              <w:t>请在公示期内将加盖异议人公章和法定代表人签字的文件发送邮件至ZYTSzbb@zonkex.com</w:t>
            </w:r>
            <w:r>
              <w:rPr>
                <w:rStyle w:val="26"/>
                <w:rFonts w:hint="eastAsia" w:ascii="宋体" w:hAnsi="宋体" w:eastAsia="宋体" w:cs="宋体"/>
                <w:sz w:val="24"/>
              </w:rPr>
              <w:fldChar w:fldCharType="end"/>
            </w:r>
            <w:r>
              <w:rPr>
                <w:rFonts w:hint="eastAsia" w:ascii="宋体" w:hAnsi="宋体" w:eastAsia="宋体" w:cs="宋体"/>
                <w:sz w:val="24"/>
              </w:rPr>
              <w:t>并予以电话通知（028-85756520）。</w:t>
            </w:r>
          </w:p>
        </w:tc>
      </w:tr>
      <w:tr w14:paraId="71C2B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85" w:type="dxa"/>
            <w:vAlign w:val="center"/>
          </w:tcPr>
          <w:p w14:paraId="4B900A03">
            <w:pPr>
              <w:jc w:val="center"/>
              <w:rPr>
                <w:rFonts w:asciiTheme="minorEastAsia" w:hAnsiTheme="minorEastAsia" w:cstheme="minorEastAsia"/>
                <w:sz w:val="24"/>
              </w:rPr>
            </w:pPr>
            <w:r>
              <w:rPr>
                <w:rFonts w:hint="eastAsia" w:asciiTheme="minorEastAsia" w:hAnsiTheme="minorEastAsia" w:cstheme="minorEastAsia"/>
                <w:sz w:val="24"/>
              </w:rPr>
              <w:t>10.1</w:t>
            </w:r>
          </w:p>
        </w:tc>
        <w:tc>
          <w:tcPr>
            <w:tcW w:w="1774" w:type="dxa"/>
            <w:vAlign w:val="center"/>
          </w:tcPr>
          <w:p w14:paraId="3F8BB22F">
            <w:pPr>
              <w:pStyle w:val="35"/>
              <w:snapToGrid w:val="0"/>
              <w:ind w:right="144"/>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知识产权</w:t>
            </w:r>
          </w:p>
        </w:tc>
        <w:tc>
          <w:tcPr>
            <w:tcW w:w="6221" w:type="dxa"/>
            <w:vAlign w:val="center"/>
          </w:tcPr>
          <w:p w14:paraId="271F5606">
            <w:pPr>
              <w:pStyle w:val="3"/>
              <w:adjustRightInd w:val="0"/>
              <w:snapToGrid w:val="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本项目采购单位所提供技术文件等资料涉及知识产权、商业秘密等采购单位内部相关信息。供应商参与本项目谈判并领取本文件的，视为承诺履行保密义务。资料保管、使用及销毁，应当符合安全保密管理规范。未经采购单位书面同意，不得私自复制、留存或随意处置、不得在本项目以外使用。</w:t>
            </w:r>
          </w:p>
        </w:tc>
      </w:tr>
      <w:tr w14:paraId="03A73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185" w:type="dxa"/>
            <w:vAlign w:val="center"/>
          </w:tcPr>
          <w:p w14:paraId="66DCAFE0">
            <w:pPr>
              <w:jc w:val="center"/>
              <w:rPr>
                <w:rFonts w:asciiTheme="minorEastAsia" w:hAnsiTheme="minorEastAsia" w:cstheme="minorEastAsia"/>
                <w:sz w:val="24"/>
              </w:rPr>
            </w:pPr>
            <w:r>
              <w:rPr>
                <w:rFonts w:hint="eastAsia" w:asciiTheme="minorEastAsia" w:hAnsiTheme="minorEastAsia" w:cstheme="minorEastAsia"/>
                <w:sz w:val="24"/>
              </w:rPr>
              <w:t>10.2</w:t>
            </w:r>
          </w:p>
        </w:tc>
        <w:tc>
          <w:tcPr>
            <w:tcW w:w="1774" w:type="dxa"/>
            <w:vAlign w:val="center"/>
          </w:tcPr>
          <w:p w14:paraId="1600DDB6">
            <w:pPr>
              <w:pStyle w:val="35"/>
              <w:snapToGrid w:val="0"/>
              <w:ind w:right="144"/>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多个成交供应商任务分配原则</w:t>
            </w:r>
          </w:p>
        </w:tc>
        <w:tc>
          <w:tcPr>
            <w:tcW w:w="6221" w:type="dxa"/>
            <w:vAlign w:val="center"/>
          </w:tcPr>
          <w:p w14:paraId="1E297470">
            <w:pPr>
              <w:pStyle w:val="35"/>
              <w:snapToGrid w:val="0"/>
              <w:ind w:right="144"/>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iCs/>
                <w:sz w:val="24"/>
                <w:szCs w:val="24"/>
                <w:lang w:eastAsia="zh-CN"/>
              </w:rPr>
              <w:t>本项目不适用</w:t>
            </w:r>
          </w:p>
        </w:tc>
      </w:tr>
      <w:tr w14:paraId="2821D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trPr>
        <w:tc>
          <w:tcPr>
            <w:tcW w:w="1185" w:type="dxa"/>
            <w:vAlign w:val="center"/>
          </w:tcPr>
          <w:p w14:paraId="0D7BE3CE">
            <w:pPr>
              <w:jc w:val="center"/>
              <w:rPr>
                <w:rFonts w:asciiTheme="minorEastAsia" w:hAnsiTheme="minorEastAsia" w:cstheme="minorEastAsia"/>
                <w:sz w:val="24"/>
              </w:rPr>
            </w:pPr>
            <w:r>
              <w:rPr>
                <w:rFonts w:hint="eastAsia" w:asciiTheme="minorEastAsia" w:hAnsiTheme="minorEastAsia" w:cstheme="minorEastAsia"/>
                <w:sz w:val="24"/>
              </w:rPr>
              <w:t>10.3</w:t>
            </w:r>
          </w:p>
        </w:tc>
        <w:tc>
          <w:tcPr>
            <w:tcW w:w="1774" w:type="dxa"/>
            <w:vAlign w:val="center"/>
          </w:tcPr>
          <w:p w14:paraId="44A44BB6">
            <w:pPr>
              <w:pStyle w:val="35"/>
              <w:snapToGrid w:val="0"/>
              <w:ind w:right="144"/>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多个成交供应商的价格确定</w:t>
            </w:r>
          </w:p>
        </w:tc>
        <w:tc>
          <w:tcPr>
            <w:tcW w:w="6221" w:type="dxa"/>
            <w:vAlign w:val="center"/>
          </w:tcPr>
          <w:p w14:paraId="01D367D4">
            <w:pPr>
              <w:pStyle w:val="35"/>
              <w:snapToGrid w:val="0"/>
              <w:ind w:right="144"/>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iCs/>
                <w:sz w:val="24"/>
                <w:szCs w:val="24"/>
                <w:lang w:eastAsia="zh-CN"/>
              </w:rPr>
              <w:t>本项目不适用</w:t>
            </w:r>
          </w:p>
        </w:tc>
      </w:tr>
      <w:tr w14:paraId="4C310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185" w:type="dxa"/>
            <w:vAlign w:val="center"/>
          </w:tcPr>
          <w:p w14:paraId="7D5E12D5">
            <w:pPr>
              <w:jc w:val="center"/>
              <w:rPr>
                <w:rFonts w:asciiTheme="minorEastAsia" w:hAnsiTheme="minorEastAsia" w:cstheme="minorEastAsia"/>
                <w:sz w:val="24"/>
              </w:rPr>
            </w:pPr>
            <w:r>
              <w:rPr>
                <w:rFonts w:hint="eastAsia" w:asciiTheme="minorEastAsia" w:hAnsiTheme="minorEastAsia" w:cstheme="minorEastAsia"/>
                <w:sz w:val="24"/>
              </w:rPr>
              <w:t>10.4</w:t>
            </w:r>
          </w:p>
        </w:tc>
        <w:tc>
          <w:tcPr>
            <w:tcW w:w="1774" w:type="dxa"/>
            <w:vAlign w:val="center"/>
          </w:tcPr>
          <w:p w14:paraId="1952BDF0">
            <w:pPr>
              <w:pStyle w:val="35"/>
              <w:snapToGrid w:val="0"/>
              <w:ind w:right="144"/>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是否授权谈判小组确定成交供应商</w:t>
            </w:r>
          </w:p>
        </w:tc>
        <w:tc>
          <w:tcPr>
            <w:tcW w:w="6221" w:type="dxa"/>
            <w:vAlign w:val="center"/>
          </w:tcPr>
          <w:p w14:paraId="0BC36614">
            <w:pPr>
              <w:pStyle w:val="35"/>
              <w:snapToGrid w:val="0"/>
              <w:ind w:right="3278"/>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i/>
                <w:sz w:val="24"/>
                <w:szCs w:val="24"/>
                <w:lang w:eastAsia="zh-CN"/>
              </w:rPr>
              <w:t>□</w:t>
            </w:r>
            <w:r>
              <w:rPr>
                <w:rFonts w:hint="eastAsia" w:asciiTheme="minorEastAsia" w:hAnsiTheme="minorEastAsia" w:eastAsiaTheme="minorEastAsia" w:cstheme="minorEastAsia"/>
                <w:sz w:val="24"/>
                <w:szCs w:val="24"/>
                <w:lang w:eastAsia="zh-CN"/>
              </w:rPr>
              <w:t>是</w:t>
            </w:r>
          </w:p>
          <w:p w14:paraId="5D734403">
            <w:pPr>
              <w:pStyle w:val="35"/>
              <w:snapToGrid w:val="0"/>
              <w:ind w:right="3278"/>
              <w:jc w:val="both"/>
              <w:rPr>
                <w:rFonts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i/>
                <w:sz w:val="24"/>
                <w:szCs w:val="24"/>
                <w:lang w:eastAsia="zh-CN"/>
              </w:rPr>
              <w:t>■</w:t>
            </w:r>
            <w:r>
              <w:rPr>
                <w:rFonts w:hint="eastAsia" w:asciiTheme="minorEastAsia" w:hAnsiTheme="minorEastAsia" w:eastAsiaTheme="minorEastAsia" w:cstheme="minorEastAsia"/>
                <w:sz w:val="24"/>
                <w:szCs w:val="24"/>
                <w:lang w:eastAsia="zh-CN"/>
              </w:rPr>
              <w:t>否</w:t>
            </w:r>
          </w:p>
        </w:tc>
      </w:tr>
      <w:tr w14:paraId="2BD22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4" w:hRule="atLeast"/>
        </w:trPr>
        <w:tc>
          <w:tcPr>
            <w:tcW w:w="1185" w:type="dxa"/>
            <w:vAlign w:val="center"/>
          </w:tcPr>
          <w:p w14:paraId="29DE8B03">
            <w:pPr>
              <w:pStyle w:val="35"/>
              <w:snapToGrid w:val="0"/>
              <w:ind w:right="144" w:firstLine="240" w:firstLineChars="100"/>
              <w:rPr>
                <w:rFonts w:asciiTheme="minorEastAsia" w:hAnsiTheme="minorEastAsia" w:eastAsiaTheme="minorEastAsia" w:cstheme="minorEastAsia"/>
                <w:iCs/>
                <w:sz w:val="24"/>
                <w:szCs w:val="24"/>
                <w:lang w:eastAsia="zh-CN"/>
              </w:rPr>
            </w:pPr>
            <w:r>
              <w:rPr>
                <w:rFonts w:hint="eastAsia" w:asciiTheme="minorEastAsia" w:hAnsiTheme="minorEastAsia" w:eastAsiaTheme="minorEastAsia" w:cstheme="minorEastAsia"/>
                <w:iCs/>
                <w:sz w:val="24"/>
                <w:szCs w:val="24"/>
                <w:lang w:eastAsia="zh-CN"/>
              </w:rPr>
              <w:t>10.5</w:t>
            </w:r>
          </w:p>
        </w:tc>
        <w:tc>
          <w:tcPr>
            <w:tcW w:w="1774" w:type="dxa"/>
            <w:vAlign w:val="center"/>
          </w:tcPr>
          <w:p w14:paraId="647293E0">
            <w:pPr>
              <w:pStyle w:val="35"/>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成交后合格供应商办理</w:t>
            </w:r>
          </w:p>
        </w:tc>
        <w:tc>
          <w:tcPr>
            <w:tcW w:w="6221" w:type="dxa"/>
            <w:vAlign w:val="center"/>
          </w:tcPr>
          <w:p w14:paraId="3331D2C9">
            <w:pPr>
              <w:snapToGrid w:val="0"/>
              <w:rPr>
                <w:rFonts w:asciiTheme="minorEastAsia" w:hAnsiTheme="minorEastAsia" w:cstheme="minorEastAsia"/>
                <w:sz w:val="24"/>
              </w:rPr>
            </w:pPr>
            <w:r>
              <w:rPr>
                <w:rFonts w:hint="eastAsia" w:asciiTheme="minorEastAsia" w:hAnsiTheme="minorEastAsia" w:cstheme="minorEastAsia"/>
                <w:kern w:val="0"/>
                <w:sz w:val="24"/>
              </w:rPr>
              <w:t>成交方收到成交通知书后，应按采购人要求提供相关资料</w:t>
            </w:r>
            <w:r>
              <w:rPr>
                <w:rFonts w:hint="eastAsia" w:asciiTheme="minorEastAsia" w:hAnsiTheme="minorEastAsia" w:cstheme="minorEastAsia"/>
                <w:color w:val="FF0000"/>
                <w:kern w:val="0"/>
                <w:sz w:val="24"/>
              </w:rPr>
              <w:t>（见一般物项供应商准入评价内容及对应评价要求）</w:t>
            </w:r>
            <w:r>
              <w:rPr>
                <w:rFonts w:hint="eastAsia" w:asciiTheme="minorEastAsia" w:hAnsiTheme="minorEastAsia" w:cstheme="minorEastAsia"/>
                <w:kern w:val="0"/>
                <w:sz w:val="24"/>
              </w:rPr>
              <w:t>，配合采购人完成院或集团合格供应商办理的程序。若因成交方原因未能完成合格供应商办理，采购人有权取消成交方资格，重新采购或按推荐排名顺延选择其他成交候选人成交。</w:t>
            </w:r>
          </w:p>
        </w:tc>
      </w:tr>
      <w:tr w14:paraId="4EBB8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4" w:hRule="atLeast"/>
        </w:trPr>
        <w:tc>
          <w:tcPr>
            <w:tcW w:w="1185" w:type="dxa"/>
            <w:vAlign w:val="center"/>
          </w:tcPr>
          <w:p w14:paraId="21717041">
            <w:pPr>
              <w:pStyle w:val="35"/>
              <w:snapToGrid w:val="0"/>
              <w:ind w:right="144" w:firstLine="240" w:firstLineChars="100"/>
              <w:rPr>
                <w:rFonts w:asciiTheme="minorEastAsia" w:hAnsiTheme="minorEastAsia" w:eastAsiaTheme="minorEastAsia" w:cstheme="minorEastAsia"/>
                <w:iCs/>
                <w:sz w:val="24"/>
                <w:szCs w:val="24"/>
                <w:lang w:eastAsia="zh-CN"/>
              </w:rPr>
            </w:pPr>
            <w:r>
              <w:rPr>
                <w:rFonts w:hint="eastAsia" w:asciiTheme="minorEastAsia" w:hAnsiTheme="minorEastAsia" w:eastAsiaTheme="minorEastAsia" w:cstheme="minorEastAsia"/>
                <w:iCs/>
                <w:sz w:val="24"/>
                <w:szCs w:val="24"/>
                <w:lang w:eastAsia="zh-CN"/>
              </w:rPr>
              <w:t>10.6</w:t>
            </w:r>
          </w:p>
        </w:tc>
        <w:tc>
          <w:tcPr>
            <w:tcW w:w="1774" w:type="dxa"/>
            <w:vAlign w:val="center"/>
          </w:tcPr>
          <w:p w14:paraId="228A237E">
            <w:pPr>
              <w:pStyle w:val="35"/>
              <w:snapToGrid w:val="0"/>
              <w:ind w:right="144"/>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合同签订前纳入集团或院灰名单或黑名单供应商采购结果处理</w:t>
            </w:r>
          </w:p>
        </w:tc>
        <w:tc>
          <w:tcPr>
            <w:tcW w:w="6221" w:type="dxa"/>
            <w:vAlign w:val="center"/>
          </w:tcPr>
          <w:p w14:paraId="7D39F2A9">
            <w:pPr>
              <w:snapToGrid w:val="0"/>
              <w:rPr>
                <w:rFonts w:asciiTheme="minorEastAsia" w:hAnsiTheme="minorEastAsia" w:cstheme="minorEastAsia"/>
                <w:kern w:val="0"/>
                <w:sz w:val="24"/>
              </w:rPr>
            </w:pPr>
            <w:r>
              <w:rPr>
                <w:rFonts w:hint="eastAsia" w:asciiTheme="minorEastAsia" w:hAnsiTheme="minorEastAsia" w:cstheme="minorEastAsia"/>
                <w:kern w:val="0"/>
                <w:sz w:val="24"/>
              </w:rPr>
              <w:t>供应商在受到纳入集团或院“灰名单”或“黑名单”处理前已经完成评审并被推荐为第一成交候选人，但未签订合同的，采购人有权取消成交方资格，可以根据推荐排名顺延选择其他成交候选人或者重新采购。</w:t>
            </w:r>
          </w:p>
        </w:tc>
      </w:tr>
    </w:tbl>
    <w:p w14:paraId="179098A0">
      <w:pPr>
        <w:ind w:firstLine="480" w:firstLineChars="200"/>
        <w:rPr>
          <w:rFonts w:cs="黑体" w:asciiTheme="minorEastAsia" w:hAnsiTheme="minorEastAsia"/>
          <w:b/>
          <w:bCs/>
          <w:sz w:val="24"/>
        </w:rPr>
        <w:sectPr>
          <w:footerReference r:id="rId4" w:type="default"/>
          <w:pgSz w:w="11905" w:h="16838"/>
          <w:pgMar w:top="1417" w:right="1417" w:bottom="1417" w:left="1417" w:header="850" w:footer="992" w:gutter="0"/>
          <w:pgNumType w:start="2"/>
          <w:cols w:space="0" w:num="1"/>
          <w:docGrid w:type="lines" w:linePitch="318" w:charSpace="0"/>
        </w:sectPr>
      </w:pPr>
      <w:r>
        <w:rPr>
          <w:rFonts w:hint="eastAsia" w:cs="黑体" w:asciiTheme="minorEastAsia" w:hAnsiTheme="minorEastAsia"/>
          <w:sz w:val="24"/>
        </w:rPr>
        <w:br w:type="page"/>
      </w:r>
    </w:p>
    <w:p w14:paraId="385C15BD">
      <w:pPr>
        <w:snapToGrid w:val="0"/>
        <w:spacing w:line="360" w:lineRule="auto"/>
        <w:jc w:val="center"/>
        <w:rPr>
          <w:rFonts w:ascii="仿宋_GB2312" w:eastAsia="仿宋_GB2312"/>
          <w:b/>
          <w:bCs/>
          <w:sz w:val="28"/>
          <w:szCs w:val="28"/>
        </w:rPr>
      </w:pPr>
      <w:r>
        <w:rPr>
          <w:rFonts w:hint="eastAsia" w:ascii="仿宋_GB2312" w:eastAsia="仿宋_GB2312"/>
          <w:b/>
          <w:bCs/>
          <w:sz w:val="28"/>
          <w:szCs w:val="28"/>
        </w:rPr>
        <w:t>供应商准入评价项</w:t>
      </w:r>
    </w:p>
    <w:tbl>
      <w:tblPr>
        <w:tblStyle w:val="22"/>
        <w:tblW w:w="955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798"/>
        <w:gridCol w:w="6757"/>
      </w:tblGrid>
      <w:tr w14:paraId="14AD1E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1" w:hRule="atLeast"/>
          <w:jc w:val="center"/>
        </w:trPr>
        <w:tc>
          <w:tcPr>
            <w:tcW w:w="2798" w:type="dxa"/>
            <w:tcBorders>
              <w:top w:val="single" w:color="auto" w:sz="4" w:space="0"/>
              <w:bottom w:val="single" w:color="auto" w:sz="4" w:space="0"/>
            </w:tcBorders>
            <w:vAlign w:val="center"/>
          </w:tcPr>
          <w:p w14:paraId="7B5E4E2D">
            <w:pPr>
              <w:adjustRightInd w:val="0"/>
              <w:snapToGrid w:val="0"/>
              <w:rPr>
                <w:rFonts w:ascii="仿宋_GB2312" w:hAnsi="宋体" w:eastAsia="仿宋_GB2312"/>
                <w:b/>
                <w:bCs/>
                <w:sz w:val="24"/>
                <w:szCs w:val="28"/>
              </w:rPr>
            </w:pPr>
            <w:r>
              <w:rPr>
                <w:rFonts w:hint="eastAsia" w:ascii="仿宋_GB2312" w:hAnsi="宋体" w:eastAsia="仿宋_GB2312"/>
                <w:b/>
                <w:bCs/>
                <w:sz w:val="24"/>
                <w:szCs w:val="28"/>
              </w:rPr>
              <w:t>物项类别</w:t>
            </w:r>
          </w:p>
        </w:tc>
        <w:tc>
          <w:tcPr>
            <w:tcW w:w="6757" w:type="dxa"/>
            <w:tcBorders>
              <w:top w:val="single" w:color="auto" w:sz="4" w:space="0"/>
              <w:bottom w:val="single" w:color="auto" w:sz="4" w:space="0"/>
            </w:tcBorders>
            <w:vAlign w:val="center"/>
          </w:tcPr>
          <w:p w14:paraId="4C6D7671">
            <w:pPr>
              <w:adjustRightInd w:val="0"/>
              <w:snapToGrid w:val="0"/>
              <w:rPr>
                <w:rFonts w:ascii="仿宋_GB2312" w:hAnsi="宋体" w:eastAsia="仿宋_GB2312"/>
                <w:b/>
                <w:bCs/>
                <w:sz w:val="24"/>
                <w:szCs w:val="28"/>
              </w:rPr>
            </w:pPr>
            <w:r>
              <w:rPr>
                <w:rFonts w:hint="eastAsia" w:ascii="仿宋_GB2312" w:hAnsi="宋体" w:eastAsia="仿宋_GB2312"/>
                <w:b/>
                <w:bCs/>
                <w:sz w:val="24"/>
                <w:szCs w:val="28"/>
              </w:rPr>
              <w:t>一般物项供应商准入评价项</w:t>
            </w:r>
          </w:p>
        </w:tc>
      </w:tr>
      <w:tr w14:paraId="33D53C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59" w:hRule="atLeast"/>
          <w:jc w:val="center"/>
        </w:trPr>
        <w:tc>
          <w:tcPr>
            <w:tcW w:w="2798" w:type="dxa"/>
            <w:tcBorders>
              <w:top w:val="single" w:color="auto" w:sz="4" w:space="0"/>
              <w:bottom w:val="single" w:color="auto" w:sz="4" w:space="0"/>
            </w:tcBorders>
            <w:vAlign w:val="center"/>
          </w:tcPr>
          <w:p w14:paraId="5BA4AAD8">
            <w:pPr>
              <w:adjustRightInd w:val="0"/>
              <w:snapToGrid w:val="0"/>
              <w:rPr>
                <w:rFonts w:ascii="仿宋_GB2312" w:hAnsi="宋体" w:eastAsia="仿宋_GB2312"/>
                <w:bCs/>
                <w:sz w:val="24"/>
                <w:szCs w:val="28"/>
              </w:rPr>
            </w:pPr>
            <w:r>
              <w:rPr>
                <w:rFonts w:hint="eastAsia" w:ascii="仿宋_GB2312" w:hAnsi="宋体" w:eastAsia="仿宋_GB2312"/>
                <w:bCs/>
                <w:sz w:val="24"/>
                <w:szCs w:val="28"/>
              </w:rPr>
              <w:sym w:font="Wingdings 2" w:char="00A3"/>
            </w:r>
            <w:r>
              <w:rPr>
                <w:rFonts w:hint="eastAsia" w:ascii="仿宋_GB2312" w:hAnsi="Times New Roman" w:eastAsia="仿宋_GB2312"/>
                <w:bCs/>
                <w:sz w:val="24"/>
                <w:szCs w:val="28"/>
              </w:rPr>
              <w:t>建设工程类</w:t>
            </w:r>
          </w:p>
          <w:p w14:paraId="2B3FB1A8">
            <w:pPr>
              <w:adjustRightInd w:val="0"/>
              <w:snapToGrid w:val="0"/>
              <w:rPr>
                <w:rFonts w:ascii="仿宋_GB2312" w:hAnsi="Times New Roman" w:eastAsia="仿宋_GB2312"/>
                <w:bCs/>
                <w:sz w:val="24"/>
                <w:szCs w:val="28"/>
              </w:rPr>
            </w:pPr>
            <w:r>
              <w:rPr>
                <w:rFonts w:hint="eastAsia" w:ascii="仿宋_GB2312" w:hAnsi="宋体" w:eastAsia="仿宋_GB2312"/>
                <w:bCs/>
                <w:sz w:val="24"/>
                <w:szCs w:val="28"/>
              </w:rPr>
              <w:t>□</w:t>
            </w:r>
            <w:r>
              <w:rPr>
                <w:rFonts w:hint="eastAsia" w:ascii="仿宋_GB2312" w:hAnsi="Times New Roman" w:eastAsia="仿宋_GB2312"/>
                <w:bCs/>
                <w:sz w:val="24"/>
                <w:szCs w:val="28"/>
              </w:rPr>
              <w:t>机械加工类</w:t>
            </w:r>
          </w:p>
          <w:p w14:paraId="50D36406">
            <w:pPr>
              <w:adjustRightInd w:val="0"/>
              <w:snapToGrid w:val="0"/>
              <w:rPr>
                <w:rFonts w:ascii="仿宋_GB2312" w:hAnsi="Times New Roman" w:eastAsia="仿宋_GB2312"/>
                <w:bCs/>
                <w:sz w:val="24"/>
                <w:szCs w:val="28"/>
              </w:rPr>
            </w:pPr>
            <w:r>
              <w:rPr>
                <w:rFonts w:hint="eastAsia" w:ascii="仿宋_GB2312" w:hAnsi="宋体" w:eastAsia="仿宋_GB2312"/>
                <w:bCs/>
                <w:sz w:val="24"/>
                <w:szCs w:val="28"/>
              </w:rPr>
              <w:t>□</w:t>
            </w:r>
            <w:r>
              <w:rPr>
                <w:rFonts w:hint="eastAsia" w:ascii="仿宋_GB2312" w:hAnsi="Times New Roman" w:eastAsia="仿宋_GB2312"/>
                <w:bCs/>
                <w:sz w:val="24"/>
                <w:szCs w:val="28"/>
              </w:rPr>
              <w:t>电子元器件类</w:t>
            </w:r>
          </w:p>
          <w:p w14:paraId="4FA85DBC">
            <w:pPr>
              <w:adjustRightInd w:val="0"/>
              <w:snapToGrid w:val="0"/>
              <w:rPr>
                <w:rFonts w:ascii="仿宋_GB2312" w:hAnsi="Times New Roman" w:eastAsia="仿宋_GB2312"/>
                <w:bCs/>
                <w:sz w:val="24"/>
                <w:szCs w:val="28"/>
              </w:rPr>
            </w:pPr>
            <w:r>
              <w:rPr>
                <w:rFonts w:hint="eastAsia" w:ascii="仿宋_GB2312" w:hAnsi="宋体" w:eastAsia="仿宋_GB2312"/>
                <w:bCs/>
                <w:sz w:val="24"/>
                <w:szCs w:val="28"/>
              </w:rPr>
              <w:t>□</w:t>
            </w:r>
            <w:r>
              <w:rPr>
                <w:rFonts w:hint="eastAsia" w:ascii="仿宋_GB2312" w:hAnsi="Times New Roman" w:eastAsia="仿宋_GB2312"/>
                <w:bCs/>
                <w:sz w:val="24"/>
                <w:szCs w:val="28"/>
              </w:rPr>
              <w:t xml:space="preserve">设备仪器类      </w:t>
            </w:r>
          </w:p>
          <w:p w14:paraId="74CBE54B">
            <w:pPr>
              <w:adjustRightInd w:val="0"/>
              <w:snapToGrid w:val="0"/>
              <w:rPr>
                <w:rFonts w:ascii="仿宋_GB2312" w:hAnsi="Times New Roman" w:eastAsia="仿宋_GB2312"/>
                <w:bCs/>
                <w:sz w:val="24"/>
                <w:szCs w:val="28"/>
              </w:rPr>
            </w:pPr>
            <w:r>
              <w:rPr>
                <w:rFonts w:hint="eastAsia" w:ascii="仿宋_GB2312" w:hAnsi="Times New Roman" w:eastAsia="仿宋_GB2312"/>
                <w:bCs/>
                <w:sz w:val="24"/>
                <w:szCs w:val="28"/>
              </w:rPr>
              <w:t>（</w:t>
            </w:r>
            <w:r>
              <w:rPr>
                <w:rFonts w:hint="eastAsia" w:ascii="仿宋_GB2312" w:hAnsi="宋体" w:eastAsia="仿宋_GB2312"/>
                <w:bCs/>
                <w:sz w:val="24"/>
                <w:szCs w:val="28"/>
              </w:rPr>
              <w:t>□代理/□非代理</w:t>
            </w:r>
            <w:r>
              <w:rPr>
                <w:rFonts w:hint="eastAsia" w:ascii="仿宋_GB2312" w:hAnsi="Times New Roman" w:eastAsia="仿宋_GB2312"/>
                <w:bCs/>
                <w:sz w:val="24"/>
                <w:szCs w:val="28"/>
              </w:rPr>
              <w:t>）</w:t>
            </w:r>
          </w:p>
          <w:p w14:paraId="52454D69">
            <w:pPr>
              <w:adjustRightInd w:val="0"/>
              <w:snapToGrid w:val="0"/>
              <w:rPr>
                <w:rFonts w:ascii="仿宋_GB2312" w:hAnsi="Times New Roman" w:eastAsia="仿宋_GB2312"/>
                <w:bCs/>
                <w:sz w:val="24"/>
                <w:szCs w:val="28"/>
              </w:rPr>
            </w:pPr>
            <w:r>
              <w:rPr>
                <w:rFonts w:hint="eastAsia" w:ascii="仿宋_GB2312" w:hAnsi="宋体" w:eastAsia="仿宋_GB2312"/>
                <w:bCs/>
                <w:sz w:val="24"/>
                <w:szCs w:val="28"/>
              </w:rPr>
              <w:t>□</w:t>
            </w:r>
            <w:r>
              <w:rPr>
                <w:rFonts w:hint="eastAsia" w:ascii="仿宋_GB2312" w:hAnsi="Times New Roman" w:eastAsia="仿宋_GB2312"/>
                <w:bCs/>
                <w:sz w:val="24"/>
                <w:szCs w:val="28"/>
              </w:rPr>
              <w:t xml:space="preserve">材料、涂料类    </w:t>
            </w:r>
          </w:p>
          <w:p w14:paraId="1DF20ACF">
            <w:pPr>
              <w:adjustRightInd w:val="0"/>
              <w:snapToGrid w:val="0"/>
              <w:rPr>
                <w:rFonts w:ascii="仿宋_GB2312" w:hAnsi="Times New Roman" w:eastAsia="仿宋_GB2312"/>
                <w:bCs/>
                <w:sz w:val="24"/>
                <w:szCs w:val="28"/>
              </w:rPr>
            </w:pPr>
            <w:r>
              <w:rPr>
                <w:rFonts w:hint="eastAsia" w:ascii="仿宋_GB2312" w:hAnsi="Times New Roman" w:eastAsia="仿宋_GB2312"/>
                <w:bCs/>
                <w:sz w:val="24"/>
                <w:szCs w:val="28"/>
              </w:rPr>
              <w:t>（</w:t>
            </w:r>
            <w:r>
              <w:rPr>
                <w:rFonts w:hint="eastAsia" w:ascii="仿宋_GB2312" w:hAnsi="宋体" w:eastAsia="仿宋_GB2312"/>
                <w:bCs/>
                <w:sz w:val="24"/>
                <w:szCs w:val="28"/>
              </w:rPr>
              <w:sym w:font="Wingdings 2" w:char="00A3"/>
            </w:r>
            <w:r>
              <w:rPr>
                <w:rFonts w:hint="eastAsia" w:ascii="仿宋_GB2312" w:hAnsi="宋体" w:eastAsia="仿宋_GB2312"/>
                <w:bCs/>
                <w:sz w:val="24"/>
                <w:szCs w:val="28"/>
              </w:rPr>
              <w:t>代理/□非代理</w:t>
            </w:r>
            <w:r>
              <w:rPr>
                <w:rFonts w:hint="eastAsia" w:ascii="仿宋_GB2312" w:hAnsi="Times New Roman" w:eastAsia="仿宋_GB2312"/>
                <w:bCs/>
                <w:sz w:val="24"/>
                <w:szCs w:val="28"/>
              </w:rPr>
              <w:t>）</w:t>
            </w:r>
          </w:p>
          <w:p w14:paraId="2CB2A128">
            <w:pPr>
              <w:adjustRightInd w:val="0"/>
              <w:snapToGrid w:val="0"/>
              <w:rPr>
                <w:rFonts w:ascii="仿宋_GB2312" w:hAnsi="Times New Roman" w:eastAsia="仿宋_GB2312"/>
                <w:bCs/>
                <w:sz w:val="24"/>
                <w:szCs w:val="28"/>
              </w:rPr>
            </w:pPr>
            <w:r>
              <w:rPr>
                <w:rFonts w:hint="eastAsia" w:ascii="仿宋_GB2312" w:hAnsi="宋体" w:eastAsia="仿宋_GB2312"/>
                <w:bCs/>
                <w:sz w:val="24"/>
                <w:szCs w:val="28"/>
              </w:rPr>
              <w:t>□</w:t>
            </w:r>
            <w:r>
              <w:rPr>
                <w:rFonts w:hint="eastAsia" w:ascii="仿宋_GB2312" w:hAnsi="Times New Roman" w:eastAsia="仿宋_GB2312"/>
                <w:bCs/>
                <w:sz w:val="24"/>
                <w:szCs w:val="28"/>
              </w:rPr>
              <w:t xml:space="preserve">部件零件类      </w:t>
            </w:r>
          </w:p>
          <w:p w14:paraId="2A35FC13">
            <w:pPr>
              <w:adjustRightInd w:val="0"/>
              <w:snapToGrid w:val="0"/>
              <w:rPr>
                <w:rFonts w:ascii="仿宋_GB2312" w:hAnsi="Times New Roman" w:eastAsia="仿宋_GB2312"/>
                <w:bCs/>
                <w:sz w:val="24"/>
                <w:szCs w:val="28"/>
              </w:rPr>
            </w:pPr>
            <w:r>
              <w:rPr>
                <w:rFonts w:hint="eastAsia" w:ascii="仿宋_GB2312" w:hAnsi="Times New Roman" w:eastAsia="仿宋_GB2312"/>
                <w:bCs/>
                <w:sz w:val="24"/>
                <w:szCs w:val="28"/>
              </w:rPr>
              <w:t>（</w:t>
            </w:r>
            <w:r>
              <w:rPr>
                <w:rFonts w:hint="eastAsia" w:ascii="仿宋_GB2312" w:hAnsi="宋体" w:eastAsia="仿宋_GB2312"/>
                <w:bCs/>
                <w:sz w:val="24"/>
                <w:szCs w:val="28"/>
              </w:rPr>
              <w:t>□代理/□非代理</w:t>
            </w:r>
            <w:r>
              <w:rPr>
                <w:rFonts w:hint="eastAsia" w:ascii="仿宋_GB2312" w:hAnsi="Times New Roman" w:eastAsia="仿宋_GB2312"/>
                <w:bCs/>
                <w:sz w:val="24"/>
                <w:szCs w:val="28"/>
              </w:rPr>
              <w:t>）</w:t>
            </w:r>
          </w:p>
          <w:p w14:paraId="05FB303C">
            <w:pPr>
              <w:adjustRightInd w:val="0"/>
              <w:snapToGrid w:val="0"/>
              <w:rPr>
                <w:rFonts w:ascii="仿宋_GB2312" w:hAnsi="Times New Roman" w:eastAsia="仿宋_GB2312"/>
                <w:bCs/>
                <w:sz w:val="24"/>
                <w:szCs w:val="28"/>
              </w:rPr>
            </w:pPr>
            <w:r>
              <w:rPr>
                <w:rFonts w:hint="eastAsia" w:ascii="仿宋_GB2312" w:hAnsi="宋体" w:eastAsia="仿宋_GB2312"/>
                <w:bCs/>
                <w:sz w:val="24"/>
                <w:szCs w:val="28"/>
              </w:rPr>
              <w:t>□</w:t>
            </w:r>
            <w:r>
              <w:rPr>
                <w:rFonts w:hint="eastAsia" w:ascii="仿宋_GB2312" w:hAnsi="Times New Roman" w:eastAsia="仿宋_GB2312"/>
                <w:bCs/>
                <w:sz w:val="24"/>
                <w:szCs w:val="28"/>
              </w:rPr>
              <w:t>软件类</w:t>
            </w:r>
          </w:p>
          <w:p w14:paraId="01778187">
            <w:pPr>
              <w:adjustRightInd w:val="0"/>
              <w:snapToGrid w:val="0"/>
              <w:rPr>
                <w:rFonts w:ascii="仿宋_GB2312" w:hAnsi="Times New Roman" w:eastAsia="仿宋_GB2312"/>
                <w:bCs/>
                <w:sz w:val="24"/>
                <w:szCs w:val="28"/>
              </w:rPr>
            </w:pPr>
            <w:r>
              <w:rPr>
                <w:rFonts w:hint="eastAsia" w:ascii="仿宋_GB2312" w:hAnsi="宋体" w:eastAsia="仿宋_GB2312"/>
                <w:bCs/>
                <w:sz w:val="24"/>
                <w:szCs w:val="28"/>
              </w:rPr>
              <w:t>□</w:t>
            </w:r>
            <w:r>
              <w:rPr>
                <w:rFonts w:hint="eastAsia" w:ascii="仿宋_GB2312" w:hAnsi="Times New Roman" w:eastAsia="仿宋_GB2312"/>
                <w:bCs/>
                <w:sz w:val="24"/>
                <w:szCs w:val="28"/>
              </w:rPr>
              <w:t xml:space="preserve">五金电器类      </w:t>
            </w:r>
          </w:p>
          <w:p w14:paraId="27B51BF2">
            <w:pPr>
              <w:adjustRightInd w:val="0"/>
              <w:snapToGrid w:val="0"/>
              <w:rPr>
                <w:rFonts w:ascii="仿宋_GB2312" w:hAnsi="Times New Roman" w:eastAsia="仿宋_GB2312"/>
                <w:bCs/>
                <w:sz w:val="24"/>
                <w:szCs w:val="28"/>
              </w:rPr>
            </w:pPr>
            <w:r>
              <w:rPr>
                <w:rFonts w:hint="eastAsia" w:ascii="仿宋_GB2312" w:hAnsi="Times New Roman" w:eastAsia="仿宋_GB2312"/>
                <w:bCs/>
                <w:sz w:val="24"/>
                <w:szCs w:val="28"/>
              </w:rPr>
              <w:t>（</w:t>
            </w:r>
            <w:r>
              <w:rPr>
                <w:rFonts w:hint="eastAsia" w:ascii="仿宋_GB2312" w:hAnsi="宋体" w:eastAsia="仿宋_GB2312"/>
                <w:bCs/>
                <w:sz w:val="24"/>
                <w:szCs w:val="28"/>
              </w:rPr>
              <w:t>□代理/□非代理</w:t>
            </w:r>
            <w:r>
              <w:rPr>
                <w:rFonts w:hint="eastAsia" w:ascii="仿宋_GB2312" w:hAnsi="Times New Roman" w:eastAsia="仿宋_GB2312"/>
                <w:bCs/>
                <w:sz w:val="24"/>
                <w:szCs w:val="28"/>
              </w:rPr>
              <w:t>）</w:t>
            </w:r>
          </w:p>
          <w:p w14:paraId="24CD391E">
            <w:pPr>
              <w:adjustRightInd w:val="0"/>
              <w:snapToGrid w:val="0"/>
              <w:rPr>
                <w:rFonts w:ascii="仿宋_GB2312" w:hAnsi="Times New Roman" w:eastAsia="仿宋_GB2312"/>
                <w:bCs/>
                <w:sz w:val="24"/>
                <w:szCs w:val="28"/>
              </w:rPr>
            </w:pPr>
            <w:r>
              <w:rPr>
                <w:rFonts w:hint="eastAsia" w:ascii="仿宋_GB2312" w:hAnsi="宋体" w:eastAsia="仿宋_GB2312"/>
                <w:bCs/>
                <w:sz w:val="24"/>
                <w:szCs w:val="28"/>
              </w:rPr>
              <w:t>□</w:t>
            </w:r>
            <w:r>
              <w:rPr>
                <w:rFonts w:hint="eastAsia" w:ascii="仿宋_GB2312" w:hAnsi="Times New Roman" w:eastAsia="仿宋_GB2312"/>
                <w:bCs/>
                <w:sz w:val="24"/>
                <w:szCs w:val="28"/>
              </w:rPr>
              <w:t xml:space="preserve">化学试剂类      </w:t>
            </w:r>
          </w:p>
          <w:p w14:paraId="10DC8DD6">
            <w:pPr>
              <w:adjustRightInd w:val="0"/>
              <w:snapToGrid w:val="0"/>
              <w:rPr>
                <w:rFonts w:ascii="仿宋_GB2312" w:hAnsi="Times New Roman" w:eastAsia="仿宋_GB2312"/>
                <w:bCs/>
                <w:sz w:val="24"/>
                <w:szCs w:val="28"/>
              </w:rPr>
            </w:pPr>
            <w:r>
              <w:rPr>
                <w:rFonts w:hint="eastAsia" w:ascii="仿宋_GB2312" w:hAnsi="Times New Roman" w:eastAsia="仿宋_GB2312"/>
                <w:bCs/>
                <w:sz w:val="24"/>
                <w:szCs w:val="28"/>
              </w:rPr>
              <w:t>（</w:t>
            </w:r>
            <w:r>
              <w:rPr>
                <w:rFonts w:hint="eastAsia" w:ascii="仿宋_GB2312" w:hAnsi="宋体" w:eastAsia="仿宋_GB2312"/>
                <w:bCs/>
                <w:sz w:val="24"/>
                <w:szCs w:val="28"/>
              </w:rPr>
              <w:t>□代理/□非代理</w:t>
            </w:r>
            <w:r>
              <w:rPr>
                <w:rFonts w:hint="eastAsia" w:ascii="仿宋_GB2312" w:hAnsi="Times New Roman" w:eastAsia="仿宋_GB2312"/>
                <w:bCs/>
                <w:sz w:val="24"/>
                <w:szCs w:val="28"/>
              </w:rPr>
              <w:t>）</w:t>
            </w:r>
          </w:p>
          <w:p w14:paraId="6E12F7C9">
            <w:pPr>
              <w:adjustRightInd w:val="0"/>
              <w:snapToGrid w:val="0"/>
              <w:rPr>
                <w:rFonts w:ascii="仿宋_GB2312" w:hAnsi="Times New Roman" w:eastAsia="仿宋_GB2312"/>
                <w:bCs/>
                <w:sz w:val="24"/>
                <w:szCs w:val="28"/>
              </w:rPr>
            </w:pPr>
            <w:r>
              <w:rPr>
                <w:rFonts w:hint="eastAsia" w:ascii="仿宋_GB2312" w:hAnsi="宋体" w:eastAsia="仿宋_GB2312"/>
                <w:bCs/>
                <w:sz w:val="24"/>
                <w:szCs w:val="28"/>
              </w:rPr>
              <w:t>□</w:t>
            </w:r>
            <w:r>
              <w:rPr>
                <w:rFonts w:hint="eastAsia" w:ascii="仿宋_GB2312" w:hAnsi="Times New Roman" w:eastAsia="仿宋_GB2312"/>
                <w:bCs/>
                <w:sz w:val="24"/>
                <w:szCs w:val="28"/>
              </w:rPr>
              <w:t>通信广电类</w:t>
            </w:r>
          </w:p>
          <w:p w14:paraId="23DE1CE7">
            <w:pPr>
              <w:adjustRightInd w:val="0"/>
              <w:snapToGrid w:val="0"/>
              <w:rPr>
                <w:rFonts w:ascii="仿宋_GB2312" w:hAnsi="Times New Roman" w:eastAsia="仿宋_GB2312"/>
                <w:bCs/>
                <w:sz w:val="24"/>
                <w:szCs w:val="28"/>
              </w:rPr>
            </w:pPr>
            <w:r>
              <w:rPr>
                <w:rFonts w:hint="eastAsia" w:ascii="仿宋_GB2312" w:hAnsi="宋体" w:eastAsia="仿宋_GB2312"/>
                <w:bCs/>
                <w:sz w:val="24"/>
                <w:szCs w:val="28"/>
              </w:rPr>
              <w:t>□</w:t>
            </w:r>
            <w:r>
              <w:rPr>
                <w:rFonts w:hint="eastAsia" w:ascii="仿宋_GB2312" w:hAnsi="Times New Roman" w:eastAsia="仿宋_GB2312"/>
                <w:bCs/>
                <w:sz w:val="24"/>
                <w:szCs w:val="28"/>
              </w:rPr>
              <w:t>办公家具类</w:t>
            </w:r>
          </w:p>
          <w:p w14:paraId="150E2B26">
            <w:pPr>
              <w:adjustRightInd w:val="0"/>
              <w:snapToGrid w:val="0"/>
              <w:rPr>
                <w:rFonts w:ascii="仿宋_GB2312" w:hAnsi="Times New Roman" w:eastAsia="仿宋_GB2312"/>
                <w:bCs/>
                <w:sz w:val="24"/>
                <w:szCs w:val="28"/>
              </w:rPr>
            </w:pPr>
            <w:r>
              <w:rPr>
                <w:rFonts w:hint="eastAsia" w:ascii="仿宋_GB2312" w:hAnsi="宋体" w:eastAsia="仿宋_GB2312"/>
                <w:bCs/>
                <w:sz w:val="24"/>
                <w:szCs w:val="28"/>
              </w:rPr>
              <w:t>□技术</w:t>
            </w:r>
            <w:r>
              <w:rPr>
                <w:rFonts w:hint="eastAsia" w:ascii="仿宋_GB2312" w:hAnsi="Times New Roman" w:eastAsia="仿宋_GB2312"/>
                <w:bCs/>
                <w:sz w:val="24"/>
                <w:szCs w:val="28"/>
              </w:rPr>
              <w:t>服务类</w:t>
            </w:r>
          </w:p>
          <w:p w14:paraId="256B80F9">
            <w:pPr>
              <w:adjustRightInd w:val="0"/>
              <w:snapToGrid w:val="0"/>
              <w:rPr>
                <w:rFonts w:ascii="仿宋_GB2312" w:hAnsi="Times New Roman" w:eastAsia="仿宋_GB2312"/>
                <w:bCs/>
                <w:sz w:val="24"/>
                <w:szCs w:val="28"/>
              </w:rPr>
            </w:pPr>
            <w:r>
              <w:rPr>
                <w:rFonts w:hint="eastAsia" w:ascii="仿宋_GB2312" w:hAnsi="宋体" w:eastAsia="仿宋_GB2312"/>
                <w:bCs/>
                <w:sz w:val="24"/>
                <w:szCs w:val="28"/>
              </w:rPr>
              <w:t>□其他服务类</w:t>
            </w:r>
          </w:p>
          <w:p w14:paraId="73A50F45">
            <w:pPr>
              <w:adjustRightInd w:val="0"/>
              <w:snapToGrid w:val="0"/>
              <w:rPr>
                <w:rFonts w:ascii="仿宋_GB2312" w:hAnsi="宋体" w:eastAsia="仿宋_GB2312"/>
                <w:bCs/>
                <w:sz w:val="24"/>
                <w:szCs w:val="28"/>
              </w:rPr>
            </w:pPr>
            <w:r>
              <w:rPr>
                <w:rFonts w:hint="eastAsia" w:ascii="仿宋_GB2312" w:hAnsi="宋体" w:eastAsia="仿宋_GB2312"/>
                <w:bCs/>
                <w:sz w:val="24"/>
                <w:szCs w:val="28"/>
              </w:rPr>
              <w:t>□</w:t>
            </w:r>
            <w:r>
              <w:rPr>
                <w:rFonts w:hint="eastAsia" w:ascii="仿宋_GB2312" w:hAnsi="Times New Roman" w:eastAsia="仿宋_GB2312"/>
                <w:bCs/>
                <w:sz w:val="24"/>
                <w:szCs w:val="28"/>
              </w:rPr>
              <w:t>其他类</w:t>
            </w:r>
          </w:p>
        </w:tc>
        <w:tc>
          <w:tcPr>
            <w:tcW w:w="6757" w:type="dxa"/>
            <w:tcBorders>
              <w:top w:val="single" w:color="auto" w:sz="4" w:space="0"/>
              <w:bottom w:val="single" w:color="auto" w:sz="4" w:space="0"/>
            </w:tcBorders>
            <w:vAlign w:val="center"/>
          </w:tcPr>
          <w:p w14:paraId="7E0301C8">
            <w:pPr>
              <w:numPr>
                <w:ilvl w:val="0"/>
                <w:numId w:val="6"/>
              </w:numPr>
              <w:adjustRightInd w:val="0"/>
              <w:snapToGrid w:val="0"/>
              <w:rPr>
                <w:rFonts w:ascii="仿宋_GB2312" w:hAnsi="宋体" w:eastAsia="仿宋_GB2312"/>
                <w:bCs/>
                <w:sz w:val="24"/>
                <w:szCs w:val="28"/>
              </w:rPr>
            </w:pPr>
            <w:r>
              <w:rPr>
                <w:rFonts w:hint="eastAsia" w:ascii="仿宋_GB2312" w:hAnsi="宋体" w:eastAsia="仿宋_GB2312"/>
                <w:bCs/>
                <w:sz w:val="24"/>
                <w:szCs w:val="28"/>
              </w:rPr>
              <w:t>供应商能力调查表。</w:t>
            </w:r>
          </w:p>
          <w:p w14:paraId="03BB90FB">
            <w:pPr>
              <w:numPr>
                <w:ilvl w:val="0"/>
                <w:numId w:val="6"/>
              </w:numPr>
              <w:adjustRightInd w:val="0"/>
              <w:snapToGrid w:val="0"/>
              <w:rPr>
                <w:rFonts w:ascii="仿宋_GB2312" w:hAnsi="宋体" w:eastAsia="仿宋_GB2312"/>
                <w:bCs/>
                <w:sz w:val="24"/>
                <w:szCs w:val="28"/>
              </w:rPr>
            </w:pPr>
            <w:r>
              <w:rPr>
                <w:rFonts w:hint="eastAsia" w:ascii="仿宋_GB2312" w:hAnsi="宋体" w:eastAsia="仿宋_GB2312"/>
                <w:bCs/>
                <w:sz w:val="24"/>
                <w:szCs w:val="28"/>
              </w:rPr>
              <w:t>营业执照或事业单位法人证书。</w:t>
            </w:r>
          </w:p>
          <w:p w14:paraId="7809555F">
            <w:pPr>
              <w:numPr>
                <w:ilvl w:val="0"/>
                <w:numId w:val="6"/>
              </w:numPr>
              <w:adjustRightInd w:val="0"/>
              <w:snapToGrid w:val="0"/>
              <w:rPr>
                <w:rFonts w:ascii="仿宋_GB2312" w:hAnsi="宋体" w:eastAsia="仿宋_GB2312"/>
                <w:bCs/>
                <w:sz w:val="24"/>
                <w:szCs w:val="28"/>
              </w:rPr>
            </w:pPr>
            <w:r>
              <w:rPr>
                <w:rFonts w:hint="eastAsia" w:ascii="仿宋_GB2312" w:hAnsi="宋体" w:eastAsia="仿宋_GB2312"/>
                <w:bCs/>
                <w:sz w:val="24"/>
                <w:szCs w:val="28"/>
              </w:rPr>
              <w:t>提供与供货范围有关的国家及相关行业/部门要求的资质证书（</w:t>
            </w:r>
            <w:r>
              <w:rPr>
                <w:rFonts w:hint="eastAsia" w:ascii="仿宋_GB2312" w:hAnsi="宋体" w:eastAsia="仿宋_GB2312"/>
                <w:bCs/>
                <w:sz w:val="22"/>
              </w:rPr>
              <w:t>如质量管理体系证书、环境管理体系证书、职业健康管理体系证书、武器装备承制资格证书、保密资格证书、民用核安全设备设计/制造许可证、特种设备设计制造许可证、设计单位资质证书、建筑业企业资质证书、安全生产许可证、软件企业证书、代理/经销（范围）授权证书等均在有效期内</w:t>
            </w:r>
            <w:r>
              <w:rPr>
                <w:rFonts w:hint="eastAsia" w:ascii="仿宋_GB2312" w:hAnsi="宋体" w:eastAsia="仿宋_GB2312"/>
                <w:bCs/>
                <w:sz w:val="24"/>
                <w:szCs w:val="28"/>
              </w:rPr>
              <w:t>）。</w:t>
            </w:r>
          </w:p>
          <w:p w14:paraId="0A47E2F0">
            <w:pPr>
              <w:numPr>
                <w:ilvl w:val="0"/>
                <w:numId w:val="6"/>
              </w:numPr>
              <w:adjustRightInd w:val="0"/>
              <w:snapToGrid w:val="0"/>
              <w:rPr>
                <w:rFonts w:ascii="仿宋_GB2312" w:hAnsi="宋体" w:eastAsia="仿宋_GB2312"/>
                <w:bCs/>
                <w:sz w:val="24"/>
                <w:szCs w:val="28"/>
              </w:rPr>
            </w:pPr>
            <w:r>
              <w:rPr>
                <w:rFonts w:ascii="仿宋_GB2312" w:hAnsi="宋体" w:eastAsia="仿宋_GB2312"/>
                <w:bCs/>
                <w:sz w:val="24"/>
                <w:szCs w:val="28"/>
              </w:rPr>
              <w:t>近三年财务审计报告</w:t>
            </w:r>
            <w:r>
              <w:rPr>
                <w:rFonts w:hint="eastAsia" w:ascii="仿宋_GB2312" w:hAnsi="宋体" w:eastAsia="仿宋_GB2312"/>
                <w:bCs/>
                <w:sz w:val="22"/>
              </w:rPr>
              <w:t>（</w:t>
            </w:r>
            <w:r>
              <w:rPr>
                <w:rFonts w:ascii="仿宋_GB2312" w:hAnsi="宋体" w:eastAsia="仿宋_GB2312"/>
                <w:bCs/>
                <w:sz w:val="22"/>
              </w:rPr>
              <w:t>如公司成立不满三年，提供自成立后的财务审计报告</w:t>
            </w:r>
            <w:r>
              <w:rPr>
                <w:rFonts w:hint="eastAsia" w:ascii="仿宋_GB2312" w:hAnsi="宋体" w:eastAsia="仿宋_GB2312"/>
                <w:bCs/>
                <w:sz w:val="22"/>
              </w:rPr>
              <w:t>）（涉密单位或事业单位可为内部审计报告或经认可的财务决算报表）</w:t>
            </w:r>
            <w:r>
              <w:rPr>
                <w:rFonts w:hint="eastAsia" w:ascii="仿宋_GB2312" w:hAnsi="宋体" w:eastAsia="仿宋_GB2312"/>
                <w:bCs/>
                <w:sz w:val="24"/>
                <w:szCs w:val="28"/>
              </w:rPr>
              <w:t>。</w:t>
            </w:r>
          </w:p>
          <w:p w14:paraId="0B125DD2">
            <w:pPr>
              <w:numPr>
                <w:ilvl w:val="0"/>
                <w:numId w:val="6"/>
              </w:numPr>
              <w:adjustRightInd w:val="0"/>
              <w:snapToGrid w:val="0"/>
              <w:rPr>
                <w:rFonts w:ascii="仿宋_GB2312" w:hAnsi="宋体" w:eastAsia="仿宋_GB2312"/>
                <w:bCs/>
                <w:sz w:val="24"/>
                <w:szCs w:val="28"/>
              </w:rPr>
            </w:pPr>
            <w:r>
              <w:rPr>
                <w:rFonts w:ascii="仿宋_GB2312" w:hAnsi="宋体" w:eastAsia="仿宋_GB2312"/>
                <w:bCs/>
                <w:sz w:val="24"/>
                <w:szCs w:val="28"/>
              </w:rPr>
              <w:t>近三年业绩清单</w:t>
            </w:r>
            <w:r>
              <w:rPr>
                <w:rFonts w:hint="eastAsia" w:ascii="仿宋_GB2312" w:hAnsi="宋体" w:eastAsia="仿宋_GB2312"/>
                <w:bCs/>
                <w:sz w:val="22"/>
              </w:rPr>
              <w:t>（</w:t>
            </w:r>
            <w:r>
              <w:rPr>
                <w:rFonts w:ascii="仿宋_GB2312" w:hAnsi="宋体" w:eastAsia="仿宋_GB2312"/>
                <w:bCs/>
                <w:sz w:val="22"/>
              </w:rPr>
              <w:t>如公司成立不满三年，提供自成立后的业绩清单</w:t>
            </w:r>
            <w:r>
              <w:rPr>
                <w:rFonts w:hint="eastAsia" w:ascii="仿宋_GB2312" w:hAnsi="宋体" w:eastAsia="仿宋_GB2312"/>
                <w:bCs/>
                <w:sz w:val="22"/>
              </w:rPr>
              <w:t>）</w:t>
            </w:r>
            <w:r>
              <w:rPr>
                <w:rFonts w:hint="eastAsia" w:ascii="仿宋_GB2312" w:hAnsi="宋体" w:eastAsia="仿宋_GB2312"/>
                <w:bCs/>
                <w:sz w:val="24"/>
                <w:szCs w:val="28"/>
              </w:rPr>
              <w:t>、</w:t>
            </w:r>
            <w:r>
              <w:rPr>
                <w:rFonts w:ascii="仿宋_GB2312" w:hAnsi="宋体" w:eastAsia="仿宋_GB2312"/>
                <w:bCs/>
                <w:sz w:val="24"/>
                <w:szCs w:val="28"/>
              </w:rPr>
              <w:t>2-3份业绩合同</w:t>
            </w:r>
            <w:r>
              <w:rPr>
                <w:rFonts w:hint="eastAsia" w:ascii="仿宋_GB2312" w:hAnsi="宋体" w:eastAsia="仿宋_GB2312"/>
                <w:bCs/>
                <w:sz w:val="22"/>
              </w:rPr>
              <w:t>（</w:t>
            </w:r>
            <w:r>
              <w:rPr>
                <w:rFonts w:ascii="仿宋_GB2312" w:hAnsi="宋体" w:eastAsia="仿宋_GB2312"/>
                <w:bCs/>
                <w:sz w:val="22"/>
              </w:rPr>
              <w:t>提供封面页和签字页</w:t>
            </w:r>
            <w:r>
              <w:rPr>
                <w:rFonts w:hint="eastAsia" w:ascii="仿宋_GB2312" w:hAnsi="宋体" w:eastAsia="仿宋_GB2312"/>
                <w:bCs/>
                <w:sz w:val="22"/>
              </w:rPr>
              <w:t>）</w:t>
            </w:r>
            <w:r>
              <w:rPr>
                <w:rFonts w:hint="eastAsia" w:ascii="仿宋_GB2312" w:hAnsi="宋体" w:eastAsia="仿宋_GB2312"/>
                <w:bCs/>
                <w:sz w:val="24"/>
                <w:szCs w:val="28"/>
              </w:rPr>
              <w:t>。</w:t>
            </w:r>
          </w:p>
          <w:p w14:paraId="5395CC32">
            <w:pPr>
              <w:numPr>
                <w:ilvl w:val="0"/>
                <w:numId w:val="6"/>
              </w:numPr>
              <w:adjustRightInd w:val="0"/>
              <w:snapToGrid w:val="0"/>
              <w:rPr>
                <w:rFonts w:ascii="仿宋_GB2312" w:hAnsi="宋体" w:eastAsia="仿宋_GB2312"/>
                <w:bCs/>
                <w:szCs w:val="28"/>
              </w:rPr>
            </w:pPr>
            <w:r>
              <w:rPr>
                <w:rFonts w:ascii="仿宋_GB2312" w:hAnsi="宋体" w:eastAsia="仿宋_GB2312"/>
                <w:bCs/>
                <w:szCs w:val="28"/>
              </w:rPr>
              <w:t>近一年，</w:t>
            </w:r>
            <w:r>
              <w:rPr>
                <w:rFonts w:hint="eastAsia" w:ascii="仿宋_GB2312" w:hAnsi="宋体" w:eastAsia="仿宋_GB2312"/>
                <w:bCs/>
                <w:szCs w:val="28"/>
              </w:rPr>
              <w:t>无</w:t>
            </w:r>
            <w:r>
              <w:rPr>
                <w:rFonts w:ascii="仿宋_GB2312" w:hAnsi="宋体" w:eastAsia="仿宋_GB2312"/>
                <w:bCs/>
                <w:szCs w:val="28"/>
              </w:rPr>
              <w:t>国家或行业主管部门不良记录或处罚。</w:t>
            </w:r>
          </w:p>
          <w:p w14:paraId="4D6F5DE8">
            <w:pPr>
              <w:numPr>
                <w:ilvl w:val="0"/>
                <w:numId w:val="6"/>
              </w:numPr>
              <w:adjustRightInd w:val="0"/>
              <w:snapToGrid w:val="0"/>
              <w:rPr>
                <w:rFonts w:ascii="仿宋_GB2312" w:hAnsi="宋体" w:eastAsia="仿宋_GB2312"/>
                <w:bCs/>
                <w:sz w:val="24"/>
                <w:szCs w:val="28"/>
              </w:rPr>
            </w:pPr>
            <w:r>
              <w:rPr>
                <w:rFonts w:ascii="仿宋_GB2312" w:hAnsi="宋体" w:eastAsia="仿宋_GB2312"/>
                <w:bCs/>
                <w:szCs w:val="28"/>
              </w:rPr>
              <w:t>近三年，</w:t>
            </w:r>
            <w:r>
              <w:rPr>
                <w:rFonts w:hint="eastAsia" w:ascii="仿宋_GB2312" w:hAnsi="宋体" w:eastAsia="仿宋_GB2312"/>
                <w:bCs/>
                <w:szCs w:val="28"/>
              </w:rPr>
              <w:t>无</w:t>
            </w:r>
            <w:r>
              <w:rPr>
                <w:rFonts w:ascii="仿宋_GB2312" w:hAnsi="宋体" w:eastAsia="仿宋_GB2312"/>
                <w:bCs/>
                <w:szCs w:val="28"/>
              </w:rPr>
              <w:t>重大质量、环保或安全问题（以相关行业主管部门的行政处罚决定或司法机关出具的有关法律文书为准）。</w:t>
            </w:r>
          </w:p>
          <w:p w14:paraId="41A2673C">
            <w:pPr>
              <w:numPr>
                <w:ilvl w:val="0"/>
                <w:numId w:val="6"/>
              </w:numPr>
              <w:adjustRightInd w:val="0"/>
              <w:snapToGrid w:val="0"/>
              <w:rPr>
                <w:rFonts w:ascii="仿宋_GB2312" w:hAnsi="宋体" w:eastAsia="仿宋_GB2312"/>
                <w:bCs/>
                <w:sz w:val="24"/>
                <w:szCs w:val="28"/>
              </w:rPr>
            </w:pPr>
            <w:r>
              <w:rPr>
                <w:rFonts w:ascii="仿宋_GB2312" w:hAnsi="宋体" w:eastAsia="仿宋_GB2312"/>
                <w:bCs/>
                <w:sz w:val="24"/>
                <w:szCs w:val="28"/>
              </w:rPr>
              <w:t>“信用中国”网站、国家企业信用信息公示系统、全国公共资源交易平台无严重违法失信（黑名单）信息</w:t>
            </w:r>
            <w:r>
              <w:rPr>
                <w:rFonts w:hint="eastAsia" w:ascii="仿宋_GB2312" w:hAnsi="宋体" w:eastAsia="仿宋_GB2312"/>
                <w:bCs/>
                <w:sz w:val="24"/>
                <w:szCs w:val="28"/>
              </w:rPr>
              <w:t>的报告。</w:t>
            </w:r>
          </w:p>
          <w:p w14:paraId="5D13B9AE">
            <w:pPr>
              <w:numPr>
                <w:ilvl w:val="0"/>
                <w:numId w:val="6"/>
              </w:numPr>
              <w:adjustRightInd w:val="0"/>
              <w:snapToGrid w:val="0"/>
              <w:rPr>
                <w:rFonts w:ascii="仿宋_GB2312" w:hAnsi="宋体" w:eastAsia="仿宋_GB2312"/>
                <w:bCs/>
                <w:sz w:val="24"/>
                <w:szCs w:val="28"/>
              </w:rPr>
            </w:pPr>
            <w:r>
              <w:rPr>
                <w:rFonts w:ascii="仿宋_GB2312" w:hAnsi="宋体" w:eastAsia="仿宋_GB2312"/>
                <w:bCs/>
                <w:sz w:val="24"/>
                <w:szCs w:val="28"/>
              </w:rPr>
              <w:t>近三年法人单位及其法定代表人无行贿犯罪记录（以中国裁判文书网查询结果为准），无被执行案件失信记录</w:t>
            </w:r>
            <w:r>
              <w:rPr>
                <w:rFonts w:hint="eastAsia" w:ascii="仿宋_GB2312" w:hAnsi="宋体" w:eastAsia="仿宋_GB2312"/>
                <w:bCs/>
                <w:sz w:val="24"/>
                <w:szCs w:val="28"/>
              </w:rPr>
              <w:t>。</w:t>
            </w:r>
          </w:p>
          <w:p w14:paraId="3C0EA0C6">
            <w:pPr>
              <w:numPr>
                <w:ilvl w:val="0"/>
                <w:numId w:val="6"/>
              </w:numPr>
              <w:adjustRightInd w:val="0"/>
              <w:snapToGrid w:val="0"/>
              <w:rPr>
                <w:rFonts w:ascii="仿宋_GB2312" w:hAnsi="宋体" w:eastAsia="仿宋_GB2312"/>
                <w:bCs/>
                <w:sz w:val="24"/>
                <w:szCs w:val="28"/>
              </w:rPr>
            </w:pPr>
            <w:r>
              <w:rPr>
                <w:rFonts w:hint="eastAsia" w:ascii="仿宋_GB2312" w:hAnsi="宋体" w:eastAsia="仿宋_GB2312"/>
                <w:bCs/>
                <w:sz w:val="24"/>
                <w:szCs w:val="28"/>
              </w:rPr>
              <w:t>近三年</w:t>
            </w:r>
            <w:r>
              <w:rPr>
                <w:rFonts w:ascii="仿宋_GB2312" w:hAnsi="宋体" w:eastAsia="仿宋_GB2312"/>
                <w:bCs/>
                <w:sz w:val="24"/>
                <w:szCs w:val="28"/>
              </w:rPr>
              <w:t>客户评价或满意度情况</w:t>
            </w:r>
            <w:r>
              <w:rPr>
                <w:rFonts w:hint="eastAsia" w:ascii="仿宋_GB2312" w:hAnsi="宋体" w:eastAsia="仿宋_GB2312"/>
                <w:bCs/>
                <w:sz w:val="22"/>
              </w:rPr>
              <w:t>，</w:t>
            </w:r>
            <w:r>
              <w:rPr>
                <w:rFonts w:ascii="仿宋_GB2312" w:hAnsi="宋体" w:eastAsia="仿宋_GB2312"/>
                <w:bCs/>
                <w:sz w:val="24"/>
                <w:szCs w:val="28"/>
              </w:rPr>
              <w:t>3份以上顾客满意度调查情况</w:t>
            </w:r>
            <w:r>
              <w:rPr>
                <w:rFonts w:hint="eastAsia" w:ascii="仿宋_GB2312" w:hAnsi="宋体" w:eastAsia="仿宋_GB2312"/>
                <w:bCs/>
                <w:sz w:val="24"/>
                <w:szCs w:val="28"/>
              </w:rPr>
              <w:t>。</w:t>
            </w:r>
          </w:p>
          <w:p w14:paraId="3F004C91">
            <w:pPr>
              <w:numPr>
                <w:ilvl w:val="0"/>
                <w:numId w:val="6"/>
              </w:numPr>
              <w:adjustRightInd w:val="0"/>
              <w:snapToGrid w:val="0"/>
              <w:rPr>
                <w:rFonts w:ascii="仿宋_GB2312" w:hAnsi="宋体" w:eastAsia="仿宋_GB2312"/>
                <w:bCs/>
                <w:sz w:val="24"/>
                <w:szCs w:val="28"/>
              </w:rPr>
            </w:pPr>
            <w:r>
              <w:rPr>
                <w:rFonts w:ascii="仿宋_GB2312" w:hAnsi="宋体" w:eastAsia="仿宋_GB2312"/>
                <w:bCs/>
                <w:sz w:val="24"/>
                <w:szCs w:val="28"/>
              </w:rPr>
              <w:t>产品设计能力情况说明</w:t>
            </w:r>
            <w:r>
              <w:rPr>
                <w:rFonts w:hint="eastAsia" w:ascii="仿宋_GB2312" w:hAnsi="宋体" w:eastAsia="仿宋_GB2312"/>
                <w:bCs/>
                <w:sz w:val="24"/>
                <w:szCs w:val="28"/>
              </w:rPr>
              <w:t>：</w:t>
            </w:r>
            <w:r>
              <w:rPr>
                <w:rFonts w:hint="eastAsia" w:ascii="仿宋_GB2312" w:hAnsi="宋体" w:eastAsia="仿宋_GB2312"/>
                <w:bCs/>
                <w:szCs w:val="28"/>
              </w:rPr>
              <w:t>包括设计资格、人员资格及经验、设计和研发设备、设计过程控制、后续研发能力情况；研究开发投入情况，技术储备情况。</w:t>
            </w:r>
          </w:p>
          <w:p w14:paraId="088D0C61">
            <w:pPr>
              <w:numPr>
                <w:ilvl w:val="0"/>
                <w:numId w:val="6"/>
              </w:numPr>
              <w:adjustRightInd w:val="0"/>
              <w:snapToGrid w:val="0"/>
              <w:rPr>
                <w:rFonts w:ascii="仿宋_GB2312" w:hAnsi="宋体" w:eastAsia="仿宋_GB2312"/>
                <w:bCs/>
                <w:sz w:val="24"/>
                <w:szCs w:val="28"/>
              </w:rPr>
            </w:pPr>
            <w:r>
              <w:rPr>
                <w:rFonts w:ascii="仿宋_GB2312" w:hAnsi="宋体" w:eastAsia="仿宋_GB2312"/>
                <w:bCs/>
                <w:sz w:val="24"/>
                <w:szCs w:val="28"/>
              </w:rPr>
              <w:t>生产能力情况说明</w:t>
            </w:r>
            <w:r>
              <w:rPr>
                <w:rFonts w:hint="eastAsia" w:ascii="仿宋_GB2312" w:hAnsi="宋体" w:eastAsia="仿宋_GB2312"/>
                <w:bCs/>
                <w:sz w:val="24"/>
                <w:szCs w:val="28"/>
              </w:rPr>
              <w:t>：</w:t>
            </w:r>
            <w:r>
              <w:rPr>
                <w:rFonts w:hint="eastAsia" w:ascii="仿宋_GB2312" w:hAnsi="宋体" w:eastAsia="仿宋_GB2312"/>
                <w:bCs/>
                <w:szCs w:val="28"/>
              </w:rPr>
              <w:t>包括经营场所具有土地使用权、房屋所有权证书或租赁合同情况、生产办公场所面积及图片、生产设施情况、检验检测设备/方法情况、环境条件、关键技术及工艺情况；产能情况、产品贮存、搬运、运输能力情况。针对工程类，提供工程竣工验收报告；针对物资类，提供产品合格证或产品出厂检验报告。</w:t>
            </w:r>
          </w:p>
          <w:p w14:paraId="25B0B347">
            <w:pPr>
              <w:numPr>
                <w:ilvl w:val="0"/>
                <w:numId w:val="6"/>
              </w:numPr>
              <w:adjustRightInd w:val="0"/>
              <w:snapToGrid w:val="0"/>
              <w:rPr>
                <w:rFonts w:ascii="仿宋_GB2312" w:hAnsi="宋体" w:eastAsia="仿宋_GB2312"/>
                <w:bCs/>
                <w:sz w:val="24"/>
                <w:szCs w:val="28"/>
              </w:rPr>
            </w:pPr>
            <w:r>
              <w:rPr>
                <w:rFonts w:ascii="仿宋_GB2312" w:hAnsi="宋体" w:eastAsia="仿宋_GB2312"/>
                <w:bCs/>
                <w:sz w:val="24"/>
                <w:szCs w:val="28"/>
              </w:rPr>
              <w:t>人力资源能力情况说明</w:t>
            </w:r>
            <w:r>
              <w:rPr>
                <w:rFonts w:hint="eastAsia" w:ascii="仿宋_GB2312" w:hAnsi="宋体" w:eastAsia="仿宋_GB2312"/>
                <w:bCs/>
                <w:sz w:val="24"/>
                <w:szCs w:val="28"/>
              </w:rPr>
              <w:t>：</w:t>
            </w:r>
            <w:r>
              <w:rPr>
                <w:rFonts w:hint="eastAsia" w:ascii="仿宋_GB2312" w:hAnsi="宋体" w:eastAsia="仿宋_GB2312"/>
                <w:bCs/>
                <w:szCs w:val="28"/>
              </w:rPr>
              <w:t>包括组织机构、岗位职责、相关人员社保、人员资质、人员配备、人员培训考核等情况。如：焊工和无损检验人员资格证书、起重/电气类人员资格证书。</w:t>
            </w:r>
          </w:p>
          <w:p w14:paraId="6C539775">
            <w:pPr>
              <w:numPr>
                <w:ilvl w:val="0"/>
                <w:numId w:val="6"/>
              </w:numPr>
              <w:adjustRightInd w:val="0"/>
              <w:snapToGrid w:val="0"/>
              <w:rPr>
                <w:rFonts w:ascii="仿宋_GB2312" w:hAnsi="宋体" w:eastAsia="仿宋_GB2312"/>
                <w:bCs/>
                <w:sz w:val="24"/>
                <w:szCs w:val="28"/>
              </w:rPr>
            </w:pPr>
            <w:r>
              <w:rPr>
                <w:rFonts w:ascii="仿宋_GB2312" w:hAnsi="宋体" w:eastAsia="仿宋_GB2312"/>
                <w:bCs/>
                <w:sz w:val="24"/>
                <w:szCs w:val="28"/>
              </w:rPr>
              <w:t>售后服务保障措施</w:t>
            </w:r>
            <w:r>
              <w:rPr>
                <w:rFonts w:hint="eastAsia" w:ascii="仿宋_GB2312" w:hAnsi="宋体" w:eastAsia="仿宋_GB2312"/>
                <w:bCs/>
                <w:sz w:val="24"/>
                <w:szCs w:val="28"/>
              </w:rPr>
              <w:t>。</w:t>
            </w:r>
          </w:p>
          <w:p w14:paraId="7D58EFF4">
            <w:pPr>
              <w:numPr>
                <w:ilvl w:val="0"/>
                <w:numId w:val="6"/>
              </w:numPr>
              <w:adjustRightInd w:val="0"/>
              <w:snapToGrid w:val="0"/>
              <w:rPr>
                <w:rFonts w:ascii="仿宋_GB2312" w:hAnsi="宋体" w:eastAsia="仿宋_GB2312"/>
                <w:bCs/>
                <w:sz w:val="24"/>
                <w:szCs w:val="28"/>
              </w:rPr>
            </w:pPr>
            <w:r>
              <w:rPr>
                <w:rFonts w:ascii="仿宋_GB2312" w:hAnsi="宋体" w:eastAsia="仿宋_GB2312"/>
                <w:bCs/>
                <w:sz w:val="24"/>
                <w:szCs w:val="28"/>
              </w:rPr>
              <w:t>拟采购产品或技术名称的知识产权分析评价供方拥有相关该产品的知识产权情况</w:t>
            </w:r>
            <w:r>
              <w:rPr>
                <w:rFonts w:hint="eastAsia" w:ascii="仿宋_GB2312" w:hAnsi="宋体" w:eastAsia="仿宋_GB2312"/>
                <w:bCs/>
                <w:sz w:val="24"/>
                <w:szCs w:val="28"/>
              </w:rPr>
              <w:t>。</w:t>
            </w:r>
          </w:p>
          <w:p w14:paraId="436BBFA6">
            <w:pPr>
              <w:numPr>
                <w:ilvl w:val="0"/>
                <w:numId w:val="6"/>
              </w:numPr>
              <w:adjustRightInd w:val="0"/>
              <w:snapToGrid w:val="0"/>
              <w:rPr>
                <w:rFonts w:ascii="仿宋_GB2312" w:hAnsi="宋体" w:eastAsia="仿宋_GB2312"/>
                <w:bCs/>
                <w:sz w:val="24"/>
                <w:szCs w:val="28"/>
              </w:rPr>
            </w:pPr>
            <w:r>
              <w:rPr>
                <w:rFonts w:ascii="仿宋_GB2312" w:hAnsi="宋体" w:eastAsia="仿宋_GB2312"/>
                <w:bCs/>
                <w:sz w:val="24"/>
                <w:szCs w:val="28"/>
              </w:rPr>
              <w:t>其他证明企业能力的材料，如荣誉证书、信用等级、不良信息等材料</w:t>
            </w:r>
            <w:r>
              <w:rPr>
                <w:rFonts w:hint="eastAsia" w:ascii="仿宋_GB2312" w:hAnsi="宋体" w:eastAsia="仿宋_GB2312"/>
                <w:bCs/>
                <w:sz w:val="24"/>
                <w:szCs w:val="28"/>
              </w:rPr>
              <w:t>。</w:t>
            </w:r>
          </w:p>
        </w:tc>
      </w:tr>
      <w:tr w14:paraId="2CB340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744" w:hRule="atLeast"/>
          <w:jc w:val="center"/>
        </w:trPr>
        <w:tc>
          <w:tcPr>
            <w:tcW w:w="2798" w:type="dxa"/>
            <w:tcBorders>
              <w:top w:val="single" w:color="auto" w:sz="4" w:space="0"/>
              <w:bottom w:val="single" w:color="auto" w:sz="4" w:space="0"/>
            </w:tcBorders>
            <w:vAlign w:val="center"/>
          </w:tcPr>
          <w:p w14:paraId="2215A8A1">
            <w:pPr>
              <w:adjustRightInd w:val="0"/>
              <w:snapToGrid w:val="0"/>
              <w:rPr>
                <w:rFonts w:ascii="仿宋_GB2312" w:hAnsi="宋体" w:eastAsia="仿宋_GB2312"/>
                <w:bCs/>
                <w:sz w:val="24"/>
                <w:szCs w:val="28"/>
              </w:rPr>
            </w:pPr>
            <w:r>
              <w:rPr>
                <w:rFonts w:hint="eastAsia" w:ascii="仿宋_GB2312" w:hAnsi="宋体" w:eastAsia="仿宋_GB2312"/>
                <w:bCs/>
                <w:sz w:val="24"/>
                <w:szCs w:val="28"/>
              </w:rPr>
              <w:t>□</w:t>
            </w:r>
            <w:r>
              <w:rPr>
                <w:rFonts w:hint="eastAsia" w:ascii="仿宋_GB2312" w:hAnsi="Times New Roman" w:eastAsia="仿宋_GB2312"/>
                <w:bCs/>
                <w:sz w:val="24"/>
                <w:szCs w:val="28"/>
              </w:rPr>
              <w:t>建设工程类</w:t>
            </w:r>
          </w:p>
        </w:tc>
        <w:tc>
          <w:tcPr>
            <w:tcW w:w="6757" w:type="dxa"/>
            <w:tcBorders>
              <w:top w:val="single" w:color="auto" w:sz="4" w:space="0"/>
              <w:bottom w:val="single" w:color="auto" w:sz="4" w:space="0"/>
            </w:tcBorders>
            <w:vAlign w:val="center"/>
          </w:tcPr>
          <w:p w14:paraId="5806796B">
            <w:pPr>
              <w:adjustRightInd w:val="0"/>
              <w:snapToGrid w:val="0"/>
              <w:rPr>
                <w:rFonts w:ascii="仿宋_GB2312" w:hAnsi="Times New Roman" w:eastAsia="仿宋_GB2312"/>
                <w:bCs/>
                <w:sz w:val="24"/>
                <w:szCs w:val="28"/>
              </w:rPr>
            </w:pPr>
            <w:r>
              <w:rPr>
                <w:rFonts w:hint="eastAsia" w:ascii="仿宋_GB2312" w:hAnsi="Times New Roman" w:eastAsia="仿宋_GB2312"/>
                <w:bCs/>
                <w:sz w:val="24"/>
                <w:szCs w:val="28"/>
              </w:rPr>
              <w:t>重要工程（核设施、实验室及台架建设等）：</w:t>
            </w:r>
          </w:p>
          <w:p w14:paraId="01718153">
            <w:pPr>
              <w:adjustRightInd w:val="0"/>
              <w:snapToGrid w:val="0"/>
              <w:rPr>
                <w:rFonts w:ascii="仿宋_GB2312" w:hAnsi="Times New Roman" w:eastAsia="仿宋_GB2312"/>
                <w:bCs/>
                <w:sz w:val="24"/>
                <w:szCs w:val="28"/>
              </w:rPr>
            </w:pPr>
            <w:r>
              <w:rPr>
                <w:rFonts w:hint="eastAsia" w:ascii="仿宋_GB2312" w:hAnsi="Times New Roman" w:eastAsia="仿宋_GB2312"/>
                <w:bCs/>
                <w:sz w:val="24"/>
                <w:szCs w:val="28"/>
              </w:rPr>
              <w:t>设计资质:具备工程设计综合、行业（乙级及以上）或专业（乙级及以上）</w:t>
            </w:r>
            <w:r>
              <w:rPr>
                <w:rFonts w:hint="eastAsia" w:ascii="仿宋_GB2312" w:eastAsia="仿宋_GB2312"/>
                <w:bCs/>
                <w:sz w:val="24"/>
                <w:szCs w:val="28"/>
              </w:rPr>
              <w:t>；</w:t>
            </w:r>
          </w:p>
          <w:p w14:paraId="1D3D84D0">
            <w:pPr>
              <w:adjustRightInd w:val="0"/>
              <w:snapToGrid w:val="0"/>
              <w:rPr>
                <w:rFonts w:ascii="仿宋_GB2312" w:hAnsi="Times New Roman" w:eastAsia="仿宋_GB2312"/>
                <w:bCs/>
                <w:sz w:val="24"/>
                <w:szCs w:val="28"/>
              </w:rPr>
            </w:pPr>
            <w:r>
              <w:rPr>
                <w:rFonts w:hint="eastAsia" w:ascii="仿宋_GB2312" w:hAnsi="Times New Roman" w:eastAsia="仿宋_GB2312"/>
                <w:bCs/>
                <w:sz w:val="24"/>
                <w:szCs w:val="28"/>
              </w:rPr>
              <w:t>施工资质:具备施工总承包（二级及以上）、专业承包（二级及以上）</w:t>
            </w:r>
            <w:r>
              <w:rPr>
                <w:rFonts w:hint="eastAsia" w:ascii="仿宋_GB2312" w:eastAsia="仿宋_GB2312"/>
                <w:bCs/>
                <w:sz w:val="24"/>
                <w:szCs w:val="28"/>
              </w:rPr>
              <w:t>。</w:t>
            </w:r>
          </w:p>
          <w:p w14:paraId="7BC5E596">
            <w:pPr>
              <w:adjustRightInd w:val="0"/>
              <w:snapToGrid w:val="0"/>
              <w:rPr>
                <w:rFonts w:ascii="仿宋_GB2312" w:hAnsi="Times New Roman" w:eastAsia="仿宋_GB2312"/>
                <w:bCs/>
                <w:sz w:val="24"/>
                <w:szCs w:val="28"/>
              </w:rPr>
            </w:pPr>
            <w:r>
              <w:rPr>
                <w:rFonts w:hint="eastAsia" w:ascii="仿宋_GB2312" w:hAnsi="Times New Roman" w:eastAsia="仿宋_GB2312"/>
                <w:bCs/>
                <w:sz w:val="24"/>
                <w:szCs w:val="28"/>
              </w:rPr>
              <w:t>一般工程（</w:t>
            </w:r>
            <w:r>
              <w:rPr>
                <w:rFonts w:hint="eastAsia" w:ascii="仿宋_GB2312" w:eastAsia="仿宋_GB2312"/>
                <w:bCs/>
                <w:sz w:val="24"/>
                <w:szCs w:val="28"/>
              </w:rPr>
              <w:t>除重要工程外的</w:t>
            </w:r>
            <w:r>
              <w:rPr>
                <w:rFonts w:hint="eastAsia" w:ascii="仿宋_GB2312" w:hAnsi="Times New Roman" w:eastAsia="仿宋_GB2312"/>
                <w:bCs/>
                <w:sz w:val="24"/>
                <w:szCs w:val="28"/>
              </w:rPr>
              <w:t>）：</w:t>
            </w:r>
          </w:p>
          <w:p w14:paraId="2ADA082F">
            <w:pPr>
              <w:adjustRightInd w:val="0"/>
              <w:snapToGrid w:val="0"/>
              <w:rPr>
                <w:rFonts w:ascii="仿宋_GB2312" w:hAnsi="Times New Roman" w:eastAsia="仿宋_GB2312"/>
                <w:bCs/>
                <w:sz w:val="24"/>
                <w:szCs w:val="28"/>
              </w:rPr>
            </w:pPr>
            <w:r>
              <w:rPr>
                <w:rFonts w:hint="eastAsia" w:ascii="仿宋_GB2312" w:hAnsi="Times New Roman" w:eastAsia="仿宋_GB2312"/>
                <w:bCs/>
                <w:sz w:val="24"/>
                <w:szCs w:val="28"/>
              </w:rPr>
              <w:t>设计资质:具备工程设计综合、行业或专业相关资质</w:t>
            </w:r>
            <w:r>
              <w:rPr>
                <w:rFonts w:hint="eastAsia" w:ascii="仿宋_GB2312" w:eastAsia="仿宋_GB2312"/>
                <w:bCs/>
                <w:sz w:val="24"/>
                <w:szCs w:val="28"/>
              </w:rPr>
              <w:t>；</w:t>
            </w:r>
          </w:p>
          <w:p w14:paraId="4321DF07">
            <w:pPr>
              <w:adjustRightInd w:val="0"/>
              <w:snapToGrid w:val="0"/>
              <w:rPr>
                <w:rFonts w:ascii="仿宋_GB2312" w:hAnsi="Times New Roman" w:eastAsia="仿宋_GB2312"/>
                <w:bCs/>
                <w:sz w:val="24"/>
                <w:szCs w:val="28"/>
              </w:rPr>
            </w:pPr>
            <w:r>
              <w:rPr>
                <w:rFonts w:hint="eastAsia" w:ascii="仿宋_GB2312" w:hAnsi="Times New Roman" w:eastAsia="仿宋_GB2312"/>
                <w:bCs/>
                <w:sz w:val="24"/>
                <w:szCs w:val="28"/>
              </w:rPr>
              <w:t>施工资质:具备施工总承包、专业承包相关资质</w:t>
            </w:r>
            <w:r>
              <w:rPr>
                <w:rFonts w:hint="eastAsia" w:ascii="仿宋_GB2312" w:eastAsia="仿宋_GB2312"/>
                <w:bCs/>
                <w:sz w:val="24"/>
                <w:szCs w:val="28"/>
              </w:rPr>
              <w:t>。</w:t>
            </w:r>
          </w:p>
        </w:tc>
      </w:tr>
      <w:tr w14:paraId="7B3F95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8" w:hRule="atLeast"/>
          <w:jc w:val="center"/>
        </w:trPr>
        <w:tc>
          <w:tcPr>
            <w:tcW w:w="2798" w:type="dxa"/>
            <w:tcBorders>
              <w:top w:val="single" w:color="auto" w:sz="4" w:space="0"/>
              <w:bottom w:val="single" w:color="auto" w:sz="4" w:space="0"/>
            </w:tcBorders>
            <w:vAlign w:val="center"/>
          </w:tcPr>
          <w:p w14:paraId="4F17672A">
            <w:pPr>
              <w:adjustRightInd w:val="0"/>
              <w:snapToGrid w:val="0"/>
              <w:rPr>
                <w:rFonts w:ascii="仿宋_GB2312" w:hAnsi="Times New Roman" w:eastAsia="仿宋_GB2312"/>
                <w:bCs/>
                <w:sz w:val="24"/>
                <w:szCs w:val="28"/>
              </w:rPr>
            </w:pPr>
            <w:r>
              <w:rPr>
                <w:rFonts w:hint="eastAsia" w:ascii="仿宋_GB2312" w:hAnsi="Times New Roman" w:eastAsia="仿宋_GB2312"/>
                <w:bCs/>
                <w:sz w:val="24"/>
                <w:szCs w:val="28"/>
              </w:rPr>
              <w:t>□软件类</w:t>
            </w:r>
          </w:p>
        </w:tc>
        <w:tc>
          <w:tcPr>
            <w:tcW w:w="6757" w:type="dxa"/>
            <w:tcBorders>
              <w:top w:val="single" w:color="auto" w:sz="4" w:space="0"/>
              <w:bottom w:val="single" w:color="auto" w:sz="4" w:space="0"/>
            </w:tcBorders>
            <w:vAlign w:val="center"/>
          </w:tcPr>
          <w:p w14:paraId="039AFD1D">
            <w:pPr>
              <w:adjustRightInd w:val="0"/>
              <w:snapToGrid w:val="0"/>
              <w:rPr>
                <w:rFonts w:ascii="仿宋_GB2312" w:hAnsi="Times New Roman" w:eastAsia="仿宋_GB2312"/>
                <w:bCs/>
                <w:sz w:val="24"/>
                <w:szCs w:val="28"/>
              </w:rPr>
            </w:pPr>
            <w:r>
              <w:rPr>
                <w:rFonts w:hint="eastAsia" w:ascii="仿宋_GB2312" w:hAnsi="Times New Roman" w:eastAsia="仿宋_GB2312"/>
                <w:bCs/>
                <w:sz w:val="24"/>
                <w:szCs w:val="28"/>
              </w:rPr>
              <w:t>核心/重要软件（用于工程或产品）开发：GJB5000B二级及以上或CMMI三级及以上资质</w:t>
            </w:r>
            <w:r>
              <w:rPr>
                <w:rFonts w:hint="eastAsia" w:ascii="仿宋_GB2312" w:eastAsia="仿宋_GB2312"/>
                <w:bCs/>
                <w:sz w:val="24"/>
                <w:szCs w:val="28"/>
              </w:rPr>
              <w:t>。</w:t>
            </w:r>
          </w:p>
        </w:tc>
      </w:tr>
    </w:tbl>
    <w:p w14:paraId="11FDA265">
      <w:pPr>
        <w:widowControl/>
        <w:spacing w:line="300" w:lineRule="exact"/>
        <w:jc w:val="left"/>
        <w:rPr>
          <w:rFonts w:ascii="华文仿宋" w:hAnsi="华文仿宋" w:eastAsia="华文仿宋" w:cs="宋体"/>
        </w:rPr>
      </w:pPr>
      <w:r>
        <w:rPr>
          <w:rFonts w:hint="eastAsia" w:ascii="华文仿宋" w:hAnsi="华文仿宋" w:eastAsia="华文仿宋" w:cs="宋体"/>
        </w:rPr>
        <w:t>注：院校及事业单位对财务实力、质量管理体系等不做要求；国家机关或上级单位指定的供应商不做强制要求；若条款不适用，请说明。（放最后）</w:t>
      </w:r>
    </w:p>
    <w:p w14:paraId="1061955C">
      <w:pPr>
        <w:pStyle w:val="2"/>
        <w:ind w:firstLine="210"/>
        <w:rPr>
          <w:rFonts w:ascii="华文仿宋" w:hAnsi="华文仿宋" w:eastAsia="华文仿宋"/>
          <w:kern w:val="2"/>
          <w:lang w:eastAsia="zh-CN"/>
        </w:rPr>
      </w:pPr>
    </w:p>
    <w:p w14:paraId="3E01F7E1">
      <w:pPr>
        <w:rPr>
          <w:rFonts w:ascii="仿宋_GB2312" w:eastAsia="仿宋_GB2312"/>
          <w:bCs/>
          <w:sz w:val="28"/>
          <w:szCs w:val="28"/>
        </w:rPr>
      </w:pPr>
      <w:r>
        <w:rPr>
          <w:rFonts w:hint="eastAsia" w:ascii="仿宋_GB2312" w:eastAsia="仿宋_GB2312"/>
          <w:bCs/>
          <w:sz w:val="28"/>
          <w:szCs w:val="28"/>
        </w:rPr>
        <w:br w:type="page"/>
      </w:r>
    </w:p>
    <w:p w14:paraId="199F25D8">
      <w:pPr>
        <w:spacing w:line="400" w:lineRule="exact"/>
        <w:jc w:val="center"/>
        <w:rPr>
          <w:rFonts w:ascii="仿宋_GB2312" w:eastAsia="仿宋_GB2312"/>
          <w:b/>
          <w:bCs/>
          <w:sz w:val="28"/>
          <w:szCs w:val="28"/>
        </w:rPr>
      </w:pPr>
      <w:r>
        <w:rPr>
          <w:rFonts w:hint="eastAsia" w:ascii="仿宋_GB2312" w:eastAsia="仿宋_GB2312"/>
          <w:bCs/>
          <w:sz w:val="28"/>
          <w:szCs w:val="28"/>
        </w:rPr>
        <w:t>供应商准入评价标准</w:t>
      </w:r>
    </w:p>
    <w:tbl>
      <w:tblPr>
        <w:tblStyle w:val="23"/>
        <w:tblpPr w:leftFromText="180" w:rightFromText="180" w:vertAnchor="text" w:horzAnchor="page" w:tblpX="1275" w:tblpY="393"/>
        <w:tblOverlap w:val="never"/>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4"/>
        <w:gridCol w:w="7966"/>
      </w:tblGrid>
      <w:tr w14:paraId="346B3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708" w:type="pct"/>
            <w:vAlign w:val="center"/>
          </w:tcPr>
          <w:p w14:paraId="67C6776D">
            <w:pPr>
              <w:snapToGrid w:val="0"/>
              <w:rPr>
                <w:rFonts w:ascii="仿宋_GB2312" w:eastAsia="仿宋_GB2312"/>
                <w:b/>
                <w:bCs/>
                <w:szCs w:val="21"/>
              </w:rPr>
            </w:pPr>
            <w:r>
              <w:rPr>
                <w:rFonts w:hint="eastAsia" w:ascii="仿宋_GB2312" w:eastAsia="仿宋_GB2312"/>
                <w:b/>
                <w:bCs/>
                <w:szCs w:val="21"/>
              </w:rPr>
              <w:t>主要</w:t>
            </w:r>
          </w:p>
          <w:p w14:paraId="6B6769E8">
            <w:pPr>
              <w:snapToGrid w:val="0"/>
              <w:rPr>
                <w:rFonts w:ascii="仿宋_GB2312" w:eastAsia="仿宋_GB2312"/>
                <w:b/>
                <w:bCs/>
                <w:szCs w:val="21"/>
              </w:rPr>
            </w:pPr>
            <w:r>
              <w:rPr>
                <w:rFonts w:hint="eastAsia" w:ascii="仿宋_GB2312" w:eastAsia="仿宋_GB2312"/>
                <w:b/>
                <w:bCs/>
                <w:szCs w:val="21"/>
              </w:rPr>
              <w:t>方面</w:t>
            </w:r>
          </w:p>
        </w:tc>
        <w:tc>
          <w:tcPr>
            <w:tcW w:w="4291" w:type="pct"/>
            <w:vAlign w:val="center"/>
          </w:tcPr>
          <w:p w14:paraId="0D8F1B6F">
            <w:pPr>
              <w:snapToGrid w:val="0"/>
              <w:rPr>
                <w:rFonts w:ascii="仿宋_GB2312" w:eastAsia="仿宋_GB2312"/>
                <w:b/>
                <w:bCs/>
                <w:szCs w:val="21"/>
              </w:rPr>
            </w:pPr>
            <w:r>
              <w:rPr>
                <w:rFonts w:hint="eastAsia" w:ascii="仿宋_GB2312" w:eastAsia="仿宋_GB2312"/>
                <w:b/>
                <w:bCs/>
                <w:szCs w:val="21"/>
              </w:rPr>
              <w:t>重点审核内容</w:t>
            </w:r>
          </w:p>
        </w:tc>
      </w:tr>
      <w:tr w14:paraId="2EE2A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8" w:type="pct"/>
            <w:vAlign w:val="center"/>
          </w:tcPr>
          <w:p w14:paraId="4E7E5E1E">
            <w:pPr>
              <w:adjustRightInd w:val="0"/>
              <w:snapToGrid w:val="0"/>
              <w:textAlignment w:val="baseline"/>
              <w:rPr>
                <w:rFonts w:ascii="仿宋_GB2312" w:eastAsia="仿宋_GB2312"/>
                <w:sz w:val="20"/>
                <w:szCs w:val="20"/>
              </w:rPr>
            </w:pPr>
            <w:r>
              <w:rPr>
                <w:rFonts w:hint="eastAsia" w:ascii="仿宋_GB2312" w:eastAsia="仿宋_GB2312"/>
                <w:sz w:val="20"/>
                <w:szCs w:val="20"/>
              </w:rPr>
              <w:t>1.供应商基本条件</w:t>
            </w:r>
          </w:p>
        </w:tc>
        <w:tc>
          <w:tcPr>
            <w:tcW w:w="4291" w:type="pct"/>
          </w:tcPr>
          <w:p w14:paraId="790122F3">
            <w:pPr>
              <w:numPr>
                <w:ilvl w:val="0"/>
                <w:numId w:val="7"/>
              </w:numPr>
              <w:adjustRightInd w:val="0"/>
              <w:snapToGrid w:val="0"/>
              <w:ind w:left="0" w:firstLine="0"/>
              <w:textAlignment w:val="baseline"/>
              <w:rPr>
                <w:rFonts w:ascii="仿宋_GB2312" w:eastAsia="仿宋_GB2312"/>
                <w:sz w:val="20"/>
                <w:szCs w:val="20"/>
              </w:rPr>
            </w:pPr>
            <w:r>
              <w:rPr>
                <w:rFonts w:ascii="仿宋_GB2312" w:eastAsia="仿宋_GB2312"/>
                <w:sz w:val="20"/>
                <w:szCs w:val="20"/>
              </w:rPr>
              <w:t>具备合法、有效的经营证明文件（包括不限于营业执照、安全生产许可证、咨询类许可资质、检验检测类许可资质等国家或行业颁发的许可证、生产企业颁发的</w:t>
            </w:r>
            <w:r>
              <w:rPr>
                <w:rFonts w:hint="eastAsia" w:ascii="仿宋_GB2312" w:eastAsia="仿宋_GB2312"/>
                <w:sz w:val="20"/>
                <w:szCs w:val="20"/>
              </w:rPr>
              <w:t>代理销售授权证</w:t>
            </w:r>
            <w:r>
              <w:rPr>
                <w:rFonts w:ascii="仿宋_GB2312" w:eastAsia="仿宋_GB2312"/>
                <w:sz w:val="20"/>
                <w:szCs w:val="20"/>
              </w:rPr>
              <w:t>等）。</w:t>
            </w:r>
          </w:p>
          <w:p w14:paraId="1F39B9B1">
            <w:pPr>
              <w:numPr>
                <w:ilvl w:val="0"/>
                <w:numId w:val="7"/>
              </w:numPr>
              <w:adjustRightInd w:val="0"/>
              <w:snapToGrid w:val="0"/>
              <w:ind w:left="0" w:firstLine="0"/>
              <w:textAlignment w:val="baseline"/>
              <w:rPr>
                <w:rFonts w:ascii="仿宋_GB2312" w:eastAsia="仿宋_GB2312"/>
                <w:sz w:val="20"/>
                <w:szCs w:val="20"/>
              </w:rPr>
            </w:pPr>
            <w:r>
              <w:rPr>
                <w:rFonts w:ascii="仿宋_GB2312" w:eastAsia="仿宋_GB2312"/>
                <w:sz w:val="20"/>
                <w:szCs w:val="20"/>
              </w:rPr>
              <w:t>经营范围应覆盖提供的服务类别，无超范围经营情况。</w:t>
            </w:r>
          </w:p>
          <w:p w14:paraId="79958A94">
            <w:pPr>
              <w:numPr>
                <w:ilvl w:val="0"/>
                <w:numId w:val="7"/>
              </w:numPr>
              <w:adjustRightInd w:val="0"/>
              <w:snapToGrid w:val="0"/>
              <w:ind w:left="0" w:firstLine="0"/>
              <w:textAlignment w:val="baseline"/>
              <w:rPr>
                <w:rFonts w:ascii="仿宋_GB2312" w:eastAsia="仿宋_GB2312"/>
                <w:sz w:val="20"/>
                <w:szCs w:val="20"/>
              </w:rPr>
            </w:pPr>
            <w:r>
              <w:rPr>
                <w:rFonts w:hint="eastAsia" w:ascii="仿宋_GB2312" w:eastAsia="仿宋_GB2312"/>
                <w:sz w:val="20"/>
                <w:szCs w:val="20"/>
              </w:rPr>
              <w:t>有固定的生产、经营活动场所；经营场所具有土地使用权与房屋所有权证书，合法有效。租赁土地、房屋建筑，其租赁合同符合法律法规要求。</w:t>
            </w:r>
          </w:p>
          <w:p w14:paraId="1B8088B4">
            <w:pPr>
              <w:numPr>
                <w:ilvl w:val="0"/>
                <w:numId w:val="7"/>
              </w:numPr>
              <w:adjustRightInd w:val="0"/>
              <w:snapToGrid w:val="0"/>
              <w:ind w:left="0" w:firstLine="0"/>
              <w:textAlignment w:val="baseline"/>
              <w:rPr>
                <w:rFonts w:ascii="仿宋_GB2312" w:eastAsia="仿宋_GB2312"/>
                <w:sz w:val="20"/>
                <w:szCs w:val="20"/>
              </w:rPr>
            </w:pPr>
            <w:r>
              <w:rPr>
                <w:rFonts w:hint="eastAsia" w:ascii="仿宋_GB2312" w:eastAsia="仿宋_GB2312"/>
                <w:sz w:val="20"/>
                <w:szCs w:val="20"/>
              </w:rPr>
              <w:t>针对</w:t>
            </w:r>
            <w:r>
              <w:rPr>
                <w:rFonts w:ascii="仿宋_GB2312" w:eastAsia="仿宋_GB2312"/>
                <w:sz w:val="20"/>
                <w:szCs w:val="20"/>
              </w:rPr>
              <w:t>预估合同额100万及以上</w:t>
            </w:r>
            <w:r>
              <w:rPr>
                <w:rFonts w:hint="eastAsia" w:ascii="仿宋_GB2312" w:eastAsia="仿宋_GB2312"/>
                <w:sz w:val="20"/>
                <w:szCs w:val="20"/>
              </w:rPr>
              <w:t>的中间商、技术服务类供应商，其应</w:t>
            </w:r>
            <w:r>
              <w:rPr>
                <w:rFonts w:ascii="仿宋_GB2312" w:eastAsia="仿宋_GB2312"/>
                <w:sz w:val="20"/>
                <w:szCs w:val="20"/>
              </w:rPr>
              <w:t>取得质量管理体系认证（如GB/T19001或行业质量管理体系）认证证书且有效</w:t>
            </w:r>
            <w:r>
              <w:rPr>
                <w:rFonts w:hint="eastAsia" w:ascii="仿宋_GB2312" w:eastAsia="仿宋_GB2312"/>
                <w:sz w:val="20"/>
                <w:szCs w:val="20"/>
              </w:rPr>
              <w:t>，</w:t>
            </w:r>
            <w:r>
              <w:rPr>
                <w:rFonts w:ascii="仿宋_GB2312" w:eastAsia="仿宋_GB2312"/>
                <w:sz w:val="20"/>
                <w:szCs w:val="20"/>
              </w:rPr>
              <w:t>认证证书范围应覆盖所供产品和服务</w:t>
            </w:r>
            <w:r>
              <w:rPr>
                <w:rFonts w:hint="eastAsia" w:ascii="仿宋_GB2312" w:eastAsia="仿宋_GB2312"/>
                <w:sz w:val="20"/>
                <w:szCs w:val="20"/>
              </w:rPr>
              <w:t>；针对制造商，其应</w:t>
            </w:r>
            <w:r>
              <w:rPr>
                <w:rFonts w:ascii="仿宋_GB2312" w:eastAsia="仿宋_GB2312"/>
                <w:sz w:val="20"/>
                <w:szCs w:val="20"/>
              </w:rPr>
              <w:t>取得质量管理体系认证（如GB/T19001或行业质量管理体系）认证证书且有效</w:t>
            </w:r>
            <w:r>
              <w:rPr>
                <w:rFonts w:hint="eastAsia" w:ascii="仿宋_GB2312" w:eastAsia="仿宋_GB2312"/>
                <w:sz w:val="20"/>
                <w:szCs w:val="20"/>
              </w:rPr>
              <w:t>，</w:t>
            </w:r>
            <w:r>
              <w:rPr>
                <w:rFonts w:ascii="仿宋_GB2312" w:eastAsia="仿宋_GB2312"/>
                <w:sz w:val="20"/>
                <w:szCs w:val="20"/>
              </w:rPr>
              <w:t>认证证书范围应覆盖所供产品和服务。</w:t>
            </w:r>
          </w:p>
          <w:p w14:paraId="2D1F4B6C">
            <w:pPr>
              <w:numPr>
                <w:ilvl w:val="0"/>
                <w:numId w:val="7"/>
              </w:numPr>
              <w:adjustRightInd w:val="0"/>
              <w:snapToGrid w:val="0"/>
              <w:ind w:left="0" w:firstLine="0"/>
              <w:textAlignment w:val="baseline"/>
              <w:rPr>
                <w:rFonts w:ascii="仿宋_GB2312" w:eastAsia="仿宋_GB2312"/>
                <w:sz w:val="20"/>
                <w:szCs w:val="20"/>
              </w:rPr>
            </w:pPr>
            <w:r>
              <w:rPr>
                <w:rFonts w:hint="eastAsia" w:ascii="仿宋_GB2312" w:eastAsia="仿宋_GB2312"/>
                <w:sz w:val="20"/>
                <w:szCs w:val="20"/>
              </w:rPr>
              <w:t>注册资本金</w:t>
            </w:r>
            <w:r>
              <w:rPr>
                <w:rFonts w:ascii="仿宋_GB2312" w:eastAsia="仿宋_GB2312"/>
                <w:sz w:val="20"/>
                <w:szCs w:val="20"/>
              </w:rPr>
              <w:t>≥</w:t>
            </w:r>
            <w:r>
              <w:rPr>
                <w:rFonts w:hint="eastAsia" w:ascii="仿宋_GB2312" w:eastAsia="仿宋_GB2312"/>
                <w:sz w:val="20"/>
                <w:szCs w:val="20"/>
              </w:rPr>
              <w:t>100万，</w:t>
            </w:r>
            <w:r>
              <w:rPr>
                <w:rFonts w:ascii="仿宋_GB2312" w:eastAsia="仿宋_GB2312"/>
                <w:sz w:val="20"/>
                <w:szCs w:val="20"/>
              </w:rPr>
              <w:t>实缴注册资本金≥20%</w:t>
            </w:r>
            <w:r>
              <w:rPr>
                <w:rFonts w:hint="eastAsia" w:ascii="仿宋_GB2312" w:eastAsia="仿宋_GB2312"/>
                <w:sz w:val="20"/>
                <w:szCs w:val="20"/>
              </w:rPr>
              <w:t>，实际经营年限在1年以上，公司社保人员不低于5人。</w:t>
            </w:r>
            <w:r>
              <w:rPr>
                <w:rFonts w:ascii="仿宋_GB2312" w:eastAsia="仿宋_GB2312"/>
                <w:sz w:val="20"/>
                <w:szCs w:val="20"/>
              </w:rPr>
              <w:t>（适用于预估合同额100万及以上）</w:t>
            </w:r>
          </w:p>
          <w:p w14:paraId="3137FBA8">
            <w:pPr>
              <w:numPr>
                <w:ilvl w:val="0"/>
                <w:numId w:val="7"/>
              </w:numPr>
              <w:adjustRightInd w:val="0"/>
              <w:snapToGrid w:val="0"/>
              <w:ind w:left="0" w:firstLine="0"/>
              <w:textAlignment w:val="baseline"/>
              <w:rPr>
                <w:rFonts w:ascii="仿宋_GB2312" w:eastAsia="仿宋_GB2312"/>
                <w:sz w:val="20"/>
                <w:szCs w:val="20"/>
              </w:rPr>
            </w:pPr>
            <w:r>
              <w:rPr>
                <w:rFonts w:ascii="仿宋_GB2312" w:eastAsia="仿宋_GB2312"/>
                <w:sz w:val="20"/>
                <w:szCs w:val="20"/>
              </w:rPr>
              <w:t>近一年（以评价日期往前推算，下同），无国家或行业主管部门不良记录或未被处罚。</w:t>
            </w:r>
          </w:p>
          <w:p w14:paraId="6FD8527E">
            <w:pPr>
              <w:numPr>
                <w:ilvl w:val="0"/>
                <w:numId w:val="7"/>
              </w:numPr>
              <w:adjustRightInd w:val="0"/>
              <w:snapToGrid w:val="0"/>
              <w:ind w:left="0" w:firstLine="0"/>
              <w:textAlignment w:val="baseline"/>
              <w:rPr>
                <w:rFonts w:ascii="仿宋_GB2312" w:eastAsia="仿宋_GB2312"/>
                <w:sz w:val="20"/>
                <w:szCs w:val="20"/>
              </w:rPr>
            </w:pPr>
            <w:r>
              <w:rPr>
                <w:rFonts w:ascii="仿宋_GB2312" w:eastAsia="仿宋_GB2312"/>
                <w:sz w:val="20"/>
                <w:szCs w:val="20"/>
              </w:rPr>
              <w:t>近三年</w:t>
            </w:r>
            <w:r>
              <w:rPr>
                <w:rFonts w:hint="eastAsia" w:ascii="仿宋_GB2312" w:eastAsia="仿宋_GB2312"/>
                <w:sz w:val="20"/>
                <w:szCs w:val="20"/>
              </w:rPr>
              <w:t>，</w:t>
            </w:r>
            <w:r>
              <w:rPr>
                <w:rFonts w:ascii="仿宋_GB2312" w:eastAsia="仿宋_GB2312"/>
                <w:sz w:val="20"/>
                <w:szCs w:val="20"/>
              </w:rPr>
              <w:t>无重大质量、环保或安全问题（以相关行业主管部门的行政处罚决定或司法机关出具的有关法律文书为准）。</w:t>
            </w:r>
          </w:p>
          <w:p w14:paraId="5D958DF5">
            <w:pPr>
              <w:numPr>
                <w:ilvl w:val="0"/>
                <w:numId w:val="7"/>
              </w:numPr>
              <w:adjustRightInd w:val="0"/>
              <w:snapToGrid w:val="0"/>
              <w:ind w:left="0" w:firstLine="0"/>
              <w:textAlignment w:val="baseline"/>
              <w:rPr>
                <w:rFonts w:ascii="仿宋_GB2312" w:eastAsia="仿宋_GB2312"/>
                <w:sz w:val="20"/>
                <w:szCs w:val="20"/>
              </w:rPr>
            </w:pPr>
            <w:r>
              <w:rPr>
                <w:rFonts w:ascii="仿宋_GB2312" w:eastAsia="仿宋_GB2312"/>
                <w:sz w:val="20"/>
                <w:szCs w:val="20"/>
              </w:rPr>
              <w:t>近三年，法人单位及其法定代表人无犯罪记录，无被执行案件失信记录，无严重失信被执行人等情况。</w:t>
            </w:r>
          </w:p>
          <w:p w14:paraId="13F37C42">
            <w:pPr>
              <w:numPr>
                <w:ilvl w:val="0"/>
                <w:numId w:val="7"/>
              </w:numPr>
              <w:adjustRightInd w:val="0"/>
              <w:snapToGrid w:val="0"/>
              <w:ind w:left="0" w:firstLine="0"/>
              <w:textAlignment w:val="baseline"/>
              <w:rPr>
                <w:rFonts w:ascii="仿宋_GB2312" w:eastAsia="仿宋_GB2312"/>
                <w:sz w:val="20"/>
                <w:szCs w:val="20"/>
              </w:rPr>
            </w:pPr>
            <w:r>
              <w:rPr>
                <w:rFonts w:ascii="仿宋_GB2312" w:eastAsia="仿宋_GB2312"/>
                <w:sz w:val="20"/>
                <w:szCs w:val="20"/>
              </w:rPr>
              <w:t>在“信用中国”网站、国家企业信用信息公示系统、全国公共资源交易平台无严重违法失信（黑名单）信息。</w:t>
            </w:r>
          </w:p>
          <w:p w14:paraId="1A36E562">
            <w:pPr>
              <w:numPr>
                <w:ilvl w:val="0"/>
                <w:numId w:val="7"/>
              </w:numPr>
              <w:adjustRightInd w:val="0"/>
              <w:snapToGrid w:val="0"/>
              <w:ind w:left="0" w:firstLine="0"/>
              <w:textAlignment w:val="baseline"/>
              <w:rPr>
                <w:rFonts w:ascii="仿宋_GB2312" w:eastAsia="仿宋_GB2312"/>
                <w:sz w:val="20"/>
                <w:szCs w:val="20"/>
              </w:rPr>
            </w:pPr>
            <w:r>
              <w:rPr>
                <w:rFonts w:ascii="仿宋_GB2312" w:eastAsia="仿宋_GB2312"/>
                <w:sz w:val="20"/>
                <w:szCs w:val="20"/>
              </w:rPr>
              <w:t>遵守中核集团的相关管理规定，未被列入中核集团或</w:t>
            </w:r>
            <w:r>
              <w:rPr>
                <w:rFonts w:hint="eastAsia" w:ascii="仿宋_GB2312" w:eastAsia="仿宋_GB2312"/>
                <w:sz w:val="20"/>
                <w:szCs w:val="20"/>
              </w:rPr>
              <w:t>院</w:t>
            </w:r>
            <w:r>
              <w:rPr>
                <w:rFonts w:ascii="仿宋_GB2312" w:eastAsia="仿宋_GB2312"/>
                <w:sz w:val="20"/>
                <w:szCs w:val="20"/>
              </w:rPr>
              <w:t>黑、灰名单供应商中。</w:t>
            </w:r>
          </w:p>
          <w:p w14:paraId="3BEEBAE1">
            <w:pPr>
              <w:numPr>
                <w:ilvl w:val="0"/>
                <w:numId w:val="7"/>
              </w:numPr>
              <w:adjustRightInd w:val="0"/>
              <w:snapToGrid w:val="0"/>
              <w:ind w:left="0" w:firstLine="0"/>
              <w:textAlignment w:val="baseline"/>
              <w:rPr>
                <w:rFonts w:ascii="仿宋_GB2312" w:eastAsia="仿宋_GB2312"/>
                <w:sz w:val="20"/>
                <w:szCs w:val="20"/>
              </w:rPr>
            </w:pPr>
            <w:r>
              <w:rPr>
                <w:rFonts w:ascii="仿宋_GB2312" w:eastAsia="仿宋_GB2312"/>
                <w:sz w:val="20"/>
                <w:szCs w:val="20"/>
              </w:rPr>
              <w:t>中核集团一体化智能服务平台中无与供应商评价相关的高风险情况。</w:t>
            </w:r>
          </w:p>
          <w:p w14:paraId="0C04C884">
            <w:pPr>
              <w:numPr>
                <w:ilvl w:val="0"/>
                <w:numId w:val="7"/>
              </w:numPr>
              <w:adjustRightInd w:val="0"/>
              <w:snapToGrid w:val="0"/>
              <w:ind w:left="0" w:firstLine="0"/>
              <w:textAlignment w:val="baseline"/>
              <w:rPr>
                <w:rFonts w:ascii="仿宋_GB2312" w:eastAsia="仿宋_GB2312"/>
                <w:sz w:val="20"/>
                <w:szCs w:val="20"/>
              </w:rPr>
            </w:pPr>
            <w:r>
              <w:rPr>
                <w:rFonts w:ascii="仿宋_GB2312" w:eastAsia="仿宋_GB2312"/>
                <w:sz w:val="20"/>
                <w:szCs w:val="20"/>
              </w:rPr>
              <w:t>提供的资料信息真实有效，无弄虚作假情况。</w:t>
            </w:r>
          </w:p>
          <w:p w14:paraId="5A0BD1D4">
            <w:pPr>
              <w:adjustRightInd w:val="0"/>
              <w:snapToGrid w:val="0"/>
              <w:textAlignment w:val="baseline"/>
              <w:rPr>
                <w:rFonts w:ascii="仿宋_GB2312" w:eastAsia="仿宋_GB2312"/>
                <w:sz w:val="20"/>
                <w:szCs w:val="20"/>
              </w:rPr>
            </w:pPr>
            <w:r>
              <w:rPr>
                <w:rFonts w:ascii="仿宋_GB2312" w:eastAsia="仿宋_GB2312"/>
                <w:bCs/>
                <w:sz w:val="20"/>
                <w:szCs w:val="20"/>
              </w:rPr>
              <w:t>注：不满足上述任一条件，合格供应商</w:t>
            </w:r>
            <w:r>
              <w:rPr>
                <w:rFonts w:hint="eastAsia" w:ascii="仿宋_GB2312" w:eastAsia="仿宋_GB2312"/>
                <w:b/>
                <w:bCs/>
                <w:sz w:val="20"/>
                <w:szCs w:val="20"/>
              </w:rPr>
              <w:t>评审终止或</w:t>
            </w:r>
            <w:r>
              <w:rPr>
                <w:rFonts w:ascii="仿宋_GB2312" w:eastAsia="仿宋_GB2312"/>
                <w:bCs/>
                <w:sz w:val="20"/>
                <w:szCs w:val="20"/>
              </w:rPr>
              <w:t>评价结论为不合格。</w:t>
            </w:r>
          </w:p>
        </w:tc>
      </w:tr>
      <w:tr w14:paraId="30016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08" w:type="pct"/>
            <w:vAlign w:val="center"/>
          </w:tcPr>
          <w:p w14:paraId="1DC48BD5">
            <w:pPr>
              <w:snapToGrid w:val="0"/>
              <w:rPr>
                <w:rFonts w:ascii="仿宋_GB2312" w:eastAsia="仿宋_GB2312"/>
                <w:sz w:val="20"/>
                <w:szCs w:val="20"/>
              </w:rPr>
            </w:pPr>
            <w:r>
              <w:rPr>
                <w:rFonts w:hint="eastAsia" w:ascii="仿宋_GB2312" w:eastAsia="仿宋_GB2312"/>
                <w:szCs w:val="21"/>
              </w:rPr>
              <w:t>2.人力资源配置</w:t>
            </w:r>
          </w:p>
        </w:tc>
        <w:tc>
          <w:tcPr>
            <w:tcW w:w="4291" w:type="pct"/>
          </w:tcPr>
          <w:p w14:paraId="32804F22">
            <w:pPr>
              <w:numPr>
                <w:ilvl w:val="0"/>
                <w:numId w:val="8"/>
              </w:numPr>
              <w:snapToGrid w:val="0"/>
              <w:ind w:left="0" w:firstLine="0"/>
              <w:rPr>
                <w:rFonts w:ascii="仿宋_GB2312" w:eastAsia="仿宋_GB2312"/>
                <w:sz w:val="20"/>
                <w:szCs w:val="20"/>
              </w:rPr>
            </w:pPr>
            <w:r>
              <w:rPr>
                <w:rFonts w:hint="eastAsia" w:ascii="仿宋_GB2312" w:eastAsia="仿宋_GB2312"/>
                <w:sz w:val="20"/>
                <w:szCs w:val="20"/>
              </w:rPr>
              <w:t>建立了与本单位性质、规模、服务相适应、健全的组织机构和管理制度。</w:t>
            </w:r>
          </w:p>
          <w:p w14:paraId="76EE10B9">
            <w:pPr>
              <w:numPr>
                <w:ilvl w:val="0"/>
                <w:numId w:val="8"/>
              </w:numPr>
              <w:snapToGrid w:val="0"/>
              <w:ind w:left="0" w:firstLine="0"/>
              <w:rPr>
                <w:rFonts w:ascii="仿宋_GB2312" w:eastAsia="仿宋_GB2312"/>
                <w:sz w:val="20"/>
                <w:szCs w:val="20"/>
              </w:rPr>
            </w:pPr>
            <w:r>
              <w:rPr>
                <w:rFonts w:hint="eastAsia" w:ascii="仿宋_GB2312" w:eastAsia="仿宋_GB2312"/>
                <w:sz w:val="20"/>
                <w:szCs w:val="20"/>
              </w:rPr>
              <w:t>管理层及职能部门应明确工作职责、权限并有效履行。</w:t>
            </w:r>
          </w:p>
          <w:p w14:paraId="52C5CD5F">
            <w:pPr>
              <w:numPr>
                <w:ilvl w:val="0"/>
                <w:numId w:val="8"/>
              </w:numPr>
              <w:snapToGrid w:val="0"/>
              <w:ind w:left="0" w:firstLine="0"/>
              <w:rPr>
                <w:rFonts w:ascii="仿宋_GB2312" w:eastAsia="仿宋_GB2312"/>
                <w:sz w:val="20"/>
                <w:szCs w:val="20"/>
              </w:rPr>
            </w:pPr>
            <w:r>
              <w:rPr>
                <w:rFonts w:hint="eastAsia" w:ascii="仿宋_GB2312" w:eastAsia="仿宋_GB2312"/>
                <w:sz w:val="20"/>
                <w:szCs w:val="20"/>
              </w:rPr>
              <w:t>明确了岗位职责及能力要求。</w:t>
            </w:r>
          </w:p>
          <w:p w14:paraId="25E8FA20">
            <w:pPr>
              <w:numPr>
                <w:ilvl w:val="0"/>
                <w:numId w:val="8"/>
              </w:numPr>
              <w:snapToGrid w:val="0"/>
              <w:ind w:left="0" w:firstLine="0"/>
              <w:rPr>
                <w:rFonts w:ascii="仿宋_GB2312" w:eastAsia="仿宋_GB2312"/>
                <w:sz w:val="20"/>
                <w:szCs w:val="20"/>
              </w:rPr>
            </w:pPr>
            <w:r>
              <w:rPr>
                <w:rFonts w:hint="eastAsia" w:ascii="仿宋_GB2312" w:eastAsia="仿宋_GB2312"/>
                <w:sz w:val="20"/>
                <w:szCs w:val="20"/>
              </w:rPr>
              <w:t>遵守劳动法律法规，与员工签订了劳动合同或为员工缴纳社会保险。</w:t>
            </w:r>
          </w:p>
          <w:p w14:paraId="21358092">
            <w:pPr>
              <w:numPr>
                <w:ilvl w:val="0"/>
                <w:numId w:val="8"/>
              </w:numPr>
              <w:snapToGrid w:val="0"/>
              <w:ind w:left="0" w:firstLine="0"/>
              <w:rPr>
                <w:rFonts w:ascii="仿宋_GB2312" w:eastAsia="仿宋_GB2312"/>
                <w:sz w:val="20"/>
                <w:szCs w:val="20"/>
              </w:rPr>
            </w:pPr>
            <w:r>
              <w:rPr>
                <w:rFonts w:hint="eastAsia" w:ascii="仿宋_GB2312" w:eastAsia="仿宋_GB2312"/>
                <w:sz w:val="20"/>
                <w:szCs w:val="20"/>
              </w:rPr>
              <w:t>需要时，专业人员和行业规定的特殊工种人员（包括服务关键环节授权人员）应具有规定的资格且进行了动态管理。</w:t>
            </w:r>
          </w:p>
          <w:p w14:paraId="1BDA4DBA">
            <w:pPr>
              <w:numPr>
                <w:ilvl w:val="0"/>
                <w:numId w:val="8"/>
              </w:numPr>
              <w:snapToGrid w:val="0"/>
              <w:ind w:left="0" w:firstLine="0"/>
              <w:rPr>
                <w:rFonts w:ascii="仿宋_GB2312" w:eastAsia="仿宋_GB2312"/>
                <w:sz w:val="20"/>
                <w:szCs w:val="20"/>
              </w:rPr>
            </w:pPr>
            <w:r>
              <w:rPr>
                <w:rFonts w:hint="eastAsia" w:ascii="仿宋_GB2312" w:eastAsia="仿宋_GB2312"/>
                <w:sz w:val="20"/>
                <w:szCs w:val="20"/>
              </w:rPr>
              <w:t>原则上：a）重要工程类（核设施相关）设计具备乙级及以上资质、施工具备二级及以上资质、安全生产许可证，员工100人以上；一般工程（与科研生产不相关）设计具备工程设计资质、施工具备施工总承包或专业承包资质、安全生产许可证，员工20人以上；b）机械加工类具有质保体系等资质，员工20人以上；c）核心/重要软件（用于工程或产品）开发具有GJB5000B二级或以上或CMMI三级及以上资质，员工20人以上。</w:t>
            </w:r>
          </w:p>
        </w:tc>
      </w:tr>
      <w:tr w14:paraId="71480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708" w:type="pct"/>
            <w:vAlign w:val="center"/>
          </w:tcPr>
          <w:p w14:paraId="137AE71B">
            <w:pPr>
              <w:snapToGrid w:val="0"/>
              <w:rPr>
                <w:rFonts w:ascii="仿宋_GB2312" w:eastAsia="仿宋_GB2312"/>
                <w:szCs w:val="21"/>
              </w:rPr>
            </w:pPr>
            <w:r>
              <w:rPr>
                <w:rFonts w:hint="eastAsia" w:ascii="仿宋_GB2312" w:eastAsia="仿宋_GB2312"/>
                <w:szCs w:val="21"/>
              </w:rPr>
              <w:t>3.商务能力</w:t>
            </w:r>
          </w:p>
        </w:tc>
        <w:tc>
          <w:tcPr>
            <w:tcW w:w="4291" w:type="pct"/>
          </w:tcPr>
          <w:p w14:paraId="6D97D243">
            <w:pPr>
              <w:numPr>
                <w:ilvl w:val="0"/>
                <w:numId w:val="9"/>
              </w:numPr>
              <w:snapToGrid w:val="0"/>
              <w:ind w:left="0" w:firstLine="0"/>
              <w:rPr>
                <w:rFonts w:ascii="仿宋_GB2312" w:eastAsia="仿宋_GB2312"/>
                <w:sz w:val="20"/>
                <w:szCs w:val="20"/>
              </w:rPr>
            </w:pPr>
            <w:r>
              <w:rPr>
                <w:rFonts w:hint="eastAsia" w:ascii="仿宋_GB2312" w:eastAsia="仿宋_GB2312"/>
                <w:sz w:val="20"/>
                <w:szCs w:val="20"/>
              </w:rPr>
              <w:t>供应商应提供第三方出具的近三年年度财务审计报告（如公司成立不满三年，提供自成立后的财务审计报告或完税证明；</w:t>
            </w:r>
            <w:r>
              <w:rPr>
                <w:rFonts w:hint="eastAsia" w:ascii="仿宋_GB2312" w:eastAsia="仿宋_GB2312"/>
                <w:bCs/>
                <w:sz w:val="20"/>
                <w:szCs w:val="20"/>
              </w:rPr>
              <w:t>涉密单位或事业单位可为内部审计报告或经认可的财务决算报表）</w:t>
            </w:r>
            <w:r>
              <w:rPr>
                <w:rFonts w:hint="eastAsia" w:ascii="仿宋_GB2312" w:eastAsia="仿宋_GB2312"/>
                <w:sz w:val="20"/>
                <w:szCs w:val="20"/>
              </w:rPr>
              <w:t>。</w:t>
            </w:r>
          </w:p>
          <w:p w14:paraId="35F715AB">
            <w:pPr>
              <w:numPr>
                <w:ilvl w:val="0"/>
                <w:numId w:val="9"/>
              </w:numPr>
              <w:snapToGrid w:val="0"/>
              <w:ind w:left="0" w:firstLine="0"/>
              <w:rPr>
                <w:rFonts w:ascii="仿宋_GB2312" w:eastAsia="仿宋_GB2312"/>
                <w:sz w:val="20"/>
                <w:szCs w:val="20"/>
              </w:rPr>
            </w:pPr>
            <w:r>
              <w:rPr>
                <w:rFonts w:hint="eastAsia" w:ascii="仿宋_GB2312" w:eastAsia="仿宋_GB2312"/>
                <w:sz w:val="20"/>
                <w:szCs w:val="20"/>
              </w:rPr>
              <w:t>无连续三年亏损，</w:t>
            </w:r>
            <w:r>
              <w:rPr>
                <w:rFonts w:ascii="仿宋_GB2312" w:eastAsia="仿宋_GB2312"/>
                <w:sz w:val="20"/>
                <w:szCs w:val="20"/>
              </w:rPr>
              <w:t>财务风险小，资金实力能保障持续经营的能力。</w:t>
            </w:r>
          </w:p>
          <w:p w14:paraId="2C19CE0B">
            <w:pPr>
              <w:numPr>
                <w:ilvl w:val="0"/>
                <w:numId w:val="9"/>
              </w:numPr>
              <w:snapToGrid w:val="0"/>
              <w:ind w:left="0" w:firstLine="0"/>
              <w:rPr>
                <w:rFonts w:ascii="仿宋_GB2312" w:eastAsia="仿宋_GB2312"/>
                <w:sz w:val="20"/>
                <w:szCs w:val="20"/>
              </w:rPr>
            </w:pPr>
            <w:r>
              <w:rPr>
                <w:rFonts w:ascii="仿宋_GB2312" w:eastAsia="仿宋_GB2312"/>
                <w:sz w:val="20"/>
                <w:szCs w:val="20"/>
              </w:rPr>
              <w:t>原则上：</w:t>
            </w:r>
            <w:r>
              <w:rPr>
                <w:rFonts w:hint="eastAsia" w:ascii="仿宋_GB2312" w:eastAsia="仿宋_GB2312"/>
                <w:sz w:val="20"/>
                <w:szCs w:val="20"/>
              </w:rPr>
              <w:t>a</w:t>
            </w:r>
            <w:r>
              <w:rPr>
                <w:rFonts w:ascii="仿宋_GB2312" w:eastAsia="仿宋_GB2312"/>
                <w:sz w:val="20"/>
                <w:szCs w:val="20"/>
              </w:rPr>
              <w:t>）建设工程类：重要工程（核设施相关）建设供应商资产负债率不能高于70%、固定资产1000万元以上，一般工程（与科研生产无关）建设供应商固定资产200万元以上；</w:t>
            </w:r>
            <w:r>
              <w:rPr>
                <w:rFonts w:hint="eastAsia" w:ascii="仿宋_GB2312" w:eastAsia="仿宋_GB2312"/>
                <w:sz w:val="20"/>
                <w:szCs w:val="20"/>
              </w:rPr>
              <w:t>b</w:t>
            </w:r>
            <w:r>
              <w:rPr>
                <w:rFonts w:ascii="仿宋_GB2312" w:eastAsia="仿宋_GB2312"/>
                <w:sz w:val="20"/>
                <w:szCs w:val="20"/>
              </w:rPr>
              <w:t>）物资类、服务类供应商最近1年不能有保留意见、否定意见或无法表示意见的审计报告。</w:t>
            </w:r>
          </w:p>
        </w:tc>
      </w:tr>
      <w:tr w14:paraId="220D5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pct"/>
            <w:vAlign w:val="center"/>
          </w:tcPr>
          <w:p w14:paraId="2D8450A7">
            <w:pPr>
              <w:rPr>
                <w:rFonts w:ascii="仿宋_GB2312" w:eastAsia="仿宋_GB2312"/>
                <w:szCs w:val="21"/>
              </w:rPr>
            </w:pPr>
            <w:r>
              <w:rPr>
                <w:rFonts w:hint="eastAsia" w:ascii="仿宋_GB2312" w:eastAsia="仿宋_GB2312"/>
                <w:szCs w:val="21"/>
              </w:rPr>
              <w:t>4.生产或技术能力</w:t>
            </w:r>
          </w:p>
        </w:tc>
        <w:tc>
          <w:tcPr>
            <w:tcW w:w="4291" w:type="pct"/>
          </w:tcPr>
          <w:p w14:paraId="5623A1F6">
            <w:pPr>
              <w:numPr>
                <w:ilvl w:val="0"/>
                <w:numId w:val="10"/>
              </w:numPr>
              <w:snapToGrid w:val="0"/>
              <w:ind w:left="0" w:firstLine="0"/>
              <w:rPr>
                <w:rFonts w:ascii="仿宋_GB2312" w:eastAsia="仿宋_GB2312"/>
                <w:sz w:val="20"/>
                <w:szCs w:val="20"/>
              </w:rPr>
            </w:pPr>
            <w:r>
              <w:rPr>
                <w:rFonts w:hint="eastAsia" w:ascii="仿宋_GB2312" w:eastAsia="仿宋_GB2312"/>
                <w:sz w:val="20"/>
                <w:szCs w:val="20"/>
              </w:rPr>
              <w:t>近三年具有相同或类似产品的设计、研发、销售和服务经验或业绩（2-3份合同封面及签署页，如成立不足三年，提供成立后的业绩）。</w:t>
            </w:r>
          </w:p>
          <w:p w14:paraId="0824C13D">
            <w:pPr>
              <w:numPr>
                <w:ilvl w:val="0"/>
                <w:numId w:val="10"/>
              </w:numPr>
              <w:snapToGrid w:val="0"/>
              <w:ind w:left="0" w:firstLine="0"/>
              <w:rPr>
                <w:rFonts w:ascii="仿宋_GB2312" w:eastAsia="仿宋_GB2312"/>
                <w:sz w:val="20"/>
                <w:szCs w:val="20"/>
              </w:rPr>
            </w:pPr>
            <w:r>
              <w:rPr>
                <w:rFonts w:hint="eastAsia" w:ascii="仿宋_GB2312" w:eastAsia="仿宋_GB2312"/>
                <w:sz w:val="20"/>
                <w:szCs w:val="20"/>
              </w:rPr>
              <w:t>具有相应资格的设计人员、必要的资源投入和技术储备情况。</w:t>
            </w:r>
          </w:p>
          <w:p w14:paraId="0BE41C1C">
            <w:pPr>
              <w:numPr>
                <w:ilvl w:val="0"/>
                <w:numId w:val="10"/>
              </w:numPr>
              <w:snapToGrid w:val="0"/>
              <w:ind w:left="0" w:firstLine="0"/>
              <w:rPr>
                <w:rFonts w:ascii="仿宋_GB2312" w:eastAsia="仿宋_GB2312"/>
                <w:sz w:val="20"/>
                <w:szCs w:val="20"/>
              </w:rPr>
            </w:pPr>
            <w:r>
              <w:rPr>
                <w:rFonts w:hint="eastAsia" w:ascii="仿宋_GB2312" w:eastAsia="仿宋_GB2312"/>
                <w:sz w:val="20"/>
                <w:szCs w:val="20"/>
              </w:rPr>
              <w:t>具备产品改进和创新能力，有产品改进和创新成果（如专利、新产品推出等）,拥有相关知识产权。</w:t>
            </w:r>
          </w:p>
          <w:p w14:paraId="47666392">
            <w:pPr>
              <w:numPr>
                <w:ilvl w:val="0"/>
                <w:numId w:val="10"/>
              </w:numPr>
              <w:snapToGrid w:val="0"/>
              <w:ind w:left="0" w:firstLine="0"/>
              <w:rPr>
                <w:rFonts w:ascii="仿宋_GB2312" w:eastAsia="仿宋_GB2312"/>
                <w:sz w:val="20"/>
                <w:szCs w:val="20"/>
              </w:rPr>
            </w:pPr>
            <w:r>
              <w:rPr>
                <w:rFonts w:ascii="仿宋_GB2312" w:eastAsia="仿宋_GB2312"/>
                <w:sz w:val="20"/>
                <w:szCs w:val="20"/>
              </w:rPr>
              <w:t>具备提供合格产品和服务所需的环境条件、基础设施及设备</w:t>
            </w:r>
            <w:r>
              <w:rPr>
                <w:rFonts w:hint="eastAsia" w:ascii="仿宋_GB2312" w:eastAsia="仿宋_GB2312"/>
                <w:sz w:val="20"/>
                <w:szCs w:val="20"/>
              </w:rPr>
              <w:t>。</w:t>
            </w:r>
            <w:r>
              <w:rPr>
                <w:rFonts w:ascii="仿宋_GB2312" w:eastAsia="仿宋_GB2312"/>
                <w:sz w:val="20"/>
                <w:szCs w:val="20"/>
              </w:rPr>
              <w:t>对于工程类，重点关注工程竣工验收报告，设备实施齐全或具有租赁协议</w:t>
            </w:r>
            <w:r>
              <w:rPr>
                <w:rFonts w:hint="eastAsia" w:ascii="仿宋_GB2312" w:eastAsia="仿宋_GB2312"/>
                <w:sz w:val="20"/>
                <w:szCs w:val="20"/>
              </w:rPr>
              <w:t>。</w:t>
            </w:r>
            <w:r>
              <w:rPr>
                <w:rFonts w:ascii="仿宋_GB2312" w:eastAsia="仿宋_GB2312"/>
                <w:sz w:val="20"/>
                <w:szCs w:val="20"/>
              </w:rPr>
              <w:t>对于物资类产品，重点关注产品合格证、产品出厂检验报告，生产场地完备、设备齐全</w:t>
            </w:r>
            <w:r>
              <w:rPr>
                <w:rFonts w:hint="eastAsia" w:ascii="仿宋_GB2312" w:eastAsia="仿宋_GB2312"/>
                <w:sz w:val="20"/>
                <w:szCs w:val="20"/>
              </w:rPr>
              <w:t>。</w:t>
            </w:r>
            <w:r>
              <w:rPr>
                <w:rFonts w:ascii="仿宋_GB2312" w:eastAsia="仿宋_GB2312"/>
                <w:sz w:val="20"/>
                <w:szCs w:val="20"/>
              </w:rPr>
              <w:t>对于服务类产品，重点关注客户对提供服务质量的评价或满意度情况，资源配置合理。</w:t>
            </w:r>
          </w:p>
          <w:p w14:paraId="1BF9EA6E">
            <w:pPr>
              <w:numPr>
                <w:ilvl w:val="0"/>
                <w:numId w:val="10"/>
              </w:numPr>
              <w:snapToGrid w:val="0"/>
              <w:ind w:left="0" w:firstLine="0"/>
              <w:rPr>
                <w:rFonts w:ascii="仿宋_GB2312" w:eastAsia="仿宋_GB2312"/>
                <w:sz w:val="20"/>
                <w:szCs w:val="20"/>
              </w:rPr>
            </w:pPr>
            <w:r>
              <w:rPr>
                <w:rFonts w:ascii="仿宋_GB2312" w:eastAsia="仿宋_GB2312"/>
                <w:sz w:val="20"/>
                <w:szCs w:val="20"/>
              </w:rPr>
              <w:t>具备与产品和服务的监视和测量要求相一致的监测能力，配备相应的监视和测量资源及方法；监视和测量环境应符合规定要求</w:t>
            </w:r>
            <w:r>
              <w:rPr>
                <w:rFonts w:hint="eastAsia" w:ascii="仿宋_GB2312" w:eastAsia="仿宋_GB2312"/>
                <w:sz w:val="20"/>
                <w:szCs w:val="20"/>
              </w:rPr>
              <w:t>。</w:t>
            </w:r>
          </w:p>
          <w:p w14:paraId="5ADAAC5A">
            <w:pPr>
              <w:numPr>
                <w:ilvl w:val="0"/>
                <w:numId w:val="10"/>
              </w:numPr>
              <w:snapToGrid w:val="0"/>
              <w:ind w:left="0" w:firstLine="0"/>
              <w:rPr>
                <w:rFonts w:ascii="仿宋_GB2312" w:eastAsia="仿宋_GB2312"/>
                <w:sz w:val="20"/>
                <w:szCs w:val="20"/>
              </w:rPr>
            </w:pPr>
            <w:r>
              <w:rPr>
                <w:rFonts w:ascii="仿宋_GB2312" w:eastAsia="仿宋_GB2312"/>
                <w:sz w:val="20"/>
                <w:szCs w:val="20"/>
              </w:rPr>
              <w:t>产品贮存、搬运、运输能力应满足相应的法规和标准要求</w:t>
            </w:r>
            <w:r>
              <w:rPr>
                <w:rFonts w:hint="eastAsia" w:ascii="仿宋_GB2312" w:eastAsia="仿宋_GB2312"/>
                <w:sz w:val="20"/>
                <w:szCs w:val="20"/>
              </w:rPr>
              <w:t>。</w:t>
            </w:r>
          </w:p>
          <w:p w14:paraId="44802B37">
            <w:pPr>
              <w:numPr>
                <w:ilvl w:val="0"/>
                <w:numId w:val="10"/>
              </w:numPr>
              <w:snapToGrid w:val="0"/>
              <w:ind w:left="0" w:firstLine="0"/>
              <w:rPr>
                <w:rFonts w:ascii="仿宋_GB2312" w:eastAsia="仿宋_GB2312"/>
                <w:sz w:val="20"/>
                <w:szCs w:val="20"/>
              </w:rPr>
            </w:pPr>
            <w:r>
              <w:rPr>
                <w:rFonts w:ascii="仿宋_GB2312" w:eastAsia="仿宋_GB2312"/>
                <w:sz w:val="20"/>
                <w:szCs w:val="20"/>
              </w:rPr>
              <w:t>环保、职业健康安全应符合适用的法律法规、标准规范及其他要求</w:t>
            </w:r>
            <w:r>
              <w:rPr>
                <w:rFonts w:hint="eastAsia" w:ascii="仿宋_GB2312" w:eastAsia="仿宋_GB2312"/>
                <w:sz w:val="20"/>
                <w:szCs w:val="20"/>
              </w:rPr>
              <w:t>。</w:t>
            </w:r>
          </w:p>
          <w:p w14:paraId="50FCC3AD">
            <w:pPr>
              <w:numPr>
                <w:ilvl w:val="0"/>
                <w:numId w:val="10"/>
              </w:numPr>
              <w:snapToGrid w:val="0"/>
              <w:ind w:left="0" w:firstLine="0"/>
              <w:rPr>
                <w:rFonts w:ascii="仿宋_GB2312" w:eastAsia="仿宋_GB2312"/>
                <w:sz w:val="20"/>
                <w:szCs w:val="20"/>
              </w:rPr>
            </w:pPr>
            <w:r>
              <w:rPr>
                <w:rFonts w:ascii="仿宋_GB2312" w:eastAsia="仿宋_GB2312"/>
                <w:sz w:val="20"/>
                <w:szCs w:val="20"/>
              </w:rPr>
              <w:t>应建立售后服务保障措施，具备解决产品和服务技术问题的相应人员、设备和技术</w:t>
            </w:r>
            <w:r>
              <w:rPr>
                <w:rFonts w:hint="eastAsia" w:ascii="仿宋_GB2312" w:eastAsia="仿宋_GB2312"/>
                <w:sz w:val="20"/>
                <w:szCs w:val="20"/>
              </w:rPr>
              <w:t>。</w:t>
            </w:r>
          </w:p>
          <w:p w14:paraId="341B111A">
            <w:pPr>
              <w:numPr>
                <w:ilvl w:val="0"/>
                <w:numId w:val="10"/>
              </w:numPr>
              <w:snapToGrid w:val="0"/>
              <w:ind w:left="0" w:firstLine="0"/>
              <w:rPr>
                <w:rFonts w:ascii="仿宋_GB2312" w:eastAsia="仿宋_GB2312"/>
                <w:sz w:val="20"/>
                <w:szCs w:val="20"/>
              </w:rPr>
            </w:pPr>
            <w:r>
              <w:rPr>
                <w:rFonts w:hint="eastAsia" w:ascii="仿宋_GB2312" w:eastAsia="仿宋_GB2312"/>
                <w:sz w:val="20"/>
                <w:szCs w:val="20"/>
              </w:rPr>
              <w:t>近三年客户满意度高，具有良好的经营信誉。</w:t>
            </w:r>
          </w:p>
          <w:p w14:paraId="0CB6712D">
            <w:pPr>
              <w:snapToGrid w:val="0"/>
              <w:rPr>
                <w:rFonts w:ascii="仿宋_GB2312" w:eastAsia="仿宋_GB2312"/>
                <w:sz w:val="20"/>
                <w:szCs w:val="20"/>
              </w:rPr>
            </w:pPr>
            <w:r>
              <w:rPr>
                <w:rFonts w:ascii="仿宋_GB2312" w:eastAsia="仿宋_GB2312"/>
                <w:sz w:val="20"/>
                <w:szCs w:val="20"/>
              </w:rPr>
              <w:t>需要时，现场检查。</w:t>
            </w:r>
          </w:p>
        </w:tc>
      </w:tr>
      <w:tr w14:paraId="08941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pct"/>
            <w:vAlign w:val="center"/>
          </w:tcPr>
          <w:p w14:paraId="793614B0">
            <w:pPr>
              <w:rPr>
                <w:rFonts w:ascii="仿宋_GB2312" w:eastAsia="仿宋_GB2312"/>
                <w:szCs w:val="21"/>
              </w:rPr>
            </w:pPr>
            <w:r>
              <w:rPr>
                <w:rFonts w:hint="eastAsia" w:ascii="仿宋_GB2312" w:eastAsia="仿宋_GB2312"/>
                <w:szCs w:val="21"/>
              </w:rPr>
              <w:t>5.产品质量及质保能力</w:t>
            </w:r>
          </w:p>
        </w:tc>
        <w:tc>
          <w:tcPr>
            <w:tcW w:w="4291" w:type="pct"/>
          </w:tcPr>
          <w:p w14:paraId="34F6664F">
            <w:pPr>
              <w:numPr>
                <w:ilvl w:val="0"/>
                <w:numId w:val="11"/>
              </w:numPr>
              <w:snapToGrid w:val="0"/>
              <w:rPr>
                <w:rFonts w:ascii="仿宋_GB2312" w:eastAsia="仿宋_GB2312"/>
                <w:sz w:val="20"/>
                <w:szCs w:val="20"/>
              </w:rPr>
            </w:pPr>
            <w:r>
              <w:rPr>
                <w:rFonts w:hint="eastAsia" w:ascii="仿宋_GB2312" w:eastAsia="仿宋_GB2312"/>
                <w:sz w:val="20"/>
                <w:szCs w:val="20"/>
              </w:rPr>
              <w:t>供应商应有效识别其拟供产品的产品执行标准或规范。应提供近一年产品符合标准或规范要求的产品质量合格的证明文件。</w:t>
            </w:r>
          </w:p>
          <w:p w14:paraId="3A7EAE6F">
            <w:pPr>
              <w:numPr>
                <w:ilvl w:val="0"/>
                <w:numId w:val="11"/>
              </w:numPr>
              <w:snapToGrid w:val="0"/>
              <w:rPr>
                <w:rFonts w:ascii="仿宋_GB2312" w:eastAsia="仿宋_GB2312"/>
                <w:sz w:val="20"/>
                <w:szCs w:val="20"/>
              </w:rPr>
            </w:pPr>
            <w:r>
              <w:rPr>
                <w:rFonts w:hint="eastAsia" w:ascii="仿宋_GB2312" w:eastAsia="仿宋_GB2312"/>
                <w:sz w:val="20"/>
                <w:szCs w:val="20"/>
              </w:rPr>
              <w:t>质量管理体系证书认证产品范围应涵盖本次拟采购产品，证书有效。</w:t>
            </w:r>
          </w:p>
          <w:p w14:paraId="5513E377">
            <w:pPr>
              <w:numPr>
                <w:ilvl w:val="0"/>
                <w:numId w:val="11"/>
              </w:numPr>
              <w:snapToGrid w:val="0"/>
              <w:rPr>
                <w:rFonts w:ascii="仿宋_GB2312" w:eastAsia="仿宋_GB2312"/>
                <w:sz w:val="20"/>
                <w:szCs w:val="20"/>
              </w:rPr>
            </w:pPr>
            <w:r>
              <w:rPr>
                <w:rFonts w:hint="eastAsia" w:ascii="仿宋_GB2312" w:eastAsia="仿宋_GB2312"/>
                <w:sz w:val="20"/>
                <w:szCs w:val="20"/>
              </w:rPr>
              <w:t>对于中间商，重点关注其源头供方的质量管理体系证书、产品认证证书等。</w:t>
            </w:r>
          </w:p>
        </w:tc>
      </w:tr>
    </w:tbl>
    <w:p w14:paraId="4985B585">
      <w:pPr>
        <w:snapToGrid w:val="0"/>
        <w:spacing w:line="400" w:lineRule="atLeast"/>
        <w:outlineLvl w:val="0"/>
        <w:rPr>
          <w:rFonts w:ascii="Times New Roman" w:hAnsi="Times New Roman" w:eastAsia="宋体"/>
          <w:b/>
          <w:sz w:val="24"/>
        </w:rPr>
        <w:sectPr>
          <w:pgSz w:w="11905" w:h="16838"/>
          <w:pgMar w:top="1417" w:right="1417" w:bottom="1417" w:left="1417" w:header="850" w:footer="992" w:gutter="0"/>
          <w:cols w:space="0" w:num="1"/>
          <w:docGrid w:type="lines" w:linePitch="318" w:charSpace="0"/>
        </w:sectPr>
      </w:pPr>
    </w:p>
    <w:p w14:paraId="6A11FAED">
      <w:pPr>
        <w:rPr>
          <w:rFonts w:cs="黑体" w:asciiTheme="minorEastAsia" w:hAnsiTheme="minorEastAsia"/>
          <w:b/>
          <w:bCs/>
          <w:sz w:val="24"/>
        </w:rPr>
      </w:pPr>
    </w:p>
    <w:p w14:paraId="4E102EC5">
      <w:pPr>
        <w:spacing w:line="360" w:lineRule="auto"/>
        <w:ind w:firstLine="482" w:firstLineChars="200"/>
        <w:rPr>
          <w:rFonts w:cs="黑体" w:asciiTheme="minorEastAsia" w:hAnsiTheme="minorEastAsia"/>
          <w:sz w:val="24"/>
        </w:rPr>
      </w:pPr>
      <w:r>
        <w:rPr>
          <w:rFonts w:hint="eastAsia" w:cs="黑体" w:asciiTheme="minorEastAsia" w:hAnsiTheme="minorEastAsia"/>
          <w:b/>
          <w:bCs/>
          <w:sz w:val="24"/>
        </w:rPr>
        <w:t>1.总则</w:t>
      </w:r>
    </w:p>
    <w:p w14:paraId="7F7F35D1">
      <w:pPr>
        <w:spacing w:line="360" w:lineRule="auto"/>
        <w:ind w:firstLine="482" w:firstLineChars="200"/>
        <w:rPr>
          <w:rFonts w:cs="黑体" w:asciiTheme="minorEastAsia" w:hAnsiTheme="minorEastAsia"/>
          <w:b/>
          <w:bCs/>
          <w:sz w:val="24"/>
        </w:rPr>
      </w:pPr>
      <w:r>
        <w:rPr>
          <w:rFonts w:hint="eastAsia" w:cs="黑体" w:asciiTheme="minorEastAsia" w:hAnsiTheme="minorEastAsia"/>
          <w:b/>
          <w:bCs/>
          <w:sz w:val="24"/>
        </w:rPr>
        <w:t>1.1采购方式</w:t>
      </w:r>
    </w:p>
    <w:p w14:paraId="7F3FB6B8">
      <w:pPr>
        <w:spacing w:line="360" w:lineRule="auto"/>
        <w:ind w:firstLine="480" w:firstLineChars="200"/>
        <w:rPr>
          <w:rFonts w:cs="黑体" w:asciiTheme="minorEastAsia" w:hAnsiTheme="minorEastAsia"/>
          <w:sz w:val="24"/>
        </w:rPr>
      </w:pPr>
      <w:r>
        <w:rPr>
          <w:rFonts w:hint="eastAsia" w:cs="黑体" w:asciiTheme="minorEastAsia" w:hAnsiTheme="minorEastAsia"/>
          <w:sz w:val="24"/>
        </w:rPr>
        <w:t>本项目采用《中国核工业集团有限公司非招标管理办法》、《中国核动力研究设计院非招标采购实施细则》等相关法律法规规定的谈判采购方式。谈判采购是指采购单位或委托采购代理机构组建谈判小组与响应采购的供应商依次分别进行一轮或多轮交流谈判并对供应商提交的应答文件进行评审，采购单位根据谈判小组最终谈判结果及其评审结论，选择确定成交供应商的采购方式。</w:t>
      </w:r>
    </w:p>
    <w:p w14:paraId="0A5126C7">
      <w:pPr>
        <w:spacing w:line="360" w:lineRule="auto"/>
        <w:ind w:firstLine="482" w:firstLineChars="200"/>
        <w:rPr>
          <w:rFonts w:cs="黑体" w:asciiTheme="minorEastAsia" w:hAnsiTheme="minorEastAsia"/>
          <w:b/>
          <w:bCs/>
          <w:sz w:val="24"/>
        </w:rPr>
      </w:pPr>
      <w:r>
        <w:rPr>
          <w:rFonts w:hint="eastAsia" w:cs="黑体" w:asciiTheme="minorEastAsia" w:hAnsiTheme="minorEastAsia"/>
          <w:b/>
          <w:bCs/>
          <w:sz w:val="24"/>
        </w:rPr>
        <w:t>1.2采购项目概况和供应商资格要求</w:t>
      </w:r>
    </w:p>
    <w:p w14:paraId="540E58D3">
      <w:pPr>
        <w:spacing w:line="360" w:lineRule="auto"/>
        <w:ind w:firstLine="480" w:firstLineChars="200"/>
        <w:rPr>
          <w:rFonts w:cs="黑体" w:asciiTheme="minorEastAsia" w:hAnsiTheme="minorEastAsia"/>
          <w:sz w:val="24"/>
        </w:rPr>
      </w:pPr>
      <w:r>
        <w:rPr>
          <w:rFonts w:hint="eastAsia" w:cs="黑体" w:asciiTheme="minorEastAsia" w:hAnsiTheme="minorEastAsia"/>
          <w:sz w:val="24"/>
        </w:rPr>
        <w:t>采购项目概况和供应商资格要求见第一章“谈判采购公告/谈判采购邀请书”。</w:t>
      </w:r>
    </w:p>
    <w:p w14:paraId="453DA801">
      <w:pPr>
        <w:spacing w:line="360" w:lineRule="auto"/>
        <w:ind w:firstLine="482" w:firstLineChars="200"/>
        <w:rPr>
          <w:rFonts w:cs="黑体" w:asciiTheme="minorEastAsia" w:hAnsiTheme="minorEastAsia"/>
          <w:sz w:val="24"/>
        </w:rPr>
      </w:pPr>
      <w:r>
        <w:rPr>
          <w:rFonts w:hint="eastAsia" w:cs="黑体" w:asciiTheme="minorEastAsia" w:hAnsiTheme="minorEastAsia"/>
          <w:b/>
          <w:bCs/>
          <w:sz w:val="24"/>
        </w:rPr>
        <w:t>1.3费用承担</w:t>
      </w:r>
    </w:p>
    <w:p w14:paraId="736E1C70">
      <w:pPr>
        <w:spacing w:line="360" w:lineRule="auto"/>
        <w:ind w:firstLine="480" w:firstLineChars="200"/>
        <w:rPr>
          <w:rFonts w:cs="黑体" w:asciiTheme="minorEastAsia" w:hAnsiTheme="minorEastAsia"/>
          <w:sz w:val="24"/>
        </w:rPr>
      </w:pPr>
      <w:r>
        <w:rPr>
          <w:rFonts w:hint="eastAsia" w:cs="黑体" w:asciiTheme="minorEastAsia" w:hAnsiTheme="minorEastAsia"/>
          <w:sz w:val="24"/>
        </w:rPr>
        <w:t>1.3.1供应商准备和参加采购活动所发生的各种费用由供应商自行承担。</w:t>
      </w:r>
    </w:p>
    <w:p w14:paraId="0C4782D8">
      <w:pPr>
        <w:spacing w:line="360" w:lineRule="auto"/>
        <w:ind w:firstLine="480" w:firstLineChars="200"/>
        <w:rPr>
          <w:rFonts w:cs="黑体" w:asciiTheme="minorEastAsia" w:hAnsiTheme="minorEastAsia"/>
          <w:sz w:val="24"/>
        </w:rPr>
      </w:pPr>
      <w:r>
        <w:rPr>
          <w:rFonts w:hint="eastAsia" w:cs="黑体" w:asciiTheme="minorEastAsia" w:hAnsiTheme="minorEastAsia"/>
          <w:sz w:val="24"/>
        </w:rPr>
        <w:t>1.3.2供应商须知前附表规定由供应商承担采购代理费的，供应商应按照供应商须知前附表规定的费用标准或金额、交费时间和方式向采购代理机构支付代理服务费。</w:t>
      </w:r>
    </w:p>
    <w:p w14:paraId="0B604520">
      <w:pPr>
        <w:spacing w:line="360" w:lineRule="auto"/>
        <w:ind w:firstLine="480" w:firstLineChars="200"/>
        <w:rPr>
          <w:rFonts w:cs="黑体" w:asciiTheme="minorEastAsia" w:hAnsiTheme="minorEastAsia"/>
          <w:sz w:val="24"/>
        </w:rPr>
      </w:pPr>
      <w:r>
        <w:rPr>
          <w:rFonts w:hint="eastAsia" w:cs="黑体" w:asciiTheme="minorEastAsia" w:hAnsiTheme="minorEastAsia"/>
          <w:sz w:val="24"/>
        </w:rPr>
        <w:t>1.3.3需要供应商承担的其他费用见供应商须知前附表。</w:t>
      </w:r>
    </w:p>
    <w:p w14:paraId="78073FC3">
      <w:pPr>
        <w:spacing w:line="360" w:lineRule="auto"/>
        <w:ind w:firstLine="482" w:firstLineChars="200"/>
        <w:rPr>
          <w:rFonts w:cs="黑体" w:asciiTheme="minorEastAsia" w:hAnsiTheme="minorEastAsia"/>
          <w:sz w:val="24"/>
        </w:rPr>
      </w:pPr>
      <w:r>
        <w:rPr>
          <w:rFonts w:hint="eastAsia" w:cs="黑体" w:asciiTheme="minorEastAsia" w:hAnsiTheme="minorEastAsia"/>
          <w:b/>
          <w:bCs/>
          <w:sz w:val="24"/>
        </w:rPr>
        <w:t>1.4保密</w:t>
      </w:r>
    </w:p>
    <w:p w14:paraId="75428FC9">
      <w:pPr>
        <w:spacing w:line="360" w:lineRule="auto"/>
        <w:ind w:firstLine="480" w:firstLineChars="200"/>
        <w:rPr>
          <w:rFonts w:cs="黑体" w:asciiTheme="minorEastAsia" w:hAnsiTheme="minorEastAsia"/>
          <w:sz w:val="24"/>
        </w:rPr>
      </w:pPr>
      <w:r>
        <w:rPr>
          <w:rFonts w:hint="eastAsia" w:cs="黑体" w:asciiTheme="minorEastAsia" w:hAnsiTheme="minorEastAsia"/>
          <w:sz w:val="24"/>
        </w:rPr>
        <w:t>谈判采购活动的各方应对采购文件和应答文件中的商业和技术等秘密保密，否则应承担相应的法律责任。</w:t>
      </w:r>
    </w:p>
    <w:p w14:paraId="46C44681">
      <w:pPr>
        <w:spacing w:line="360" w:lineRule="auto"/>
        <w:ind w:firstLine="482" w:firstLineChars="200"/>
        <w:rPr>
          <w:rFonts w:cs="黑体" w:asciiTheme="minorEastAsia" w:hAnsiTheme="minorEastAsia"/>
          <w:sz w:val="24"/>
        </w:rPr>
      </w:pPr>
      <w:r>
        <w:rPr>
          <w:rFonts w:hint="eastAsia" w:cs="黑体" w:asciiTheme="minorEastAsia" w:hAnsiTheme="minorEastAsia"/>
          <w:b/>
          <w:bCs/>
          <w:sz w:val="24"/>
        </w:rPr>
        <w:t>1.5语言文字</w:t>
      </w:r>
    </w:p>
    <w:p w14:paraId="4D0C7CF1">
      <w:pPr>
        <w:spacing w:line="360" w:lineRule="auto"/>
        <w:ind w:firstLine="480" w:firstLineChars="200"/>
        <w:rPr>
          <w:rFonts w:cs="黑体" w:asciiTheme="minorEastAsia" w:hAnsiTheme="minorEastAsia"/>
          <w:sz w:val="24"/>
        </w:rPr>
      </w:pPr>
      <w:r>
        <w:rPr>
          <w:rFonts w:hint="eastAsia" w:cs="黑体" w:asciiTheme="minorEastAsia" w:hAnsiTheme="minorEastAsia"/>
          <w:sz w:val="24"/>
        </w:rPr>
        <w:t>谈判</w:t>
      </w:r>
      <w:r>
        <w:rPr>
          <w:rFonts w:cs="黑体" w:asciiTheme="minorEastAsia" w:hAnsiTheme="minorEastAsia"/>
          <w:sz w:val="24"/>
        </w:rPr>
        <w:t>采购文件和</w:t>
      </w:r>
      <w:r>
        <w:rPr>
          <w:rFonts w:hint="eastAsia" w:cs="黑体" w:asciiTheme="minorEastAsia" w:hAnsiTheme="minorEastAsia"/>
          <w:sz w:val="24"/>
        </w:rPr>
        <w:t>应答文件</w:t>
      </w:r>
      <w:r>
        <w:rPr>
          <w:rFonts w:cs="黑体" w:asciiTheme="minorEastAsia" w:hAnsiTheme="minorEastAsia"/>
          <w:sz w:val="24"/>
        </w:rPr>
        <w:t>使用的语言文字为中文。专用术语使用外文的，应附有中文注释</w:t>
      </w:r>
      <w:r>
        <w:rPr>
          <w:rFonts w:hint="eastAsia" w:cs="黑体" w:asciiTheme="minorEastAsia" w:hAnsiTheme="minorEastAsia"/>
          <w:sz w:val="24"/>
        </w:rPr>
        <w:t>，中文与外文表述不一致的，以中文为准</w:t>
      </w:r>
      <w:r>
        <w:rPr>
          <w:rFonts w:cs="黑体" w:asciiTheme="minorEastAsia" w:hAnsiTheme="minorEastAsia"/>
          <w:sz w:val="24"/>
        </w:rPr>
        <w:t>。</w:t>
      </w:r>
    </w:p>
    <w:p w14:paraId="34FB75E2">
      <w:pPr>
        <w:spacing w:line="360" w:lineRule="auto"/>
        <w:ind w:firstLine="482" w:firstLineChars="200"/>
        <w:rPr>
          <w:rFonts w:cs="黑体" w:asciiTheme="minorEastAsia" w:hAnsiTheme="minorEastAsia"/>
          <w:b/>
          <w:bCs/>
          <w:sz w:val="24"/>
        </w:rPr>
      </w:pPr>
      <w:r>
        <w:rPr>
          <w:rFonts w:hint="eastAsia" w:cs="黑体" w:asciiTheme="minorEastAsia" w:hAnsiTheme="minorEastAsia"/>
          <w:b/>
          <w:bCs/>
          <w:sz w:val="24"/>
        </w:rPr>
        <w:t>1.6计量单位</w:t>
      </w:r>
    </w:p>
    <w:p w14:paraId="7B79C503">
      <w:pPr>
        <w:spacing w:line="360" w:lineRule="auto"/>
        <w:ind w:firstLine="480" w:firstLineChars="200"/>
        <w:rPr>
          <w:rFonts w:cs="黑体" w:asciiTheme="minorEastAsia" w:hAnsiTheme="minorEastAsia"/>
          <w:sz w:val="24"/>
        </w:rPr>
      </w:pPr>
      <w:r>
        <w:rPr>
          <w:rFonts w:hint="eastAsia" w:cs="黑体" w:asciiTheme="minorEastAsia" w:hAnsiTheme="minorEastAsia"/>
          <w:sz w:val="24"/>
        </w:rPr>
        <w:t>所有计量均采用中华人民共和国法定计量单位。</w:t>
      </w:r>
    </w:p>
    <w:p w14:paraId="779D4571">
      <w:pPr>
        <w:spacing w:line="360" w:lineRule="auto"/>
        <w:ind w:firstLine="482" w:firstLineChars="200"/>
        <w:rPr>
          <w:rFonts w:cs="黑体" w:asciiTheme="minorEastAsia" w:hAnsiTheme="minorEastAsia"/>
          <w:sz w:val="24"/>
        </w:rPr>
      </w:pPr>
      <w:r>
        <w:rPr>
          <w:rFonts w:hint="eastAsia" w:cs="黑体" w:asciiTheme="minorEastAsia" w:hAnsiTheme="minorEastAsia"/>
          <w:b/>
          <w:bCs/>
          <w:sz w:val="24"/>
        </w:rPr>
        <w:t>1.7 踏勘现场</w:t>
      </w:r>
    </w:p>
    <w:p w14:paraId="6A597441">
      <w:pPr>
        <w:spacing w:line="360" w:lineRule="auto"/>
        <w:ind w:firstLine="480" w:firstLineChars="200"/>
        <w:rPr>
          <w:rFonts w:cs="黑体" w:asciiTheme="minorEastAsia" w:hAnsiTheme="minorEastAsia"/>
          <w:sz w:val="24"/>
        </w:rPr>
      </w:pPr>
      <w:r>
        <w:rPr>
          <w:rFonts w:hint="eastAsia" w:cs="黑体" w:asciiTheme="minorEastAsia" w:hAnsiTheme="minorEastAsia"/>
          <w:sz w:val="24"/>
        </w:rPr>
        <w:t>1.7.1供应商须知前附表规定组织踏勘现场的，采购单位按供应商须知前附表规定的时间、地点组织供应商踏勘项目现场。部分供应商未按时参加踏勘现场的，不影响踏勘现场的正常进行。</w:t>
      </w:r>
    </w:p>
    <w:p w14:paraId="21C6BE82">
      <w:pPr>
        <w:spacing w:line="360" w:lineRule="auto"/>
        <w:ind w:firstLine="480" w:firstLineChars="200"/>
        <w:rPr>
          <w:rFonts w:cs="黑体" w:asciiTheme="minorEastAsia" w:hAnsiTheme="minorEastAsia"/>
          <w:sz w:val="24"/>
        </w:rPr>
      </w:pPr>
      <w:r>
        <w:rPr>
          <w:rFonts w:hint="eastAsia" w:cs="黑体" w:asciiTheme="minorEastAsia" w:hAnsiTheme="minorEastAsia"/>
          <w:sz w:val="24"/>
        </w:rPr>
        <w:t>1.7.2供应商可自愿参加踏勘现场活动。除采购单位的原因外，采购单位对供应商参加踏勘现场中所发生的人员伤亡和财产损失不承担责任。</w:t>
      </w:r>
    </w:p>
    <w:p w14:paraId="488F4C8B">
      <w:pPr>
        <w:spacing w:line="360" w:lineRule="auto"/>
        <w:ind w:firstLine="480" w:firstLineChars="200"/>
        <w:rPr>
          <w:rFonts w:cs="黑体" w:asciiTheme="minorEastAsia" w:hAnsiTheme="minorEastAsia"/>
          <w:sz w:val="24"/>
        </w:rPr>
      </w:pPr>
      <w:r>
        <w:rPr>
          <w:rFonts w:hint="eastAsia" w:cs="黑体" w:asciiTheme="minorEastAsia" w:hAnsiTheme="minorEastAsia"/>
          <w:sz w:val="24"/>
        </w:rPr>
        <w:t>1.7.3采购单位在踏勘现场中介绍的工程场地和相关的周边环境情况，仅作为供应商编制应答文件的参考，采购单位不对供应商据此作出的判断和决策负责。</w:t>
      </w:r>
    </w:p>
    <w:p w14:paraId="196AAD47">
      <w:pPr>
        <w:spacing w:line="360" w:lineRule="auto"/>
        <w:ind w:firstLine="482" w:firstLineChars="200"/>
        <w:rPr>
          <w:rFonts w:cs="黑体" w:asciiTheme="minorEastAsia" w:hAnsiTheme="minorEastAsia"/>
          <w:b/>
          <w:bCs/>
          <w:sz w:val="24"/>
        </w:rPr>
      </w:pPr>
      <w:r>
        <w:rPr>
          <w:rFonts w:hint="eastAsia" w:cs="黑体" w:asciiTheme="minorEastAsia" w:hAnsiTheme="minorEastAsia"/>
          <w:b/>
          <w:bCs/>
          <w:sz w:val="24"/>
        </w:rPr>
        <w:t>1.8谈判采购预备会</w:t>
      </w:r>
    </w:p>
    <w:p w14:paraId="61BB77B9">
      <w:pPr>
        <w:spacing w:line="360" w:lineRule="auto"/>
        <w:ind w:firstLine="480" w:firstLineChars="200"/>
        <w:rPr>
          <w:rFonts w:cs="黑体" w:asciiTheme="minorEastAsia" w:hAnsiTheme="minorEastAsia"/>
          <w:sz w:val="24"/>
        </w:rPr>
      </w:pPr>
      <w:r>
        <w:rPr>
          <w:rFonts w:hint="eastAsia" w:cs="黑体" w:asciiTheme="minorEastAsia" w:hAnsiTheme="minorEastAsia"/>
          <w:sz w:val="24"/>
        </w:rPr>
        <w:t>供应商须知前附表规定召开谈判采购预备会的，采购单位按供应商须知前附表规定的时间和地点召开谈判采购预备会。</w:t>
      </w:r>
    </w:p>
    <w:p w14:paraId="6C0E1C0B">
      <w:pPr>
        <w:spacing w:line="360" w:lineRule="auto"/>
        <w:ind w:firstLine="482" w:firstLineChars="200"/>
        <w:rPr>
          <w:rFonts w:cs="黑体" w:asciiTheme="minorEastAsia" w:hAnsiTheme="minorEastAsia"/>
          <w:b/>
          <w:bCs/>
          <w:sz w:val="24"/>
        </w:rPr>
      </w:pPr>
      <w:r>
        <w:rPr>
          <w:rFonts w:hint="eastAsia" w:cs="黑体" w:asciiTheme="minorEastAsia" w:hAnsiTheme="minorEastAsia"/>
          <w:b/>
          <w:bCs/>
          <w:sz w:val="24"/>
        </w:rPr>
        <w:t>1.9分包</w:t>
      </w:r>
    </w:p>
    <w:p w14:paraId="7F0B772B">
      <w:pPr>
        <w:spacing w:line="360" w:lineRule="auto"/>
        <w:ind w:firstLine="480" w:firstLineChars="200"/>
        <w:rPr>
          <w:rFonts w:cs="黑体" w:asciiTheme="minorEastAsia" w:hAnsiTheme="minorEastAsia"/>
          <w:sz w:val="24"/>
        </w:rPr>
      </w:pPr>
      <w:r>
        <w:rPr>
          <w:rFonts w:hint="eastAsia" w:cs="黑体" w:asciiTheme="minorEastAsia" w:hAnsiTheme="minorEastAsia"/>
          <w:sz w:val="24"/>
        </w:rPr>
        <w:t>1.9.1供应商拟在成交后将成交项目的部分工作进行分包的，应符合供应商须知前附表的规定，并在应答文件中作出说明。</w:t>
      </w:r>
    </w:p>
    <w:p w14:paraId="6655721F">
      <w:pPr>
        <w:spacing w:line="360" w:lineRule="auto"/>
        <w:ind w:firstLine="480" w:firstLineChars="200"/>
        <w:rPr>
          <w:rFonts w:cs="黑体" w:asciiTheme="minorEastAsia" w:hAnsiTheme="minorEastAsia"/>
          <w:sz w:val="24"/>
        </w:rPr>
      </w:pPr>
      <w:r>
        <w:rPr>
          <w:rFonts w:hint="eastAsia" w:cs="黑体" w:asciiTheme="minorEastAsia" w:hAnsiTheme="minorEastAsia"/>
          <w:sz w:val="24"/>
        </w:rPr>
        <w:t>1.9.2分包供应商不得将分包项目再次分包。成交供应商应当就分包项目向采购单位负责，接受分包的供应商就分包项目承担连带责任。</w:t>
      </w:r>
    </w:p>
    <w:p w14:paraId="264EBABD">
      <w:pPr>
        <w:spacing w:line="360" w:lineRule="auto"/>
        <w:ind w:firstLine="482" w:firstLineChars="200"/>
        <w:rPr>
          <w:rFonts w:cs="黑体" w:asciiTheme="minorEastAsia" w:hAnsiTheme="minorEastAsia"/>
          <w:sz w:val="24"/>
        </w:rPr>
      </w:pPr>
      <w:r>
        <w:rPr>
          <w:rFonts w:hint="eastAsia" w:cs="黑体" w:asciiTheme="minorEastAsia" w:hAnsiTheme="minorEastAsia"/>
          <w:b/>
          <w:bCs/>
          <w:sz w:val="24"/>
        </w:rPr>
        <w:t>1.10应答和偏差</w:t>
      </w:r>
    </w:p>
    <w:p w14:paraId="72AA5478">
      <w:pPr>
        <w:spacing w:line="360" w:lineRule="auto"/>
        <w:ind w:firstLine="480" w:firstLineChars="200"/>
        <w:rPr>
          <w:rFonts w:cs="黑体" w:asciiTheme="minorEastAsia" w:hAnsiTheme="minorEastAsia"/>
          <w:sz w:val="24"/>
        </w:rPr>
      </w:pPr>
      <w:r>
        <w:rPr>
          <w:rFonts w:hint="eastAsia" w:cs="黑体" w:asciiTheme="minorEastAsia" w:hAnsiTheme="minorEastAsia"/>
          <w:sz w:val="24"/>
        </w:rPr>
        <w:t>1.10.1采购需求和合同草案中的均为关键条款。应答文件应当对采购需求和合同草案中的关键条款作出满足性或更有利于采购单位的响应，否则，供应商的应答文件将被视为无效。</w:t>
      </w:r>
    </w:p>
    <w:p w14:paraId="1DC62974">
      <w:pPr>
        <w:spacing w:line="360" w:lineRule="auto"/>
        <w:ind w:firstLine="480" w:firstLineChars="200"/>
        <w:rPr>
          <w:rFonts w:cs="黑体" w:asciiTheme="minorEastAsia" w:hAnsiTheme="minorEastAsia"/>
          <w:sz w:val="24"/>
        </w:rPr>
      </w:pPr>
      <w:r>
        <w:rPr>
          <w:rFonts w:hint="eastAsia" w:cs="黑体" w:asciiTheme="minorEastAsia" w:hAnsiTheme="minorEastAsia"/>
          <w:sz w:val="24"/>
        </w:rPr>
        <w:t>1.10.2供应商须知前附表规定了对非关键条款可以偏差的范围和可以偏差的项数的，如应答文件存在的偏差超出，上述范围或项数，将被视为无效。</w:t>
      </w:r>
    </w:p>
    <w:p w14:paraId="3BCBA190">
      <w:pPr>
        <w:spacing w:line="360" w:lineRule="auto"/>
        <w:ind w:firstLine="480" w:firstLineChars="200"/>
        <w:rPr>
          <w:rFonts w:cs="黑体" w:asciiTheme="minorEastAsia" w:hAnsiTheme="minorEastAsia"/>
          <w:sz w:val="24"/>
        </w:rPr>
      </w:pPr>
      <w:r>
        <w:rPr>
          <w:rFonts w:hint="eastAsia" w:cs="黑体" w:asciiTheme="minorEastAsia" w:hAnsiTheme="minorEastAsia"/>
          <w:sz w:val="24"/>
        </w:rPr>
        <w:t>1.10.3 应答文件对采购文件的全部偏差，均应在应答文件的商务和技术偏差表中列明，否则，除列明的内容外，签订合同时视为应答单位响应采购文件的全部要求。</w:t>
      </w:r>
    </w:p>
    <w:p w14:paraId="7B3BCDE9">
      <w:pPr>
        <w:spacing w:line="360" w:lineRule="auto"/>
        <w:ind w:firstLine="482" w:firstLineChars="200"/>
        <w:rPr>
          <w:rFonts w:cs="黑体" w:asciiTheme="minorEastAsia" w:hAnsiTheme="minorEastAsia"/>
          <w:b/>
          <w:bCs/>
          <w:sz w:val="24"/>
        </w:rPr>
      </w:pPr>
      <w:r>
        <w:rPr>
          <w:rFonts w:hint="eastAsia" w:cs="黑体" w:asciiTheme="minorEastAsia" w:hAnsiTheme="minorEastAsia"/>
          <w:b/>
          <w:bCs/>
          <w:sz w:val="24"/>
        </w:rPr>
        <w:t>1.11</w:t>
      </w:r>
      <w:r>
        <w:rPr>
          <w:rFonts w:hint="eastAsia" w:cs="黑体" w:asciiTheme="minorEastAsia" w:hAnsiTheme="minorEastAsia"/>
          <w:sz w:val="24"/>
        </w:rPr>
        <w:t xml:space="preserve"> 中国核工业集团电子采购平台（https://www.cnncecp.com）出现下列情形之一的，采购单位将视情况暂停电子采购活动或转为线下操作，具体以采购单位书面通知为准：</w:t>
      </w:r>
    </w:p>
    <w:p w14:paraId="54A37B78">
      <w:pPr>
        <w:spacing w:line="360" w:lineRule="auto"/>
        <w:ind w:firstLine="480" w:firstLineChars="200"/>
        <w:rPr>
          <w:rFonts w:cs="黑体" w:asciiTheme="minorEastAsia" w:hAnsiTheme="minorEastAsia"/>
          <w:sz w:val="24"/>
        </w:rPr>
      </w:pPr>
      <w:r>
        <w:rPr>
          <w:rFonts w:hint="eastAsia" w:cs="黑体" w:asciiTheme="minorEastAsia" w:hAnsiTheme="minorEastAsia"/>
          <w:sz w:val="24"/>
        </w:rPr>
        <w:t>1.11.1系统或网络出现故障，不能正常访问网站或无法使用系统的；</w:t>
      </w:r>
    </w:p>
    <w:p w14:paraId="593D2BC2">
      <w:pPr>
        <w:spacing w:line="360" w:lineRule="auto"/>
        <w:ind w:firstLine="480" w:firstLineChars="200"/>
        <w:rPr>
          <w:rFonts w:cs="黑体" w:asciiTheme="minorEastAsia" w:hAnsiTheme="minorEastAsia"/>
          <w:sz w:val="24"/>
        </w:rPr>
      </w:pPr>
      <w:r>
        <w:rPr>
          <w:rFonts w:hint="eastAsia" w:cs="黑体" w:asciiTheme="minorEastAsia" w:hAnsiTheme="minorEastAsia"/>
          <w:sz w:val="24"/>
        </w:rPr>
        <w:t>1.11.2系统软件或数据库出现错误，不能正常操作或操作出现错误的；</w:t>
      </w:r>
    </w:p>
    <w:p w14:paraId="3C79252C">
      <w:pPr>
        <w:spacing w:line="360" w:lineRule="auto"/>
        <w:ind w:firstLine="480" w:firstLineChars="200"/>
        <w:rPr>
          <w:rFonts w:cs="黑体" w:asciiTheme="minorEastAsia" w:hAnsiTheme="minorEastAsia"/>
          <w:sz w:val="24"/>
        </w:rPr>
      </w:pPr>
      <w:r>
        <w:rPr>
          <w:rFonts w:hint="eastAsia" w:cs="黑体" w:asciiTheme="minorEastAsia" w:hAnsiTheme="minorEastAsia"/>
          <w:sz w:val="24"/>
        </w:rPr>
        <w:t>1.11.3其他无法保证正常采购业务的意外情况。</w:t>
      </w:r>
    </w:p>
    <w:p w14:paraId="1482DC1D">
      <w:pPr>
        <w:spacing w:line="360" w:lineRule="auto"/>
        <w:ind w:firstLine="482" w:firstLineChars="200"/>
        <w:rPr>
          <w:rFonts w:cs="黑体" w:asciiTheme="minorEastAsia" w:hAnsiTheme="minorEastAsia"/>
          <w:b/>
          <w:bCs/>
          <w:sz w:val="24"/>
        </w:rPr>
      </w:pPr>
      <w:r>
        <w:rPr>
          <w:rFonts w:hint="eastAsia" w:cs="黑体" w:asciiTheme="minorEastAsia" w:hAnsiTheme="minorEastAsia"/>
          <w:b/>
          <w:bCs/>
          <w:sz w:val="24"/>
        </w:rPr>
        <w:t>2.谈判采购文件</w:t>
      </w:r>
    </w:p>
    <w:p w14:paraId="7DC4FDC5">
      <w:pPr>
        <w:spacing w:line="360" w:lineRule="auto"/>
        <w:ind w:firstLine="482" w:firstLineChars="200"/>
        <w:rPr>
          <w:rFonts w:cs="黑体" w:asciiTheme="minorEastAsia" w:hAnsiTheme="minorEastAsia"/>
          <w:b/>
          <w:bCs/>
          <w:sz w:val="24"/>
        </w:rPr>
      </w:pPr>
      <w:r>
        <w:rPr>
          <w:rFonts w:hint="eastAsia" w:cs="黑体" w:asciiTheme="minorEastAsia" w:hAnsiTheme="minorEastAsia"/>
          <w:b/>
          <w:bCs/>
          <w:sz w:val="24"/>
        </w:rPr>
        <w:t>2.1谈判采购文件的组成</w:t>
      </w:r>
    </w:p>
    <w:p w14:paraId="672E48C8">
      <w:pPr>
        <w:spacing w:line="360" w:lineRule="auto"/>
        <w:ind w:firstLine="480" w:firstLineChars="200"/>
        <w:rPr>
          <w:rFonts w:cs="黑体" w:asciiTheme="minorEastAsia" w:hAnsiTheme="minorEastAsia"/>
          <w:sz w:val="24"/>
        </w:rPr>
      </w:pPr>
      <w:r>
        <w:rPr>
          <w:rFonts w:hint="eastAsia" w:cs="黑体" w:asciiTheme="minorEastAsia" w:hAnsiTheme="minorEastAsia"/>
          <w:sz w:val="24"/>
        </w:rPr>
        <w:t>本采购文件包括：</w:t>
      </w:r>
    </w:p>
    <w:p w14:paraId="2798F791">
      <w:pPr>
        <w:spacing w:line="360" w:lineRule="auto"/>
        <w:ind w:firstLine="480" w:firstLineChars="200"/>
        <w:rPr>
          <w:rFonts w:cs="黑体" w:asciiTheme="minorEastAsia" w:hAnsiTheme="minorEastAsia"/>
          <w:sz w:val="24"/>
        </w:rPr>
      </w:pPr>
      <w:r>
        <w:rPr>
          <w:rFonts w:hint="eastAsia" w:cs="黑体" w:asciiTheme="minorEastAsia" w:hAnsiTheme="minorEastAsia"/>
          <w:sz w:val="24"/>
        </w:rPr>
        <w:t>(1)谈判采购公告(或谈判采购邀请书) ；</w:t>
      </w:r>
    </w:p>
    <w:p w14:paraId="1D899A7B">
      <w:pPr>
        <w:spacing w:line="360" w:lineRule="auto"/>
        <w:ind w:firstLine="480" w:firstLineChars="200"/>
        <w:rPr>
          <w:rFonts w:cs="黑体" w:asciiTheme="minorEastAsia" w:hAnsiTheme="minorEastAsia"/>
          <w:sz w:val="24"/>
        </w:rPr>
      </w:pPr>
      <w:r>
        <w:rPr>
          <w:rFonts w:hint="eastAsia" w:cs="黑体" w:asciiTheme="minorEastAsia" w:hAnsiTheme="minorEastAsia"/>
          <w:sz w:val="24"/>
        </w:rPr>
        <w:t>(2)供应商须知；</w:t>
      </w:r>
    </w:p>
    <w:p w14:paraId="54B6748B">
      <w:pPr>
        <w:spacing w:line="360" w:lineRule="auto"/>
        <w:ind w:firstLine="480" w:firstLineChars="200"/>
        <w:rPr>
          <w:rFonts w:cs="黑体" w:asciiTheme="minorEastAsia" w:hAnsiTheme="minorEastAsia"/>
          <w:sz w:val="24"/>
        </w:rPr>
      </w:pPr>
      <w:r>
        <w:rPr>
          <w:rFonts w:hint="eastAsia" w:cs="黑体" w:asciiTheme="minorEastAsia" w:hAnsiTheme="minorEastAsia"/>
          <w:sz w:val="24"/>
        </w:rPr>
        <w:t>(3)评审办法；</w:t>
      </w:r>
    </w:p>
    <w:p w14:paraId="6901CB2E">
      <w:pPr>
        <w:spacing w:line="360" w:lineRule="auto"/>
        <w:ind w:firstLine="480" w:firstLineChars="200"/>
        <w:rPr>
          <w:rFonts w:cs="黑体" w:asciiTheme="minorEastAsia" w:hAnsiTheme="minorEastAsia"/>
          <w:sz w:val="24"/>
        </w:rPr>
      </w:pPr>
      <w:r>
        <w:rPr>
          <w:rFonts w:hint="eastAsia" w:cs="黑体" w:asciiTheme="minorEastAsia" w:hAnsiTheme="minorEastAsia"/>
          <w:sz w:val="24"/>
        </w:rPr>
        <w:t>(4)合同草案；</w:t>
      </w:r>
    </w:p>
    <w:p w14:paraId="0EAE071F">
      <w:pPr>
        <w:spacing w:line="360" w:lineRule="auto"/>
        <w:ind w:firstLine="480" w:firstLineChars="200"/>
        <w:rPr>
          <w:rFonts w:cs="黑体" w:asciiTheme="minorEastAsia" w:hAnsiTheme="minorEastAsia"/>
          <w:sz w:val="24"/>
        </w:rPr>
      </w:pPr>
      <w:r>
        <w:rPr>
          <w:rFonts w:hint="eastAsia" w:cs="黑体" w:asciiTheme="minorEastAsia" w:hAnsiTheme="minorEastAsia"/>
          <w:sz w:val="24"/>
        </w:rPr>
        <w:t xml:space="preserve">(5)采购需求； </w:t>
      </w:r>
    </w:p>
    <w:p w14:paraId="3EC55DFB">
      <w:pPr>
        <w:spacing w:line="360" w:lineRule="auto"/>
        <w:ind w:firstLine="480" w:firstLineChars="200"/>
        <w:rPr>
          <w:rFonts w:cs="黑体" w:asciiTheme="minorEastAsia" w:hAnsiTheme="minorEastAsia"/>
          <w:sz w:val="24"/>
        </w:rPr>
      </w:pPr>
      <w:r>
        <w:rPr>
          <w:rFonts w:hint="eastAsia" w:cs="黑体" w:asciiTheme="minorEastAsia" w:hAnsiTheme="minorEastAsia"/>
          <w:sz w:val="24"/>
        </w:rPr>
        <w:t>(6)应答文件格式；</w:t>
      </w:r>
    </w:p>
    <w:p w14:paraId="1A7CE94E">
      <w:pPr>
        <w:spacing w:line="360" w:lineRule="auto"/>
        <w:ind w:firstLine="480" w:firstLineChars="200"/>
        <w:rPr>
          <w:rFonts w:cs="黑体" w:asciiTheme="minorEastAsia" w:hAnsiTheme="minorEastAsia"/>
          <w:sz w:val="24"/>
        </w:rPr>
      </w:pPr>
      <w:r>
        <w:rPr>
          <w:rFonts w:hint="eastAsia" w:cs="黑体" w:asciiTheme="minorEastAsia" w:hAnsiTheme="minorEastAsia"/>
          <w:sz w:val="24"/>
        </w:rPr>
        <w:t>(7)供应商须知前附表规定的其他资料。</w:t>
      </w:r>
    </w:p>
    <w:p w14:paraId="3C1ED8AA">
      <w:pPr>
        <w:pStyle w:val="50"/>
        <w:ind w:firstLine="480"/>
        <w:rPr>
          <w:rFonts w:ascii="宋体" w:hAnsi="宋体" w:eastAsia="宋体" w:cs="宋体"/>
          <w:sz w:val="24"/>
          <w:szCs w:val="24"/>
        </w:rPr>
      </w:pPr>
      <w:r>
        <w:rPr>
          <w:rFonts w:hint="eastAsia" w:ascii="宋体" w:hAnsi="宋体" w:eastAsia="宋体" w:cs="宋体"/>
          <w:sz w:val="24"/>
          <w:szCs w:val="24"/>
        </w:rPr>
        <w:t>根据本章第1.8款、第2.2款对采购文件所作的澄清、修改，构成采购文件的组成部分。构成本采购文件的各个组成文件应当互为解释，互为说明；如果有不明确或不一致，除有特别规定外，按下列优先顺序进行解释：</w:t>
      </w:r>
    </w:p>
    <w:p w14:paraId="7332505A">
      <w:pPr>
        <w:pStyle w:val="50"/>
        <w:ind w:firstLine="480"/>
        <w:rPr>
          <w:rFonts w:ascii="宋体" w:hAnsi="宋体" w:eastAsia="宋体" w:cs="宋体"/>
          <w:sz w:val="24"/>
          <w:szCs w:val="24"/>
        </w:rPr>
      </w:pPr>
      <w:r>
        <w:rPr>
          <w:rFonts w:hint="eastAsia" w:ascii="宋体" w:hAnsi="宋体" w:eastAsia="宋体" w:cs="宋体"/>
          <w:sz w:val="24"/>
          <w:szCs w:val="24"/>
        </w:rPr>
        <w:t>合同执行阶段，采购文件的各个组成文件内容前后不一致的，以构成合同文件组成的内容为准；构成合同文件组成的内容前后不一致的，以专用合同条款约定的合同文件优先顺序解释为准；专用合同条款没有约定的，以通用合同条款约定的合同文件优先顺序解释为准。</w:t>
      </w:r>
    </w:p>
    <w:p w14:paraId="7120F887">
      <w:pPr>
        <w:pStyle w:val="50"/>
        <w:ind w:firstLine="480"/>
        <w:rPr>
          <w:rFonts w:ascii="宋体" w:hAnsi="宋体" w:eastAsia="宋体" w:cs="宋体"/>
          <w:sz w:val="24"/>
          <w:szCs w:val="24"/>
        </w:rPr>
      </w:pPr>
      <w:r>
        <w:rPr>
          <w:rFonts w:hint="eastAsia" w:ascii="宋体" w:hAnsi="宋体" w:eastAsia="宋体" w:cs="宋体"/>
          <w:sz w:val="24"/>
          <w:szCs w:val="24"/>
        </w:rPr>
        <w:t>采购应答阶段，采购文件中各个组成文件内容前后不一致的，按下列优先顺序进行解释：</w:t>
      </w:r>
    </w:p>
    <w:p w14:paraId="0BB38EB5">
      <w:pPr>
        <w:pStyle w:val="49"/>
        <w:numPr>
          <w:ilvl w:val="0"/>
          <w:numId w:val="12"/>
        </w:numPr>
        <w:wordWrap/>
        <w:snapToGrid w:val="0"/>
        <w:ind w:leftChars="200" w:hangingChars="175"/>
        <w:rPr>
          <w:rFonts w:ascii="宋体" w:hAnsi="宋体" w:eastAsia="宋体" w:cs="宋体"/>
          <w:sz w:val="24"/>
          <w:szCs w:val="24"/>
        </w:rPr>
      </w:pPr>
      <w:r>
        <w:rPr>
          <w:rFonts w:hint="eastAsia" w:ascii="宋体" w:hAnsi="宋体" w:eastAsia="宋体" w:cs="宋体"/>
          <w:sz w:val="24"/>
          <w:szCs w:val="24"/>
        </w:rPr>
        <w:t>采购文件澄清、修改；</w:t>
      </w:r>
    </w:p>
    <w:p w14:paraId="468E31C2">
      <w:pPr>
        <w:pStyle w:val="49"/>
        <w:wordWrap/>
        <w:snapToGrid w:val="0"/>
        <w:ind w:leftChars="200" w:hanging="420" w:hangingChars="175"/>
        <w:rPr>
          <w:rFonts w:ascii="宋体" w:hAnsi="宋体" w:eastAsia="宋体" w:cs="宋体"/>
          <w:sz w:val="24"/>
          <w:szCs w:val="24"/>
        </w:rPr>
      </w:pPr>
      <w:r>
        <w:rPr>
          <w:rFonts w:hint="eastAsia" w:ascii="宋体" w:hAnsi="宋体" w:eastAsia="宋体" w:cs="宋体"/>
          <w:sz w:val="24"/>
          <w:szCs w:val="24"/>
        </w:rPr>
        <w:t>谈判采购公告（或谈判采购邀请书）；</w:t>
      </w:r>
    </w:p>
    <w:p w14:paraId="6AF33297">
      <w:pPr>
        <w:pStyle w:val="49"/>
        <w:wordWrap/>
        <w:snapToGrid w:val="0"/>
        <w:ind w:leftChars="200" w:hanging="420" w:hangingChars="175"/>
        <w:rPr>
          <w:rFonts w:ascii="宋体" w:hAnsi="宋体" w:eastAsia="宋体" w:cs="宋体"/>
          <w:sz w:val="24"/>
          <w:szCs w:val="24"/>
        </w:rPr>
      </w:pPr>
      <w:r>
        <w:rPr>
          <w:rFonts w:hint="eastAsia" w:ascii="宋体" w:hAnsi="宋体" w:eastAsia="宋体" w:cs="宋体"/>
          <w:sz w:val="24"/>
          <w:szCs w:val="24"/>
        </w:rPr>
        <w:t>供应商须知前附表；</w:t>
      </w:r>
    </w:p>
    <w:p w14:paraId="5D3954CD">
      <w:pPr>
        <w:pStyle w:val="49"/>
        <w:wordWrap/>
        <w:snapToGrid w:val="0"/>
        <w:ind w:leftChars="200" w:hanging="420" w:hangingChars="175"/>
        <w:rPr>
          <w:rFonts w:ascii="宋体" w:hAnsi="宋体" w:eastAsia="宋体" w:cs="宋体"/>
          <w:sz w:val="24"/>
          <w:szCs w:val="24"/>
        </w:rPr>
      </w:pPr>
      <w:r>
        <w:rPr>
          <w:rFonts w:hint="eastAsia" w:ascii="宋体" w:hAnsi="宋体" w:eastAsia="宋体" w:cs="宋体"/>
          <w:sz w:val="24"/>
          <w:szCs w:val="24"/>
        </w:rPr>
        <w:t>供应商须知正文；</w:t>
      </w:r>
    </w:p>
    <w:p w14:paraId="69224382">
      <w:pPr>
        <w:pStyle w:val="49"/>
        <w:wordWrap/>
        <w:snapToGrid w:val="0"/>
        <w:ind w:leftChars="200" w:hanging="420" w:hangingChars="175"/>
        <w:rPr>
          <w:rFonts w:ascii="宋体" w:hAnsi="宋体" w:eastAsia="宋体" w:cs="宋体"/>
          <w:sz w:val="24"/>
          <w:szCs w:val="24"/>
        </w:rPr>
      </w:pPr>
      <w:r>
        <w:rPr>
          <w:rFonts w:hint="eastAsia" w:ascii="宋体" w:hAnsi="宋体" w:eastAsia="宋体" w:cs="宋体"/>
          <w:sz w:val="24"/>
          <w:szCs w:val="24"/>
        </w:rPr>
        <w:t>评审办法前附表；</w:t>
      </w:r>
    </w:p>
    <w:p w14:paraId="34E6A4ED">
      <w:pPr>
        <w:pStyle w:val="49"/>
        <w:wordWrap/>
        <w:snapToGrid w:val="0"/>
        <w:ind w:leftChars="200" w:hanging="420" w:hangingChars="175"/>
        <w:rPr>
          <w:rFonts w:ascii="宋体" w:hAnsi="宋体" w:eastAsia="宋体" w:cs="宋体"/>
          <w:sz w:val="24"/>
          <w:szCs w:val="24"/>
        </w:rPr>
      </w:pPr>
      <w:r>
        <w:rPr>
          <w:rFonts w:hint="eastAsia" w:ascii="宋体" w:hAnsi="宋体" w:eastAsia="宋体" w:cs="宋体"/>
          <w:sz w:val="24"/>
          <w:szCs w:val="24"/>
        </w:rPr>
        <w:t>评审办法正文；</w:t>
      </w:r>
    </w:p>
    <w:p w14:paraId="5D61984A">
      <w:pPr>
        <w:pStyle w:val="49"/>
        <w:wordWrap/>
        <w:snapToGrid w:val="0"/>
        <w:ind w:leftChars="200" w:hanging="420" w:hangingChars="175"/>
        <w:rPr>
          <w:rFonts w:ascii="宋体" w:hAnsi="宋体" w:eastAsia="宋体" w:cs="宋体"/>
          <w:sz w:val="24"/>
          <w:szCs w:val="24"/>
        </w:rPr>
      </w:pPr>
      <w:r>
        <w:rPr>
          <w:rFonts w:hint="eastAsia" w:ascii="宋体" w:hAnsi="宋体" w:eastAsia="宋体" w:cs="宋体"/>
          <w:sz w:val="24"/>
          <w:szCs w:val="24"/>
        </w:rPr>
        <w:t>采购需求；</w:t>
      </w:r>
    </w:p>
    <w:p w14:paraId="530EFA24">
      <w:pPr>
        <w:pStyle w:val="49"/>
        <w:wordWrap/>
        <w:snapToGrid w:val="0"/>
        <w:ind w:leftChars="200" w:hanging="420" w:hangingChars="175"/>
        <w:rPr>
          <w:rFonts w:ascii="宋体" w:hAnsi="宋体" w:eastAsia="宋体" w:cs="宋体"/>
          <w:sz w:val="24"/>
          <w:szCs w:val="24"/>
        </w:rPr>
      </w:pPr>
      <w:r>
        <w:rPr>
          <w:rFonts w:hint="eastAsia" w:ascii="宋体" w:hAnsi="宋体" w:eastAsia="宋体" w:cs="宋体"/>
          <w:sz w:val="24"/>
          <w:szCs w:val="24"/>
        </w:rPr>
        <w:t>应答文件格式。</w:t>
      </w:r>
    </w:p>
    <w:p w14:paraId="10F313C0">
      <w:pPr>
        <w:pStyle w:val="50"/>
        <w:ind w:firstLine="480"/>
        <w:rPr>
          <w:rFonts w:ascii="宋体" w:hAnsi="宋体" w:eastAsia="宋体" w:cs="宋体"/>
          <w:sz w:val="24"/>
          <w:szCs w:val="24"/>
        </w:rPr>
      </w:pPr>
      <w:r>
        <w:rPr>
          <w:rFonts w:hint="eastAsia" w:ascii="宋体" w:hAnsi="宋体" w:eastAsia="宋体" w:cs="宋体"/>
          <w:sz w:val="24"/>
          <w:szCs w:val="24"/>
        </w:rPr>
        <w:t>同一组成文件中就同一事项的规定或约定不一致的，以编排顺序在后者为准；同一组成文件不同版本之间有不一致的，以形成时间在后者为准。按前述规定仍不能形成结论的，由采购单位负责解释。</w:t>
      </w:r>
    </w:p>
    <w:p w14:paraId="6C9E74AC">
      <w:pPr>
        <w:spacing w:line="360" w:lineRule="auto"/>
        <w:ind w:firstLine="482" w:firstLineChars="200"/>
        <w:rPr>
          <w:rFonts w:cs="黑体" w:asciiTheme="minorEastAsia" w:hAnsiTheme="minorEastAsia"/>
          <w:sz w:val="24"/>
        </w:rPr>
      </w:pPr>
      <w:r>
        <w:rPr>
          <w:rFonts w:hint="eastAsia" w:cs="黑体" w:asciiTheme="minorEastAsia" w:hAnsiTheme="minorEastAsia"/>
          <w:b/>
          <w:bCs/>
          <w:sz w:val="24"/>
        </w:rPr>
        <w:t>2.2谈判采购文件的澄清和修改</w:t>
      </w:r>
    </w:p>
    <w:p w14:paraId="21A9EC69">
      <w:pPr>
        <w:spacing w:line="360" w:lineRule="auto"/>
        <w:ind w:firstLine="480" w:firstLineChars="200"/>
        <w:rPr>
          <w:rFonts w:cs="黑体" w:asciiTheme="minorEastAsia" w:hAnsiTheme="minorEastAsia"/>
          <w:sz w:val="24"/>
        </w:rPr>
      </w:pPr>
      <w:r>
        <w:rPr>
          <w:rFonts w:hint="eastAsia" w:cs="黑体" w:asciiTheme="minorEastAsia" w:hAnsiTheme="minorEastAsia"/>
          <w:sz w:val="24"/>
        </w:rPr>
        <w:t>2.2.1供应商应仔细阅读和检查采购文件的全部内容。如发现缺页或附件不全，应及时向采购单位提出，以便补齐。如有疑问，应在供应商须知前附表规定的时间前，以书面形式要求采购单位对采购文件予以澄清。</w:t>
      </w:r>
    </w:p>
    <w:p w14:paraId="2EC92D3E">
      <w:pPr>
        <w:spacing w:line="360" w:lineRule="auto"/>
        <w:ind w:firstLine="480" w:firstLineChars="200"/>
        <w:rPr>
          <w:rFonts w:cs="黑体" w:asciiTheme="minorEastAsia" w:hAnsiTheme="minorEastAsia"/>
          <w:sz w:val="24"/>
        </w:rPr>
      </w:pPr>
      <w:r>
        <w:rPr>
          <w:rFonts w:hint="eastAsia" w:cs="黑体" w:asciiTheme="minorEastAsia" w:hAnsiTheme="minorEastAsia"/>
          <w:sz w:val="24"/>
        </w:rPr>
        <w:t>2.2.2采购单位可根据供应商的要求或主动对采购文件进行澄清或修改。澄清或修改的内容以补充文件的形式发给所有购买采购文件的供应商。采购单位可视具体情况在补充文件中通知供应商推迟递交应答文件的截止时间。</w:t>
      </w:r>
    </w:p>
    <w:p w14:paraId="6457DEDC">
      <w:pPr>
        <w:spacing w:line="360" w:lineRule="auto"/>
        <w:ind w:firstLine="480" w:firstLineChars="200"/>
        <w:rPr>
          <w:rFonts w:cs="黑体" w:asciiTheme="minorEastAsia" w:hAnsiTheme="minorEastAsia"/>
          <w:sz w:val="24"/>
        </w:rPr>
      </w:pPr>
      <w:r>
        <w:rPr>
          <w:rFonts w:hint="eastAsia" w:cs="黑体" w:asciiTheme="minorEastAsia" w:hAnsiTheme="minorEastAsia"/>
          <w:sz w:val="24"/>
        </w:rPr>
        <w:t>2.2.3供应商在收到补充文件后，应按供应商须知前附表规定的时间和方式通知采购单位，确认已收到该补充文件。</w:t>
      </w:r>
    </w:p>
    <w:p w14:paraId="799DE600">
      <w:pPr>
        <w:spacing w:line="360" w:lineRule="auto"/>
        <w:ind w:firstLine="480" w:firstLineChars="200"/>
        <w:rPr>
          <w:rFonts w:cs="黑体" w:asciiTheme="minorEastAsia" w:hAnsiTheme="minorEastAsia"/>
          <w:sz w:val="24"/>
        </w:rPr>
      </w:pPr>
      <w:r>
        <w:rPr>
          <w:rFonts w:hint="eastAsia" w:cs="黑体" w:asciiTheme="minorEastAsia" w:hAnsiTheme="minorEastAsia"/>
          <w:sz w:val="24"/>
        </w:rPr>
        <w:t>2.2.4除非采购单位认为确有必要答复，否则，采购单位有权拒绝回复供应商在本章第2.2.1项规定的时间后提出的任何澄清要求。</w:t>
      </w:r>
    </w:p>
    <w:p w14:paraId="0B3E7B00">
      <w:pPr>
        <w:spacing w:line="360" w:lineRule="auto"/>
        <w:ind w:firstLine="482" w:firstLineChars="200"/>
        <w:rPr>
          <w:rFonts w:cs="黑体" w:asciiTheme="minorEastAsia" w:hAnsiTheme="minorEastAsia"/>
          <w:sz w:val="24"/>
        </w:rPr>
      </w:pPr>
      <w:r>
        <w:rPr>
          <w:rFonts w:hint="eastAsia" w:cs="黑体" w:asciiTheme="minorEastAsia" w:hAnsiTheme="minorEastAsia"/>
          <w:b/>
          <w:bCs/>
          <w:sz w:val="24"/>
        </w:rPr>
        <w:t>3.应答文件</w:t>
      </w:r>
    </w:p>
    <w:p w14:paraId="2EDC08D9">
      <w:pPr>
        <w:spacing w:line="360" w:lineRule="auto"/>
        <w:ind w:firstLine="482" w:firstLineChars="200"/>
        <w:rPr>
          <w:rFonts w:cs="黑体" w:asciiTheme="minorEastAsia" w:hAnsiTheme="minorEastAsia"/>
          <w:b/>
          <w:bCs/>
          <w:sz w:val="24"/>
        </w:rPr>
      </w:pPr>
      <w:r>
        <w:rPr>
          <w:rFonts w:hint="eastAsia" w:cs="黑体" w:asciiTheme="minorEastAsia" w:hAnsiTheme="minorEastAsia"/>
          <w:b/>
          <w:bCs/>
          <w:sz w:val="24"/>
        </w:rPr>
        <w:t>3.1应答文件的组成</w:t>
      </w:r>
    </w:p>
    <w:p w14:paraId="28C818D3">
      <w:pPr>
        <w:spacing w:line="360" w:lineRule="auto"/>
        <w:ind w:firstLine="480" w:firstLineChars="200"/>
        <w:rPr>
          <w:rFonts w:cs="黑体" w:asciiTheme="minorEastAsia" w:hAnsiTheme="minorEastAsia"/>
          <w:sz w:val="24"/>
        </w:rPr>
      </w:pPr>
      <w:r>
        <w:rPr>
          <w:rFonts w:hint="eastAsia" w:cs="黑体" w:asciiTheme="minorEastAsia" w:hAnsiTheme="minorEastAsia"/>
          <w:sz w:val="24"/>
        </w:rPr>
        <w:t>3.1.1应答文件应包括下列内容：</w:t>
      </w:r>
    </w:p>
    <w:p w14:paraId="76C2C007">
      <w:pPr>
        <w:pStyle w:val="50"/>
        <w:ind w:firstLine="480"/>
        <w:rPr>
          <w:rFonts w:ascii="宋体" w:hAnsi="宋体" w:eastAsia="宋体" w:cs="宋体"/>
          <w:sz w:val="24"/>
          <w:szCs w:val="24"/>
        </w:rPr>
      </w:pPr>
      <w:r>
        <w:rPr>
          <w:rFonts w:hint="eastAsia" w:ascii="宋体" w:hAnsi="宋体" w:eastAsia="宋体" w:cs="宋体"/>
          <w:sz w:val="24"/>
          <w:szCs w:val="24"/>
        </w:rPr>
        <w:t>（1）应答函</w:t>
      </w:r>
    </w:p>
    <w:p w14:paraId="53BC1D19">
      <w:pPr>
        <w:pStyle w:val="50"/>
        <w:ind w:firstLine="480"/>
        <w:rPr>
          <w:rFonts w:ascii="宋体" w:hAnsi="宋体" w:eastAsia="宋体" w:cs="宋体"/>
          <w:sz w:val="24"/>
          <w:szCs w:val="24"/>
        </w:rPr>
      </w:pPr>
      <w:r>
        <w:rPr>
          <w:rFonts w:hint="eastAsia" w:ascii="宋体" w:hAnsi="宋体" w:eastAsia="宋体" w:cs="宋体"/>
          <w:sz w:val="24"/>
          <w:szCs w:val="24"/>
        </w:rPr>
        <w:t>（2）法定代表人（单位负责人）身份证明或授权委托书</w:t>
      </w:r>
    </w:p>
    <w:p w14:paraId="25C25BFD">
      <w:pPr>
        <w:pStyle w:val="50"/>
        <w:ind w:firstLine="480"/>
        <w:rPr>
          <w:rFonts w:ascii="宋体" w:hAnsi="宋体" w:eastAsia="宋体" w:cs="宋体"/>
          <w:sz w:val="24"/>
          <w:szCs w:val="24"/>
        </w:rPr>
      </w:pPr>
      <w:r>
        <w:rPr>
          <w:rFonts w:hint="eastAsia" w:ascii="宋体" w:hAnsi="宋体" w:eastAsia="宋体" w:cs="宋体"/>
          <w:sz w:val="24"/>
          <w:szCs w:val="24"/>
        </w:rPr>
        <w:t>（3）联合体协议书</w:t>
      </w:r>
    </w:p>
    <w:p w14:paraId="7364B227">
      <w:pPr>
        <w:pStyle w:val="50"/>
        <w:ind w:firstLine="480"/>
        <w:rPr>
          <w:rFonts w:ascii="宋体" w:hAnsi="宋体" w:eastAsia="宋体" w:cs="宋体"/>
          <w:sz w:val="24"/>
          <w:szCs w:val="24"/>
        </w:rPr>
      </w:pPr>
      <w:r>
        <w:rPr>
          <w:rFonts w:hint="eastAsia" w:ascii="宋体" w:hAnsi="宋体" w:eastAsia="宋体" w:cs="宋体"/>
          <w:sz w:val="24"/>
          <w:szCs w:val="24"/>
        </w:rPr>
        <w:t>（4）应答保证金</w:t>
      </w:r>
    </w:p>
    <w:p w14:paraId="0BA47324">
      <w:pPr>
        <w:pStyle w:val="50"/>
        <w:ind w:firstLine="480"/>
        <w:rPr>
          <w:rFonts w:ascii="宋体" w:hAnsi="宋体" w:eastAsia="宋体" w:cs="宋体"/>
          <w:sz w:val="24"/>
          <w:szCs w:val="24"/>
        </w:rPr>
      </w:pPr>
      <w:r>
        <w:rPr>
          <w:rFonts w:hint="eastAsia" w:ascii="宋体" w:hAnsi="宋体" w:eastAsia="宋体" w:cs="宋体"/>
          <w:sz w:val="24"/>
          <w:szCs w:val="24"/>
        </w:rPr>
        <w:t>（5）商务和技术偏差表</w:t>
      </w:r>
    </w:p>
    <w:p w14:paraId="5FEE3D72">
      <w:pPr>
        <w:pStyle w:val="50"/>
        <w:ind w:firstLine="480"/>
        <w:rPr>
          <w:rFonts w:ascii="宋体" w:hAnsi="宋体" w:eastAsia="宋体" w:cs="宋体"/>
          <w:sz w:val="24"/>
          <w:szCs w:val="24"/>
        </w:rPr>
      </w:pPr>
      <w:r>
        <w:rPr>
          <w:rFonts w:hint="eastAsia" w:ascii="宋体" w:hAnsi="宋体" w:eastAsia="宋体" w:cs="宋体"/>
          <w:sz w:val="24"/>
          <w:szCs w:val="24"/>
        </w:rPr>
        <w:t>（6）报价表</w:t>
      </w:r>
    </w:p>
    <w:p w14:paraId="5DC113F8">
      <w:pPr>
        <w:pStyle w:val="50"/>
        <w:ind w:firstLine="480"/>
        <w:rPr>
          <w:rFonts w:ascii="宋体" w:hAnsi="宋体" w:eastAsia="宋体" w:cs="宋体"/>
          <w:sz w:val="24"/>
          <w:szCs w:val="24"/>
        </w:rPr>
      </w:pPr>
      <w:r>
        <w:rPr>
          <w:rFonts w:hint="eastAsia" w:ascii="宋体" w:hAnsi="宋体" w:eastAsia="宋体" w:cs="宋体"/>
          <w:sz w:val="24"/>
          <w:szCs w:val="24"/>
        </w:rPr>
        <w:t>（7）资格审查资料</w:t>
      </w:r>
    </w:p>
    <w:p w14:paraId="78B16392">
      <w:pPr>
        <w:pStyle w:val="50"/>
        <w:ind w:firstLine="480"/>
        <w:rPr>
          <w:rFonts w:ascii="宋体" w:hAnsi="宋体" w:eastAsia="宋体" w:cs="宋体"/>
          <w:sz w:val="24"/>
          <w:szCs w:val="24"/>
        </w:rPr>
      </w:pPr>
      <w:r>
        <w:rPr>
          <w:rFonts w:hint="eastAsia" w:ascii="宋体" w:hAnsi="宋体" w:eastAsia="宋体" w:cs="宋体"/>
          <w:sz w:val="24"/>
          <w:szCs w:val="24"/>
        </w:rPr>
        <w:t>（8）应答方案</w:t>
      </w:r>
    </w:p>
    <w:p w14:paraId="03B4A2C9">
      <w:pPr>
        <w:pStyle w:val="50"/>
        <w:ind w:firstLine="480"/>
        <w:rPr>
          <w:rFonts w:ascii="宋体" w:hAnsi="宋体" w:eastAsia="宋体" w:cs="宋体"/>
          <w:sz w:val="24"/>
          <w:szCs w:val="24"/>
        </w:rPr>
      </w:pPr>
      <w:r>
        <w:rPr>
          <w:rFonts w:hint="eastAsia" w:ascii="宋体" w:hAnsi="宋体" w:eastAsia="宋体" w:cs="宋体"/>
          <w:sz w:val="24"/>
          <w:szCs w:val="24"/>
        </w:rPr>
        <w:t>（9）供应商须知前附表规定的其他资料。供应商在评审过程中作出的符合谈判采购文件规定的澄清、说明和补正，构成应答文件的组成部分。</w:t>
      </w:r>
    </w:p>
    <w:p w14:paraId="333D3B15">
      <w:pPr>
        <w:spacing w:line="360" w:lineRule="auto"/>
        <w:ind w:firstLine="480" w:firstLineChars="200"/>
        <w:rPr>
          <w:rFonts w:cs="黑体" w:asciiTheme="minorEastAsia" w:hAnsiTheme="minorEastAsia"/>
          <w:sz w:val="24"/>
        </w:rPr>
      </w:pPr>
      <w:r>
        <w:rPr>
          <w:rFonts w:hint="eastAsia" w:cs="黑体" w:asciiTheme="minorEastAsia" w:hAnsiTheme="minorEastAsia"/>
          <w:sz w:val="24"/>
        </w:rPr>
        <w:t>3.1.2供应商的法定代表人(单位负责人)亲自签署应答文件、亲自参加谈判的，应答文件不包括第3.1.1(2)目所指的授权委托书。第一章“谈判采购公告/谈判采购邀请书”规定不接受联合体的，或供应商没有组成联合体的，应答文件不包括第3.1.1 (3)目所指的联合体协议书。供应商须知前附表未要求供应商提交应答保证金的，应答文件不包括第3.1.1 (4)目所指的应答保证金。</w:t>
      </w:r>
    </w:p>
    <w:p w14:paraId="2E557D43">
      <w:pPr>
        <w:spacing w:line="360" w:lineRule="auto"/>
        <w:ind w:firstLine="482" w:firstLineChars="200"/>
        <w:rPr>
          <w:rFonts w:cs="黑体" w:asciiTheme="minorEastAsia" w:hAnsiTheme="minorEastAsia"/>
          <w:b/>
          <w:bCs/>
          <w:sz w:val="24"/>
        </w:rPr>
      </w:pPr>
      <w:r>
        <w:rPr>
          <w:rFonts w:hint="eastAsia" w:cs="黑体" w:asciiTheme="minorEastAsia" w:hAnsiTheme="minorEastAsia"/>
          <w:b/>
          <w:bCs/>
          <w:sz w:val="24"/>
        </w:rPr>
        <w:t>3.2报价</w:t>
      </w:r>
    </w:p>
    <w:p w14:paraId="3F36E2D8">
      <w:pPr>
        <w:spacing w:line="360" w:lineRule="auto"/>
        <w:ind w:firstLine="480" w:firstLineChars="200"/>
        <w:rPr>
          <w:rFonts w:cs="黑体" w:asciiTheme="minorEastAsia" w:hAnsiTheme="minorEastAsia"/>
          <w:sz w:val="24"/>
        </w:rPr>
      </w:pPr>
      <w:r>
        <w:rPr>
          <w:rFonts w:hint="eastAsia" w:cs="黑体" w:asciiTheme="minorEastAsia" w:hAnsiTheme="minorEastAsia"/>
          <w:sz w:val="24"/>
        </w:rPr>
        <w:t>3.2.1供应商在应答函和报价表中进行报价。应答函中报价应为含税价，报价中已包含国家规定的增值税。</w:t>
      </w:r>
      <w:bookmarkStart w:id="9" w:name="_Hlk181124451"/>
      <w:r>
        <w:rPr>
          <w:rFonts w:hint="eastAsia" w:cs="黑体" w:asciiTheme="minorEastAsia" w:hAnsiTheme="minorEastAsia"/>
          <w:sz w:val="24"/>
        </w:rPr>
        <w:t>采购单位将按照含税价格对供应商进行价格评审</w:t>
      </w:r>
      <w:bookmarkEnd w:id="9"/>
      <w:r>
        <w:rPr>
          <w:rFonts w:hint="eastAsia" w:cs="黑体" w:asciiTheme="minorEastAsia" w:hAnsiTheme="minorEastAsia"/>
          <w:sz w:val="24"/>
        </w:rPr>
        <w:t>。采购人最终将按照含税价格与成交供应商签约。供应商应充分了解采购项目的总体情况以及影响报价的其他要素。对于货物和服务采购项目，采购单位在签署采购合同时及合同履行过程中，有权在供应商须知前附表规定的百分比幅度内对采购标的的数量进行增加或减少。</w:t>
      </w:r>
    </w:p>
    <w:p w14:paraId="0CCFA1FA">
      <w:pPr>
        <w:spacing w:line="360" w:lineRule="auto"/>
        <w:ind w:firstLine="480" w:firstLineChars="200"/>
        <w:rPr>
          <w:rFonts w:cs="黑体" w:asciiTheme="minorEastAsia" w:hAnsiTheme="minorEastAsia"/>
          <w:sz w:val="24"/>
        </w:rPr>
      </w:pPr>
      <w:r>
        <w:rPr>
          <w:rFonts w:hint="eastAsia" w:cs="黑体" w:asciiTheme="minorEastAsia" w:hAnsiTheme="minorEastAsia"/>
          <w:sz w:val="24"/>
        </w:rPr>
        <w:t>3.2.2 采购单位设有最高限价的，供应商的最终报价不得超过最高限价。最高限价或最高限价计算方法在供应商须知前附表中载明。</w:t>
      </w:r>
    </w:p>
    <w:p w14:paraId="2844BC0D">
      <w:pPr>
        <w:spacing w:line="360" w:lineRule="auto"/>
        <w:ind w:firstLine="480" w:firstLineChars="200"/>
        <w:rPr>
          <w:rFonts w:cs="黑体" w:asciiTheme="minorEastAsia" w:hAnsiTheme="minorEastAsia"/>
          <w:sz w:val="24"/>
        </w:rPr>
      </w:pPr>
      <w:r>
        <w:rPr>
          <w:rFonts w:hint="eastAsia" w:cs="黑体" w:asciiTheme="minorEastAsia" w:hAnsiTheme="minorEastAsia"/>
          <w:sz w:val="24"/>
        </w:rPr>
        <w:t>3.2.3报价的其他要求见供应商须知前附表。</w:t>
      </w:r>
    </w:p>
    <w:p w14:paraId="52758702">
      <w:pPr>
        <w:spacing w:line="360" w:lineRule="auto"/>
        <w:ind w:firstLine="482" w:firstLineChars="200"/>
        <w:rPr>
          <w:rFonts w:cs="黑体" w:asciiTheme="minorEastAsia" w:hAnsiTheme="minorEastAsia"/>
          <w:b/>
          <w:bCs/>
          <w:sz w:val="24"/>
        </w:rPr>
      </w:pPr>
      <w:r>
        <w:rPr>
          <w:rFonts w:hint="eastAsia" w:cs="黑体" w:asciiTheme="minorEastAsia" w:hAnsiTheme="minorEastAsia"/>
          <w:b/>
          <w:bCs/>
          <w:sz w:val="24"/>
        </w:rPr>
        <w:t>3.3应答文件有效期</w:t>
      </w:r>
    </w:p>
    <w:p w14:paraId="6DA0987E">
      <w:pPr>
        <w:spacing w:line="360" w:lineRule="auto"/>
        <w:ind w:firstLine="480" w:firstLineChars="200"/>
        <w:rPr>
          <w:rFonts w:cs="黑体" w:asciiTheme="minorEastAsia" w:hAnsiTheme="minorEastAsia"/>
          <w:sz w:val="24"/>
        </w:rPr>
      </w:pPr>
      <w:r>
        <w:rPr>
          <w:rFonts w:hint="eastAsia" w:cs="黑体" w:asciiTheme="minorEastAsia" w:hAnsiTheme="minorEastAsia"/>
          <w:sz w:val="24"/>
        </w:rPr>
        <w:t>3.3.1除供应商须知前附表另有规定外，应答文件有效期应为90日，从谈判采购文件规定的递交应答文件的截止时间开始计算。</w:t>
      </w:r>
    </w:p>
    <w:p w14:paraId="22E67D9A">
      <w:pPr>
        <w:spacing w:line="360" w:lineRule="auto"/>
        <w:ind w:firstLine="480" w:firstLineChars="200"/>
        <w:rPr>
          <w:rFonts w:cs="黑体" w:asciiTheme="minorEastAsia" w:hAnsiTheme="minorEastAsia"/>
          <w:sz w:val="24"/>
        </w:rPr>
      </w:pPr>
      <w:r>
        <w:rPr>
          <w:rFonts w:hint="eastAsia" w:cs="黑体" w:asciiTheme="minorEastAsia" w:hAnsiTheme="minorEastAsia"/>
          <w:sz w:val="24"/>
        </w:rPr>
        <w:t>3.3.2在应答文件有效期内，供应商撤销应答文件的，应承担采购文件和法律规定的相关责任。</w:t>
      </w:r>
    </w:p>
    <w:p w14:paraId="3E414CFB">
      <w:pPr>
        <w:spacing w:line="360" w:lineRule="auto"/>
        <w:ind w:firstLine="480" w:firstLineChars="200"/>
        <w:rPr>
          <w:rFonts w:cs="黑体" w:asciiTheme="minorEastAsia" w:hAnsiTheme="minorEastAsia"/>
          <w:sz w:val="24"/>
        </w:rPr>
      </w:pPr>
      <w:r>
        <w:rPr>
          <w:rFonts w:hint="eastAsia" w:cs="黑体" w:asciiTheme="minorEastAsia" w:hAnsiTheme="minorEastAsia"/>
          <w:sz w:val="24"/>
        </w:rPr>
        <w:t>3.3.3出现特殊情况需要延长应答文件有效期的，采购单位以书面形式通知所有供应商延长应答有效期。供应商应予以书面答复，同意延长的，应相应延长其应答保证金（如有）的有效期，但不得要求或被允许修改其应答文件；供应商拒绝延长的，其应答失效，但有权收回其应答保证金及以现金或者支票形式递交的应答保证金的银行同期存款利息。</w:t>
      </w:r>
    </w:p>
    <w:p w14:paraId="53F0413A">
      <w:pPr>
        <w:spacing w:line="360" w:lineRule="auto"/>
        <w:ind w:firstLine="482" w:firstLineChars="200"/>
        <w:rPr>
          <w:rFonts w:cs="黑体" w:asciiTheme="minorEastAsia" w:hAnsiTheme="minorEastAsia"/>
          <w:b/>
          <w:bCs/>
          <w:sz w:val="24"/>
        </w:rPr>
      </w:pPr>
      <w:r>
        <w:rPr>
          <w:rFonts w:hint="eastAsia" w:cs="黑体" w:asciiTheme="minorEastAsia" w:hAnsiTheme="minorEastAsia"/>
          <w:b/>
          <w:bCs/>
          <w:sz w:val="24"/>
        </w:rPr>
        <w:t>3.4应答保证金</w:t>
      </w:r>
    </w:p>
    <w:p w14:paraId="0DFC7009">
      <w:pPr>
        <w:spacing w:line="360" w:lineRule="auto"/>
        <w:ind w:firstLine="480" w:firstLineChars="200"/>
        <w:rPr>
          <w:rFonts w:cs="黑体" w:asciiTheme="minorEastAsia" w:hAnsiTheme="minorEastAsia"/>
          <w:sz w:val="24"/>
        </w:rPr>
      </w:pPr>
      <w:r>
        <w:rPr>
          <w:rFonts w:hint="eastAsia" w:cs="黑体" w:asciiTheme="minorEastAsia" w:hAnsiTheme="minorEastAsia"/>
          <w:sz w:val="24"/>
        </w:rPr>
        <w:t>3.4.1供应商须知前附表规定提交应答保证金的，供应商在递交应答文件的同时，应按供应商须知前附表规定的金额、形式和谈判采购文件提供的格式（见第六章应答文件格式）提交应答保证金，并作为其应答文件的组成部分。供应商不按要求提交应答保证金的，其应答文件将被视为无效。</w:t>
      </w:r>
    </w:p>
    <w:p w14:paraId="0EB3D396">
      <w:pPr>
        <w:spacing w:line="360" w:lineRule="auto"/>
        <w:ind w:firstLine="480" w:firstLineChars="200"/>
        <w:rPr>
          <w:rFonts w:cs="黑体" w:asciiTheme="minorEastAsia" w:hAnsiTheme="minorEastAsia"/>
          <w:sz w:val="24"/>
        </w:rPr>
      </w:pPr>
      <w:r>
        <w:rPr>
          <w:rFonts w:hint="eastAsia" w:cs="黑体" w:asciiTheme="minorEastAsia" w:hAnsiTheme="minorEastAsia"/>
          <w:sz w:val="24"/>
        </w:rPr>
        <w:t>3.4.2采购单位最迟将在发出成交通知书后5日内向除候选成交供应商外的其他供应商原额退还应答保证金，并在采购合同签订后5日内向成交供应商和未成交的其他候选成交供应商原额退还应答保证金。</w:t>
      </w:r>
    </w:p>
    <w:p w14:paraId="77DBA3C2">
      <w:pPr>
        <w:spacing w:line="360" w:lineRule="auto"/>
        <w:ind w:firstLine="480" w:firstLineChars="200"/>
        <w:rPr>
          <w:rFonts w:cs="黑体" w:asciiTheme="minorEastAsia" w:hAnsiTheme="minorEastAsia"/>
          <w:sz w:val="24"/>
        </w:rPr>
      </w:pPr>
      <w:r>
        <w:rPr>
          <w:rFonts w:hint="eastAsia" w:cs="黑体" w:asciiTheme="minorEastAsia" w:hAnsiTheme="minorEastAsia"/>
          <w:sz w:val="24"/>
        </w:rPr>
        <w:t>3.4.3有下列情形之一的，应答保证金将不予退还：</w:t>
      </w:r>
    </w:p>
    <w:p w14:paraId="378A1AA7">
      <w:pPr>
        <w:spacing w:line="360" w:lineRule="auto"/>
        <w:ind w:firstLine="480" w:firstLineChars="200"/>
        <w:rPr>
          <w:rFonts w:cs="黑体" w:asciiTheme="minorEastAsia" w:hAnsiTheme="minorEastAsia"/>
          <w:sz w:val="24"/>
        </w:rPr>
      </w:pPr>
      <w:r>
        <w:rPr>
          <w:rFonts w:hint="eastAsia" w:cs="黑体" w:asciiTheme="minorEastAsia" w:hAnsiTheme="minorEastAsia"/>
          <w:sz w:val="24"/>
        </w:rPr>
        <w:t>(1)供应商在应答文件有效期内撤销应答文件；</w:t>
      </w:r>
    </w:p>
    <w:p w14:paraId="3296C36B">
      <w:pPr>
        <w:spacing w:line="360" w:lineRule="auto"/>
        <w:ind w:firstLine="480" w:firstLineChars="200"/>
        <w:rPr>
          <w:rFonts w:cs="黑体" w:asciiTheme="minorEastAsia" w:hAnsiTheme="minorEastAsia"/>
          <w:sz w:val="24"/>
        </w:rPr>
      </w:pPr>
      <w:r>
        <w:rPr>
          <w:rFonts w:hint="eastAsia" w:cs="黑体" w:asciiTheme="minorEastAsia" w:hAnsiTheme="minorEastAsia"/>
          <w:sz w:val="24"/>
        </w:rPr>
        <w:t>(2)成交供应商在收到成交通知书后，无正当理由不与采购单位订立合同，在签订合同时向采购单位提出附加条件，或者不按照谈判采购文件要求提交履约保证金；</w:t>
      </w:r>
    </w:p>
    <w:p w14:paraId="5A066AAF">
      <w:pPr>
        <w:spacing w:line="360" w:lineRule="auto"/>
        <w:ind w:firstLine="480" w:firstLineChars="200"/>
        <w:rPr>
          <w:rFonts w:cs="黑体" w:asciiTheme="minorEastAsia" w:hAnsiTheme="minorEastAsia"/>
          <w:sz w:val="24"/>
        </w:rPr>
      </w:pPr>
      <w:r>
        <w:rPr>
          <w:rFonts w:hint="eastAsia" w:cs="黑体" w:asciiTheme="minorEastAsia" w:hAnsiTheme="minorEastAsia"/>
          <w:sz w:val="24"/>
        </w:rPr>
        <w:t>(3)发生供应商须知前附表规定的其他可以不予退还应答保证金的情形。</w:t>
      </w:r>
    </w:p>
    <w:p w14:paraId="17F7BFA3">
      <w:pPr>
        <w:spacing w:line="360" w:lineRule="auto"/>
        <w:ind w:firstLine="482" w:firstLineChars="200"/>
        <w:rPr>
          <w:rFonts w:cs="黑体" w:asciiTheme="minorEastAsia" w:hAnsiTheme="minorEastAsia"/>
          <w:b/>
          <w:bCs/>
          <w:sz w:val="24"/>
        </w:rPr>
      </w:pPr>
      <w:r>
        <w:rPr>
          <w:rFonts w:hint="eastAsia" w:cs="黑体" w:asciiTheme="minorEastAsia" w:hAnsiTheme="minorEastAsia"/>
          <w:b/>
          <w:bCs/>
          <w:sz w:val="24"/>
        </w:rPr>
        <w:t>3.5供</w:t>
      </w:r>
      <w:r>
        <w:rPr>
          <w:rFonts w:cs="黑体" w:asciiTheme="minorEastAsia" w:hAnsiTheme="minorEastAsia"/>
          <w:b/>
          <w:bCs/>
          <w:sz w:val="24"/>
        </w:rPr>
        <w:t>应商</w:t>
      </w:r>
      <w:r>
        <w:rPr>
          <w:rFonts w:hint="eastAsia" w:cs="黑体" w:asciiTheme="minorEastAsia" w:hAnsiTheme="minorEastAsia"/>
          <w:b/>
          <w:bCs/>
          <w:sz w:val="24"/>
        </w:rPr>
        <w:t>资格要</w:t>
      </w:r>
      <w:r>
        <w:rPr>
          <w:rFonts w:cs="黑体" w:asciiTheme="minorEastAsia" w:hAnsiTheme="minorEastAsia"/>
          <w:b/>
          <w:bCs/>
          <w:sz w:val="24"/>
        </w:rPr>
        <w:t>求</w:t>
      </w:r>
    </w:p>
    <w:p w14:paraId="1461D173">
      <w:pPr>
        <w:spacing w:line="360" w:lineRule="auto"/>
        <w:ind w:firstLine="480" w:firstLineChars="200"/>
        <w:rPr>
          <w:rFonts w:cs="黑体" w:asciiTheme="minorEastAsia" w:hAnsiTheme="minorEastAsia"/>
          <w:sz w:val="24"/>
        </w:rPr>
      </w:pPr>
      <w:r>
        <w:rPr>
          <w:rFonts w:hint="eastAsia" w:cs="黑体" w:asciiTheme="minorEastAsia" w:hAnsiTheme="minorEastAsia"/>
          <w:sz w:val="24"/>
        </w:rPr>
        <w:t>3.5.1 供应商应按供应商须知前附表的规定提供资格审查资料，以证明其满足第一章“谈判采购公告/谈判采购邀请书”对供应商的各项资格要求。</w:t>
      </w:r>
    </w:p>
    <w:p w14:paraId="75BDE03E">
      <w:pPr>
        <w:pStyle w:val="3"/>
        <w:adjustRightInd w:val="0"/>
        <w:snapToGrid w:val="0"/>
        <w:spacing w:line="360" w:lineRule="auto"/>
        <w:ind w:firstLine="482" w:firstLineChars="200"/>
        <w:rPr>
          <w:rFonts w:asciiTheme="minorEastAsia" w:hAnsiTheme="minorEastAsia" w:eastAsiaTheme="minorEastAsia"/>
          <w:b/>
          <w:bCs/>
          <w:sz w:val="24"/>
          <w:szCs w:val="24"/>
          <w:lang w:eastAsia="zh-CN"/>
        </w:rPr>
      </w:pPr>
      <w:r>
        <w:rPr>
          <w:rFonts w:hint="eastAsia" w:cs="黑体" w:asciiTheme="minorEastAsia" w:hAnsiTheme="minorEastAsia"/>
          <w:b/>
          <w:bCs/>
          <w:sz w:val="24"/>
          <w:lang w:eastAsia="zh-CN"/>
        </w:rPr>
        <w:t>3.5.2</w:t>
      </w:r>
      <w:r>
        <w:rPr>
          <w:rFonts w:hint="eastAsia" w:asciiTheme="minorEastAsia" w:hAnsiTheme="minorEastAsia" w:eastAsiaTheme="minorEastAsia"/>
          <w:b/>
          <w:bCs/>
          <w:sz w:val="24"/>
          <w:szCs w:val="24"/>
          <w:lang w:eastAsia="zh-CN"/>
        </w:rPr>
        <w:t>供应</w:t>
      </w:r>
      <w:r>
        <w:rPr>
          <w:rFonts w:asciiTheme="minorEastAsia" w:hAnsiTheme="minorEastAsia" w:eastAsiaTheme="minorEastAsia"/>
          <w:b/>
          <w:bCs/>
          <w:sz w:val="24"/>
          <w:szCs w:val="24"/>
          <w:lang w:eastAsia="zh-CN"/>
        </w:rPr>
        <w:t>商不得存在下列情形之一：</w:t>
      </w:r>
    </w:p>
    <w:p w14:paraId="466F3E85">
      <w:pPr>
        <w:pStyle w:val="3"/>
        <w:numPr>
          <w:ilvl w:val="0"/>
          <w:numId w:val="13"/>
        </w:numPr>
        <w:tabs>
          <w:tab w:val="left" w:pos="1060"/>
        </w:tabs>
        <w:adjustRightInd w:val="0"/>
        <w:snapToGrid w:val="0"/>
        <w:spacing w:line="360" w:lineRule="auto"/>
        <w:ind w:left="59" w:leftChars="28" w:firstLine="581" w:firstLineChars="241"/>
        <w:rPr>
          <w:rFonts w:asciiTheme="minorEastAsia" w:hAnsiTheme="minorEastAsia" w:eastAsiaTheme="minorEastAsia"/>
          <w:b/>
          <w:bCs/>
          <w:sz w:val="24"/>
          <w:szCs w:val="24"/>
          <w:lang w:eastAsia="zh-CN"/>
        </w:rPr>
      </w:pPr>
      <w:r>
        <w:rPr>
          <w:rFonts w:hint="eastAsia" w:asciiTheme="minorEastAsia" w:hAnsiTheme="minorEastAsia" w:eastAsiaTheme="minorEastAsia"/>
          <w:b/>
          <w:bCs/>
          <w:sz w:val="24"/>
          <w:szCs w:val="24"/>
          <w:lang w:eastAsia="zh-CN"/>
        </w:rPr>
        <w:t>不同供应商之间的单位负责人为同一人，或者存在直接控股、管理关系；</w:t>
      </w:r>
    </w:p>
    <w:p w14:paraId="2C1C19D9">
      <w:pPr>
        <w:pStyle w:val="3"/>
        <w:numPr>
          <w:ilvl w:val="0"/>
          <w:numId w:val="13"/>
        </w:numPr>
        <w:tabs>
          <w:tab w:val="left" w:pos="1060"/>
        </w:tabs>
        <w:adjustRightInd w:val="0"/>
        <w:snapToGrid w:val="0"/>
        <w:spacing w:line="360" w:lineRule="auto"/>
        <w:ind w:left="59" w:leftChars="28" w:firstLine="581" w:firstLineChars="241"/>
        <w:rPr>
          <w:rFonts w:asciiTheme="minorEastAsia" w:hAnsiTheme="minorEastAsia" w:eastAsiaTheme="minorEastAsia"/>
          <w:b/>
          <w:bCs/>
          <w:sz w:val="24"/>
          <w:szCs w:val="24"/>
          <w:lang w:eastAsia="zh-CN"/>
        </w:rPr>
      </w:pPr>
      <w:r>
        <w:rPr>
          <w:rFonts w:hint="eastAsia" w:asciiTheme="minorEastAsia" w:hAnsiTheme="minorEastAsia" w:eastAsiaTheme="minorEastAsia"/>
          <w:b/>
          <w:bCs/>
          <w:sz w:val="24"/>
          <w:szCs w:val="24"/>
          <w:lang w:eastAsia="zh-CN"/>
        </w:rPr>
        <w:t>处于被责令停产停业、暂扣或者吊销执照、暂扣或者吊销许可证、吊销资质证书状态；</w:t>
      </w:r>
    </w:p>
    <w:p w14:paraId="24B8137A">
      <w:pPr>
        <w:pStyle w:val="3"/>
        <w:numPr>
          <w:ilvl w:val="0"/>
          <w:numId w:val="13"/>
        </w:numPr>
        <w:tabs>
          <w:tab w:val="left" w:pos="1060"/>
        </w:tabs>
        <w:adjustRightInd w:val="0"/>
        <w:snapToGrid w:val="0"/>
        <w:spacing w:line="360" w:lineRule="auto"/>
        <w:ind w:left="59" w:leftChars="28" w:firstLine="581" w:firstLineChars="241"/>
        <w:rPr>
          <w:rFonts w:asciiTheme="minorEastAsia" w:hAnsiTheme="minorEastAsia" w:eastAsiaTheme="minorEastAsia"/>
          <w:b/>
          <w:bCs/>
          <w:sz w:val="24"/>
          <w:szCs w:val="24"/>
          <w:lang w:eastAsia="zh-CN"/>
        </w:rPr>
      </w:pPr>
      <w:bookmarkStart w:id="10" w:name="_Hlk162953734"/>
      <w:r>
        <w:rPr>
          <w:rFonts w:hint="eastAsia" w:asciiTheme="minorEastAsia" w:hAnsiTheme="minorEastAsia" w:eastAsiaTheme="minorEastAsia"/>
          <w:b/>
          <w:bCs/>
          <w:sz w:val="24"/>
          <w:szCs w:val="24"/>
          <w:lang w:eastAsia="zh-CN"/>
        </w:rPr>
        <w:t>财务处于被接管、冻结状态，进入清算程序，或被宣告破产，或其他丧失履约能力的情形；</w:t>
      </w:r>
    </w:p>
    <w:bookmarkEnd w:id="10"/>
    <w:p w14:paraId="51D5614F">
      <w:pPr>
        <w:pStyle w:val="3"/>
        <w:numPr>
          <w:ilvl w:val="0"/>
          <w:numId w:val="13"/>
        </w:numPr>
        <w:tabs>
          <w:tab w:val="left" w:pos="1060"/>
        </w:tabs>
        <w:adjustRightInd w:val="0"/>
        <w:snapToGrid w:val="0"/>
        <w:spacing w:line="360" w:lineRule="auto"/>
        <w:ind w:left="59" w:leftChars="28" w:firstLine="581" w:firstLineChars="241"/>
        <w:rPr>
          <w:rFonts w:asciiTheme="minorEastAsia" w:hAnsiTheme="minorEastAsia" w:eastAsiaTheme="minorEastAsia"/>
          <w:b/>
          <w:bCs/>
          <w:sz w:val="24"/>
          <w:szCs w:val="24"/>
          <w:lang w:eastAsia="zh-CN"/>
        </w:rPr>
      </w:pPr>
      <w:r>
        <w:rPr>
          <w:rFonts w:hint="eastAsia" w:asciiTheme="minorEastAsia" w:hAnsiTheme="minorEastAsia" w:eastAsiaTheme="minorEastAsia"/>
          <w:b/>
          <w:bCs/>
          <w:sz w:val="24"/>
          <w:szCs w:val="24"/>
          <w:lang w:eastAsia="zh-CN"/>
        </w:rPr>
        <w:t>根据中国核工业集团供应商管理要求，被禁止参与采购活动且处于有效期。供应商处于黑名单或灰名单中且处于有效期内：■中国核工业集团供应商黑名单或灰名单、■中国核动力研究设计院黑名单或灰名单；</w:t>
      </w:r>
    </w:p>
    <w:p w14:paraId="2EA0BC72">
      <w:pPr>
        <w:pStyle w:val="3"/>
        <w:numPr>
          <w:ilvl w:val="0"/>
          <w:numId w:val="13"/>
        </w:numPr>
        <w:tabs>
          <w:tab w:val="left" w:pos="1060"/>
        </w:tabs>
        <w:adjustRightInd w:val="0"/>
        <w:snapToGrid w:val="0"/>
        <w:spacing w:line="360" w:lineRule="auto"/>
        <w:ind w:left="59" w:leftChars="28" w:firstLine="581" w:firstLineChars="241"/>
        <w:rPr>
          <w:rFonts w:asciiTheme="minorEastAsia" w:hAnsiTheme="minorEastAsia" w:eastAsiaTheme="minorEastAsia"/>
          <w:b/>
          <w:bCs/>
          <w:sz w:val="24"/>
          <w:szCs w:val="24"/>
          <w:lang w:eastAsia="zh-CN"/>
        </w:rPr>
      </w:pPr>
      <w:r>
        <w:rPr>
          <w:rFonts w:hint="eastAsia" w:asciiTheme="minorEastAsia" w:hAnsiTheme="minorEastAsia" w:eastAsiaTheme="minorEastAsia"/>
          <w:b/>
          <w:bCs/>
          <w:sz w:val="24"/>
          <w:szCs w:val="24"/>
          <w:lang w:eastAsia="zh-CN"/>
        </w:rPr>
        <w:t>与本采购项目的监理人或采购代理机构同为一个法定代表人；</w:t>
      </w:r>
    </w:p>
    <w:p w14:paraId="60FC12A8">
      <w:pPr>
        <w:pStyle w:val="3"/>
        <w:numPr>
          <w:ilvl w:val="0"/>
          <w:numId w:val="13"/>
        </w:numPr>
        <w:tabs>
          <w:tab w:val="left" w:pos="1060"/>
        </w:tabs>
        <w:adjustRightInd w:val="0"/>
        <w:snapToGrid w:val="0"/>
        <w:spacing w:line="360" w:lineRule="auto"/>
        <w:ind w:left="59" w:leftChars="28" w:firstLine="581" w:firstLineChars="241"/>
        <w:rPr>
          <w:rFonts w:asciiTheme="minorEastAsia" w:hAnsiTheme="minorEastAsia" w:eastAsiaTheme="minorEastAsia"/>
          <w:b/>
          <w:bCs/>
          <w:sz w:val="24"/>
          <w:szCs w:val="24"/>
          <w:lang w:eastAsia="zh-CN"/>
        </w:rPr>
      </w:pPr>
      <w:r>
        <w:rPr>
          <w:rFonts w:hint="eastAsia" w:asciiTheme="minorEastAsia" w:hAnsiTheme="minorEastAsia" w:eastAsiaTheme="minorEastAsia"/>
          <w:b/>
          <w:bCs/>
          <w:sz w:val="24"/>
          <w:szCs w:val="24"/>
          <w:lang w:eastAsia="zh-CN"/>
        </w:rPr>
        <w:t>与本采购项目的监理人或采购代理机构存在控股或参股关系或者其他利害关系；</w:t>
      </w:r>
    </w:p>
    <w:p w14:paraId="7668CC3C">
      <w:pPr>
        <w:pStyle w:val="3"/>
        <w:numPr>
          <w:ilvl w:val="0"/>
          <w:numId w:val="13"/>
        </w:numPr>
        <w:tabs>
          <w:tab w:val="left" w:pos="1060"/>
        </w:tabs>
        <w:adjustRightInd w:val="0"/>
        <w:snapToGrid w:val="0"/>
        <w:spacing w:line="360" w:lineRule="auto"/>
        <w:ind w:left="59" w:leftChars="28" w:firstLine="581" w:firstLineChars="241"/>
        <w:rPr>
          <w:rFonts w:asciiTheme="minorEastAsia" w:hAnsiTheme="minorEastAsia" w:eastAsiaTheme="minorEastAsia"/>
          <w:b/>
          <w:bCs/>
          <w:sz w:val="24"/>
          <w:szCs w:val="24"/>
          <w:lang w:eastAsia="zh-CN"/>
        </w:rPr>
      </w:pPr>
      <w:r>
        <w:rPr>
          <w:rFonts w:hint="eastAsia" w:asciiTheme="minorEastAsia" w:hAnsiTheme="minorEastAsia" w:eastAsiaTheme="minorEastAsia"/>
          <w:b/>
          <w:bCs/>
          <w:sz w:val="24"/>
          <w:szCs w:val="24"/>
          <w:lang w:eastAsia="zh-CN"/>
        </w:rPr>
        <w:t>在最近三年内发生重大产品质量问题（以相关行业主管部门的行政处罚决定或司法机关出具的有关法律文书为准）；</w:t>
      </w:r>
    </w:p>
    <w:p w14:paraId="641FE935">
      <w:pPr>
        <w:pStyle w:val="3"/>
        <w:numPr>
          <w:ilvl w:val="0"/>
          <w:numId w:val="13"/>
        </w:numPr>
        <w:tabs>
          <w:tab w:val="left" w:pos="1060"/>
        </w:tabs>
        <w:adjustRightInd w:val="0"/>
        <w:snapToGrid w:val="0"/>
        <w:spacing w:line="360" w:lineRule="auto"/>
        <w:ind w:left="59" w:leftChars="28" w:firstLine="581" w:firstLineChars="241"/>
        <w:rPr>
          <w:rFonts w:asciiTheme="minorEastAsia" w:hAnsiTheme="minorEastAsia" w:eastAsiaTheme="minorEastAsia"/>
          <w:b/>
          <w:bCs/>
          <w:sz w:val="24"/>
          <w:szCs w:val="24"/>
          <w:lang w:eastAsia="zh-CN"/>
        </w:rPr>
      </w:pPr>
      <w:r>
        <w:rPr>
          <w:rFonts w:hint="eastAsia" w:asciiTheme="minorEastAsia" w:hAnsiTheme="minorEastAsia" w:eastAsiaTheme="minorEastAsia"/>
          <w:b/>
          <w:bCs/>
          <w:sz w:val="24"/>
          <w:szCs w:val="24"/>
          <w:lang w:eastAsia="zh-CN"/>
        </w:rPr>
        <w:t>被工商行政管理机关在国家企业信用信息公示系统中列入严重违法失信企业名单；</w:t>
      </w:r>
    </w:p>
    <w:p w14:paraId="62567457">
      <w:pPr>
        <w:pStyle w:val="3"/>
        <w:numPr>
          <w:ilvl w:val="0"/>
          <w:numId w:val="13"/>
        </w:numPr>
        <w:tabs>
          <w:tab w:val="left" w:pos="1060"/>
        </w:tabs>
        <w:adjustRightInd w:val="0"/>
        <w:snapToGrid w:val="0"/>
        <w:spacing w:line="360" w:lineRule="auto"/>
        <w:ind w:left="59" w:leftChars="28" w:firstLine="581" w:firstLineChars="241"/>
        <w:rPr>
          <w:rFonts w:asciiTheme="minorEastAsia" w:hAnsiTheme="minorEastAsia" w:eastAsiaTheme="minorEastAsia"/>
          <w:b/>
          <w:bCs/>
          <w:sz w:val="24"/>
          <w:szCs w:val="24"/>
          <w:lang w:eastAsia="zh-CN"/>
        </w:rPr>
      </w:pPr>
      <w:r>
        <w:rPr>
          <w:rFonts w:hint="eastAsia" w:asciiTheme="minorEastAsia" w:hAnsiTheme="minorEastAsia" w:eastAsiaTheme="minorEastAsia"/>
          <w:b/>
          <w:bCs/>
          <w:sz w:val="24"/>
          <w:szCs w:val="24"/>
          <w:lang w:eastAsia="zh-CN"/>
        </w:rPr>
        <w:t>被最高人民法院在“信用中国”网站（www.creditchina.gov.cn）或各级信用信息共享平台中列入失信被执行人名单；</w:t>
      </w:r>
    </w:p>
    <w:p w14:paraId="2E16E4A4">
      <w:pPr>
        <w:pStyle w:val="3"/>
        <w:numPr>
          <w:ilvl w:val="0"/>
          <w:numId w:val="13"/>
        </w:numPr>
        <w:tabs>
          <w:tab w:val="left" w:pos="1060"/>
        </w:tabs>
        <w:adjustRightInd w:val="0"/>
        <w:snapToGrid w:val="0"/>
        <w:spacing w:line="360" w:lineRule="auto"/>
        <w:ind w:left="59" w:leftChars="28" w:firstLine="581" w:firstLineChars="241"/>
        <w:jc w:val="both"/>
        <w:rPr>
          <w:rFonts w:asciiTheme="minorEastAsia" w:hAnsiTheme="minorEastAsia" w:eastAsiaTheme="minorEastAsia"/>
          <w:b/>
          <w:bCs/>
          <w:sz w:val="24"/>
          <w:szCs w:val="24"/>
          <w:lang w:eastAsia="zh-CN"/>
        </w:rPr>
      </w:pPr>
      <w:r>
        <w:rPr>
          <w:rFonts w:hint="eastAsia" w:asciiTheme="minorEastAsia" w:hAnsiTheme="minorEastAsia" w:eastAsiaTheme="minorEastAsia"/>
          <w:b/>
          <w:bCs/>
          <w:sz w:val="24"/>
          <w:szCs w:val="24"/>
          <w:lang w:eastAsia="zh-CN"/>
        </w:rPr>
        <w:t>在近三年内供应商或其法定代表人、拟委任的项目负责人有行贿犯罪行为的；</w:t>
      </w:r>
    </w:p>
    <w:p w14:paraId="1476F3C0">
      <w:pPr>
        <w:pStyle w:val="3"/>
        <w:numPr>
          <w:ilvl w:val="0"/>
          <w:numId w:val="13"/>
        </w:numPr>
        <w:tabs>
          <w:tab w:val="left" w:pos="1060"/>
        </w:tabs>
        <w:adjustRightInd w:val="0"/>
        <w:snapToGrid w:val="0"/>
        <w:spacing w:line="360" w:lineRule="auto"/>
        <w:ind w:left="59" w:leftChars="28" w:firstLine="581" w:firstLineChars="241"/>
        <w:jc w:val="both"/>
        <w:rPr>
          <w:rFonts w:asciiTheme="minorEastAsia" w:hAnsiTheme="minorEastAsia" w:eastAsiaTheme="minorEastAsia"/>
          <w:b/>
          <w:bCs/>
          <w:sz w:val="24"/>
          <w:szCs w:val="24"/>
          <w:lang w:eastAsia="zh-CN"/>
        </w:rPr>
      </w:pPr>
      <w:r>
        <w:rPr>
          <w:rFonts w:hint="eastAsia" w:asciiTheme="minorEastAsia" w:hAnsiTheme="minorEastAsia" w:eastAsiaTheme="minorEastAsia"/>
          <w:b/>
          <w:bCs/>
          <w:sz w:val="24"/>
          <w:szCs w:val="24"/>
          <w:lang w:eastAsia="zh-CN"/>
        </w:rPr>
        <w:t>在经营活动中存在重大违法记录等违法行为，未严格遵守国家及采购人相关保密管理规定；</w:t>
      </w:r>
    </w:p>
    <w:p w14:paraId="1828D9D1">
      <w:pPr>
        <w:pStyle w:val="3"/>
        <w:numPr>
          <w:ilvl w:val="0"/>
          <w:numId w:val="13"/>
        </w:numPr>
        <w:tabs>
          <w:tab w:val="left" w:pos="1060"/>
        </w:tabs>
        <w:adjustRightInd w:val="0"/>
        <w:snapToGrid w:val="0"/>
        <w:spacing w:line="360" w:lineRule="auto"/>
        <w:ind w:left="59" w:leftChars="28" w:firstLine="581" w:firstLineChars="241"/>
        <w:jc w:val="both"/>
        <w:rPr>
          <w:rFonts w:asciiTheme="minorEastAsia" w:hAnsiTheme="minorEastAsia" w:eastAsiaTheme="minorEastAsia"/>
          <w:b/>
          <w:bCs/>
          <w:sz w:val="24"/>
          <w:szCs w:val="24"/>
          <w:lang w:eastAsia="zh-CN"/>
        </w:rPr>
      </w:pPr>
      <w:r>
        <w:rPr>
          <w:rFonts w:hint="eastAsia" w:asciiTheme="minorEastAsia" w:hAnsiTheme="minorEastAsia" w:eastAsiaTheme="minorEastAsia"/>
          <w:b/>
          <w:bCs/>
          <w:sz w:val="24"/>
          <w:szCs w:val="24"/>
          <w:lang w:eastAsia="zh-CN"/>
        </w:rPr>
        <w:t>法律法规或采购文件规定的其他情形。</w:t>
      </w:r>
    </w:p>
    <w:p w14:paraId="2FE93630">
      <w:pPr>
        <w:pStyle w:val="3"/>
        <w:adjustRightInd w:val="0"/>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3.5.3本</w:t>
      </w:r>
      <w:r>
        <w:rPr>
          <w:rFonts w:asciiTheme="minorEastAsia" w:hAnsiTheme="minorEastAsia" w:eastAsiaTheme="minorEastAsia"/>
          <w:sz w:val="24"/>
          <w:szCs w:val="24"/>
          <w:lang w:eastAsia="zh-CN"/>
        </w:rPr>
        <w:t>采购项目接受联合体</w:t>
      </w:r>
      <w:r>
        <w:rPr>
          <w:rFonts w:hint="eastAsia" w:asciiTheme="minorEastAsia" w:hAnsiTheme="minorEastAsia" w:eastAsiaTheme="minorEastAsia"/>
          <w:sz w:val="24"/>
          <w:szCs w:val="24"/>
          <w:lang w:eastAsia="zh-CN"/>
        </w:rPr>
        <w:t>参与采购的</w:t>
      </w:r>
      <w:r>
        <w:rPr>
          <w:rFonts w:asciiTheme="minorEastAsia" w:hAnsiTheme="minorEastAsia" w:eastAsiaTheme="minorEastAsia"/>
          <w:sz w:val="24"/>
          <w:szCs w:val="24"/>
          <w:lang w:eastAsia="zh-CN"/>
        </w:rPr>
        <w:t>，应遵守以下规定：</w:t>
      </w:r>
    </w:p>
    <w:p w14:paraId="5132DBE4">
      <w:pPr>
        <w:pStyle w:val="3"/>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（1）联合体各方应按采购文件提供的格式签订联合体协议书，明确联合体牵头人和各方权利义务，并承诺就</w:t>
      </w:r>
      <w:r>
        <w:rPr>
          <w:rFonts w:hint="eastAsia" w:asciiTheme="minorEastAsia" w:hAnsiTheme="minorEastAsia" w:eastAsiaTheme="minorEastAsia"/>
          <w:sz w:val="24"/>
          <w:szCs w:val="24"/>
          <w:lang w:eastAsia="zh-CN"/>
        </w:rPr>
        <w:t>采购</w:t>
      </w:r>
      <w:r>
        <w:rPr>
          <w:rFonts w:asciiTheme="minorEastAsia" w:hAnsiTheme="minorEastAsia" w:eastAsiaTheme="minorEastAsia"/>
          <w:sz w:val="24"/>
          <w:szCs w:val="24"/>
          <w:lang w:eastAsia="zh-CN"/>
        </w:rPr>
        <w:t>项目向</w:t>
      </w:r>
      <w:r>
        <w:rPr>
          <w:rFonts w:hint="eastAsia" w:asciiTheme="minorEastAsia" w:hAnsiTheme="minorEastAsia" w:eastAsiaTheme="minorEastAsia"/>
          <w:sz w:val="24"/>
          <w:szCs w:val="24"/>
          <w:lang w:eastAsia="zh-CN"/>
        </w:rPr>
        <w:t>采购单位</w:t>
      </w:r>
      <w:r>
        <w:rPr>
          <w:rFonts w:asciiTheme="minorEastAsia" w:hAnsiTheme="minorEastAsia" w:eastAsiaTheme="minorEastAsia"/>
          <w:sz w:val="24"/>
          <w:szCs w:val="24"/>
          <w:lang w:eastAsia="zh-CN"/>
        </w:rPr>
        <w:t>承担连带责任；</w:t>
      </w:r>
    </w:p>
    <w:p w14:paraId="79509237">
      <w:pPr>
        <w:pStyle w:val="3"/>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（2）由同一专业的单位组成的联合体，按照资质等级较低的单位确定资质等级；</w:t>
      </w:r>
    </w:p>
    <w:p w14:paraId="7C17EFF9">
      <w:pPr>
        <w:pStyle w:val="3"/>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（3）联合体各方不得再以自己名义单独或参加其他联合体在本</w:t>
      </w:r>
      <w:r>
        <w:rPr>
          <w:rFonts w:hint="eastAsia" w:asciiTheme="minorEastAsia" w:hAnsiTheme="minorEastAsia" w:eastAsiaTheme="minorEastAsia"/>
          <w:sz w:val="24"/>
          <w:szCs w:val="24"/>
          <w:lang w:eastAsia="zh-CN"/>
        </w:rPr>
        <w:t>采购</w:t>
      </w:r>
      <w:r>
        <w:rPr>
          <w:rFonts w:asciiTheme="minorEastAsia" w:hAnsiTheme="minorEastAsia" w:eastAsiaTheme="minorEastAsia"/>
          <w:sz w:val="24"/>
          <w:szCs w:val="24"/>
          <w:lang w:eastAsia="zh-CN"/>
        </w:rPr>
        <w:t>项目中</w:t>
      </w:r>
      <w:r>
        <w:rPr>
          <w:rFonts w:hint="eastAsia" w:asciiTheme="minorEastAsia" w:hAnsiTheme="minorEastAsia" w:eastAsiaTheme="minorEastAsia"/>
          <w:sz w:val="24"/>
          <w:szCs w:val="24"/>
          <w:lang w:eastAsia="zh-CN"/>
        </w:rPr>
        <w:t>响应</w:t>
      </w:r>
      <w:r>
        <w:rPr>
          <w:rFonts w:asciiTheme="minorEastAsia" w:hAnsiTheme="minorEastAsia" w:eastAsiaTheme="minorEastAsia"/>
          <w:sz w:val="24"/>
          <w:szCs w:val="24"/>
          <w:lang w:eastAsia="zh-CN"/>
        </w:rPr>
        <w:t>，否则各相关</w:t>
      </w:r>
      <w:r>
        <w:rPr>
          <w:rFonts w:hint="eastAsia" w:asciiTheme="minorEastAsia" w:hAnsiTheme="minorEastAsia" w:eastAsiaTheme="minorEastAsia"/>
          <w:sz w:val="24"/>
          <w:szCs w:val="24"/>
          <w:lang w:eastAsia="zh-CN"/>
        </w:rPr>
        <w:t>响应</w:t>
      </w:r>
      <w:r>
        <w:rPr>
          <w:rFonts w:asciiTheme="minorEastAsia" w:hAnsiTheme="minorEastAsia" w:eastAsiaTheme="minorEastAsia"/>
          <w:sz w:val="24"/>
          <w:szCs w:val="24"/>
          <w:lang w:eastAsia="zh-CN"/>
        </w:rPr>
        <w:t>均无效。</w:t>
      </w:r>
    </w:p>
    <w:p w14:paraId="0F322210">
      <w:pPr>
        <w:spacing w:line="360" w:lineRule="auto"/>
        <w:ind w:firstLine="482" w:firstLineChars="200"/>
        <w:rPr>
          <w:rFonts w:cs="黑体" w:asciiTheme="minorEastAsia" w:hAnsiTheme="minorEastAsia"/>
          <w:b/>
          <w:bCs/>
          <w:sz w:val="24"/>
        </w:rPr>
      </w:pPr>
      <w:r>
        <w:rPr>
          <w:rFonts w:hint="eastAsia" w:cs="黑体" w:asciiTheme="minorEastAsia" w:hAnsiTheme="minorEastAsia"/>
          <w:b/>
          <w:bCs/>
          <w:sz w:val="24"/>
        </w:rPr>
        <w:t>3.6应答方案</w:t>
      </w:r>
    </w:p>
    <w:p w14:paraId="7424FFD0">
      <w:pPr>
        <w:spacing w:line="360" w:lineRule="auto"/>
        <w:ind w:firstLine="480" w:firstLineChars="200"/>
        <w:rPr>
          <w:rFonts w:cs="黑体" w:asciiTheme="minorEastAsia" w:hAnsiTheme="minorEastAsia"/>
          <w:sz w:val="24"/>
        </w:rPr>
      </w:pPr>
      <w:r>
        <w:rPr>
          <w:rFonts w:hint="eastAsia" w:cs="黑体" w:asciiTheme="minorEastAsia" w:hAnsiTheme="minorEastAsia"/>
          <w:sz w:val="24"/>
        </w:rPr>
        <w:t>3.6.1应答文件应当对谈判采购文件中的实质性内容作出响应。应答文件在满足谈判采购文件实质性要求的基础上，可以提出比谈判采购文件要求更有利于采购单位的承诺。</w:t>
      </w:r>
    </w:p>
    <w:p w14:paraId="654F0277">
      <w:pPr>
        <w:spacing w:line="360" w:lineRule="auto"/>
        <w:ind w:firstLine="480" w:firstLineChars="200"/>
        <w:rPr>
          <w:rFonts w:cs="黑体" w:asciiTheme="minorEastAsia" w:hAnsiTheme="minorEastAsia"/>
          <w:sz w:val="24"/>
        </w:rPr>
      </w:pPr>
      <w:r>
        <w:rPr>
          <w:rFonts w:hint="eastAsia" w:cs="黑体" w:asciiTheme="minorEastAsia" w:hAnsiTheme="minorEastAsia"/>
          <w:sz w:val="24"/>
        </w:rPr>
        <w:t>3.6.2本章1.10.2项规定了应答文件对非关键条款的可以偏差范围和项数的，偏差应当符合供应商须知前附表规定的偏差范围和偏差项数，超出偏差范围和偏差项数的应答文件将被视为无效。</w:t>
      </w:r>
    </w:p>
    <w:p w14:paraId="6F548E4F">
      <w:pPr>
        <w:spacing w:line="360" w:lineRule="auto"/>
        <w:ind w:firstLine="480" w:firstLineChars="200"/>
        <w:rPr>
          <w:rFonts w:cs="黑体" w:asciiTheme="minorEastAsia" w:hAnsiTheme="minorEastAsia"/>
          <w:b/>
          <w:bCs/>
          <w:sz w:val="24"/>
        </w:rPr>
      </w:pPr>
      <w:r>
        <w:rPr>
          <w:rFonts w:hint="eastAsia" w:cs="黑体" w:asciiTheme="minorEastAsia" w:hAnsiTheme="minorEastAsia"/>
          <w:sz w:val="24"/>
        </w:rPr>
        <w:t>3.6.3应答文件对谈判采购文件的全部偏差，均应在应答文件的商务和技术偏差表中列明。应答文件偏差表中未列明的内容，谈判小组可以视为供应商应答谈判采购文件的要求。但如在采购活动中发现应答文件的其他部分与商务和技术偏差表的描述不一致或供应商的应答缺乏支持性文件，谈判小组有权要求供应商对相关问题进行澄清，并根据澄清结果对供应商的应答文件进行评审。</w:t>
      </w:r>
    </w:p>
    <w:p w14:paraId="24BC28BC">
      <w:pPr>
        <w:spacing w:line="360" w:lineRule="auto"/>
        <w:ind w:firstLine="482" w:firstLineChars="200"/>
        <w:rPr>
          <w:rFonts w:cs="黑体" w:asciiTheme="minorEastAsia" w:hAnsiTheme="minorEastAsia"/>
          <w:b/>
          <w:bCs/>
          <w:sz w:val="24"/>
        </w:rPr>
      </w:pPr>
      <w:r>
        <w:rPr>
          <w:rFonts w:hint="eastAsia" w:cs="黑体" w:asciiTheme="minorEastAsia" w:hAnsiTheme="minorEastAsia"/>
          <w:b/>
          <w:bCs/>
          <w:sz w:val="24"/>
        </w:rPr>
        <w:t>3.7应答文件的编制</w:t>
      </w:r>
    </w:p>
    <w:p w14:paraId="759C7C81">
      <w:pPr>
        <w:spacing w:line="360" w:lineRule="auto"/>
        <w:ind w:firstLine="480" w:firstLineChars="200"/>
        <w:rPr>
          <w:rFonts w:cs="黑体" w:asciiTheme="minorEastAsia" w:hAnsiTheme="minorEastAsia"/>
          <w:sz w:val="24"/>
        </w:rPr>
      </w:pPr>
      <w:r>
        <w:rPr>
          <w:rFonts w:hint="eastAsia" w:cs="黑体" w:asciiTheme="minorEastAsia" w:hAnsiTheme="minorEastAsia"/>
          <w:sz w:val="24"/>
        </w:rPr>
        <w:t>3.7.1应答文件应按第六章“应答文件格式”进行编写，如有必要，可以增加附页，作为应答文件的组成部分。</w:t>
      </w:r>
    </w:p>
    <w:p w14:paraId="228477DD">
      <w:pPr>
        <w:spacing w:line="360" w:lineRule="auto"/>
        <w:ind w:firstLine="480" w:firstLineChars="200"/>
        <w:rPr>
          <w:rFonts w:cs="黑体" w:asciiTheme="minorEastAsia" w:hAnsiTheme="minorEastAsia"/>
          <w:sz w:val="24"/>
        </w:rPr>
      </w:pPr>
      <w:r>
        <w:rPr>
          <w:rFonts w:hint="eastAsia" w:cs="黑体" w:asciiTheme="minorEastAsia" w:hAnsiTheme="minorEastAsia"/>
          <w:sz w:val="24"/>
        </w:rPr>
        <w:t>3.7.2应答文件应用不褪色的材料书写或打印，并按第六章应答文件格式的要求进行签字或加盖印章或加盖供应商公章，其中应答函、联合体协议书（如有）应由供应商的法定代表人（单位负责人）或其授权的代理人签字或加盖印章或加盖供应商公章。</w:t>
      </w:r>
    </w:p>
    <w:p w14:paraId="73AAEAA0">
      <w:pPr>
        <w:spacing w:line="360" w:lineRule="auto"/>
        <w:ind w:firstLine="480" w:firstLineChars="200"/>
        <w:rPr>
          <w:rFonts w:cs="黑体" w:asciiTheme="minorEastAsia" w:hAnsiTheme="minorEastAsia"/>
          <w:sz w:val="24"/>
        </w:rPr>
      </w:pPr>
      <w:r>
        <w:rPr>
          <w:rFonts w:hint="eastAsia" w:cs="黑体" w:asciiTheme="minorEastAsia" w:hAnsiTheme="minorEastAsia"/>
          <w:sz w:val="24"/>
        </w:rPr>
        <w:t>3.7.3除联合体协议外，应答文件需要签字盖章处只需联合体牵头人签字或盖章即可。</w:t>
      </w:r>
    </w:p>
    <w:p w14:paraId="74A00DC0">
      <w:pPr>
        <w:spacing w:line="360" w:lineRule="auto"/>
        <w:ind w:firstLine="480" w:firstLineChars="200"/>
        <w:rPr>
          <w:rFonts w:cs="黑体" w:asciiTheme="minorEastAsia" w:hAnsiTheme="minorEastAsia"/>
          <w:sz w:val="24"/>
        </w:rPr>
      </w:pPr>
      <w:r>
        <w:rPr>
          <w:rFonts w:hint="eastAsia" w:cs="黑体" w:asciiTheme="minorEastAsia" w:hAnsiTheme="minorEastAsia"/>
          <w:sz w:val="24"/>
        </w:rPr>
        <w:t>3.7.4评审过程中对应答文件的澄清、说明和补正应由供应商的法定代表人（单位负责人）或其授权的代理人签字或加盖印章或加盖供应商公章。</w:t>
      </w:r>
    </w:p>
    <w:p w14:paraId="790F734D">
      <w:pPr>
        <w:spacing w:line="360" w:lineRule="auto"/>
        <w:ind w:firstLine="480" w:firstLineChars="200"/>
        <w:rPr>
          <w:rFonts w:cs="黑体" w:asciiTheme="minorEastAsia" w:hAnsiTheme="minorEastAsia"/>
          <w:sz w:val="24"/>
        </w:rPr>
      </w:pPr>
      <w:r>
        <w:rPr>
          <w:rFonts w:hint="eastAsia" w:cs="黑体" w:asciiTheme="minorEastAsia" w:hAnsiTheme="minorEastAsia"/>
          <w:sz w:val="24"/>
        </w:rPr>
        <w:t>3.7.5应答文件由法定代表人（单位负责人）签字或加盖印章的，应附法定代表人（单位负责人）身份证明，由委托代理人签字或加盖印章的，应附法定代表人（单位负责人）签署的授权委托书，身份证明或授权委托书应符合第六章“应答文件格式”的规定。</w:t>
      </w:r>
    </w:p>
    <w:p w14:paraId="17EFF1AD">
      <w:pPr>
        <w:spacing w:line="360" w:lineRule="auto"/>
        <w:ind w:firstLine="480" w:firstLineChars="200"/>
        <w:rPr>
          <w:rFonts w:cs="黑体" w:asciiTheme="minorEastAsia" w:hAnsiTheme="minorEastAsia"/>
          <w:sz w:val="24"/>
        </w:rPr>
      </w:pPr>
      <w:r>
        <w:rPr>
          <w:rFonts w:hint="eastAsia" w:cs="黑体" w:asciiTheme="minorEastAsia" w:hAnsiTheme="minorEastAsia"/>
          <w:sz w:val="24"/>
        </w:rPr>
        <w:t>3.7.6应答文件应尽量避免涂改、行间插字或删除。如果出现上述情况，改动之处应由供应商的法定代表人（单位负责人）或其授权的代理人签字或加盖印章或加盖供应商公章。</w:t>
      </w:r>
    </w:p>
    <w:p w14:paraId="7842F1CB">
      <w:pPr>
        <w:spacing w:line="360" w:lineRule="auto"/>
        <w:ind w:firstLine="480" w:firstLineChars="200"/>
        <w:rPr>
          <w:rFonts w:cs="黑体" w:asciiTheme="minorEastAsia" w:hAnsiTheme="minorEastAsia"/>
          <w:sz w:val="24"/>
        </w:rPr>
      </w:pPr>
      <w:r>
        <w:rPr>
          <w:rFonts w:hint="eastAsia" w:cs="黑体" w:asciiTheme="minorEastAsia" w:hAnsiTheme="minorEastAsia"/>
          <w:sz w:val="24"/>
        </w:rPr>
        <w:t>3.7.7应答文件正本一份，副本份数见供应商须知前附表。正本和副本的封面右上角上应清楚地标记“正本”或“副本”的字样。供应商应根据供应商须知前附表要求提供电子版文件。当副本和正本不一致或电子版文件和纸质正本文件不一致时，以纸质正本文件为准。</w:t>
      </w:r>
    </w:p>
    <w:p w14:paraId="621A545A">
      <w:pPr>
        <w:spacing w:line="360" w:lineRule="auto"/>
        <w:ind w:firstLine="480" w:firstLineChars="200"/>
        <w:rPr>
          <w:rFonts w:cs="黑体" w:asciiTheme="minorEastAsia" w:hAnsiTheme="minorEastAsia"/>
          <w:sz w:val="24"/>
        </w:rPr>
      </w:pPr>
      <w:r>
        <w:rPr>
          <w:rFonts w:hint="eastAsia" w:cs="黑体" w:asciiTheme="minorEastAsia" w:hAnsiTheme="minorEastAsia"/>
          <w:sz w:val="24"/>
        </w:rPr>
        <w:t>3.7.8应答文件的正本与副本应分别装订，并编制目录，应答文件需分册装订的，具体分册装订要求见供应商须知前附表规定。</w:t>
      </w:r>
    </w:p>
    <w:p w14:paraId="2BD31276">
      <w:pPr>
        <w:spacing w:line="360" w:lineRule="auto"/>
        <w:ind w:firstLine="482" w:firstLineChars="200"/>
        <w:rPr>
          <w:rFonts w:cs="黑体" w:asciiTheme="minorEastAsia" w:hAnsiTheme="minorEastAsia"/>
          <w:b/>
          <w:bCs/>
          <w:sz w:val="24"/>
        </w:rPr>
      </w:pPr>
      <w:r>
        <w:rPr>
          <w:rFonts w:hint="eastAsia" w:cs="黑体" w:asciiTheme="minorEastAsia" w:hAnsiTheme="minorEastAsia"/>
          <w:b/>
          <w:bCs/>
          <w:sz w:val="24"/>
        </w:rPr>
        <w:t>4.应答文件的递交</w:t>
      </w:r>
    </w:p>
    <w:p w14:paraId="65A0205E">
      <w:pPr>
        <w:spacing w:line="360" w:lineRule="auto"/>
        <w:ind w:firstLine="482" w:firstLineChars="200"/>
        <w:rPr>
          <w:rFonts w:cs="黑体" w:asciiTheme="minorEastAsia" w:hAnsiTheme="minorEastAsia"/>
          <w:b/>
          <w:bCs/>
          <w:sz w:val="24"/>
        </w:rPr>
      </w:pPr>
      <w:r>
        <w:rPr>
          <w:rFonts w:hint="eastAsia" w:cs="黑体" w:asciiTheme="minorEastAsia" w:hAnsiTheme="minorEastAsia"/>
          <w:b/>
          <w:bCs/>
          <w:sz w:val="24"/>
        </w:rPr>
        <w:t>4.1应答文件的包装与标记</w:t>
      </w:r>
    </w:p>
    <w:p w14:paraId="6E806883">
      <w:pPr>
        <w:spacing w:line="360" w:lineRule="auto"/>
        <w:ind w:firstLine="480" w:firstLineChars="200"/>
        <w:rPr>
          <w:rFonts w:cs="黑体" w:asciiTheme="minorEastAsia" w:hAnsiTheme="minorEastAsia"/>
          <w:sz w:val="24"/>
        </w:rPr>
      </w:pPr>
      <w:r>
        <w:rPr>
          <w:rFonts w:hint="eastAsia" w:cs="黑体" w:asciiTheme="minorEastAsia" w:hAnsiTheme="minorEastAsia"/>
          <w:sz w:val="24"/>
        </w:rPr>
        <w:t>4.1.1应答文件应密封包装，并在封套的封口处加盖供应商单位公章或由供应商的法定代表人（单位负责人）或其授权的委托代理人签字。未按要求密封的应答文件，采购单位将予以拒收。</w:t>
      </w:r>
    </w:p>
    <w:p w14:paraId="5C7CFBDC">
      <w:pPr>
        <w:spacing w:line="360" w:lineRule="auto"/>
        <w:ind w:firstLine="480" w:firstLineChars="200"/>
        <w:rPr>
          <w:rFonts w:cs="黑体" w:asciiTheme="minorEastAsia" w:hAnsiTheme="minorEastAsia"/>
          <w:b/>
          <w:bCs/>
          <w:sz w:val="24"/>
        </w:rPr>
      </w:pPr>
      <w:r>
        <w:rPr>
          <w:rFonts w:hint="eastAsia" w:cs="黑体" w:asciiTheme="minorEastAsia" w:hAnsiTheme="minorEastAsia"/>
          <w:sz w:val="24"/>
        </w:rPr>
        <w:t>4.1.2应答文件封套上应写明的内容见供应商须知前附表</w:t>
      </w:r>
      <w:r>
        <w:rPr>
          <w:rFonts w:hint="eastAsia" w:cs="黑体" w:asciiTheme="minorEastAsia" w:hAnsiTheme="minorEastAsia"/>
          <w:b/>
          <w:bCs/>
          <w:sz w:val="24"/>
        </w:rPr>
        <w:t>。</w:t>
      </w:r>
    </w:p>
    <w:p w14:paraId="41058324">
      <w:pPr>
        <w:spacing w:line="360" w:lineRule="auto"/>
        <w:ind w:firstLine="482" w:firstLineChars="200"/>
        <w:rPr>
          <w:rFonts w:cs="黑体" w:asciiTheme="minorEastAsia" w:hAnsiTheme="minorEastAsia"/>
          <w:b/>
          <w:bCs/>
          <w:sz w:val="24"/>
        </w:rPr>
      </w:pPr>
      <w:r>
        <w:rPr>
          <w:rFonts w:hint="eastAsia" w:cs="黑体" w:asciiTheme="minorEastAsia" w:hAnsiTheme="minorEastAsia"/>
          <w:b/>
          <w:bCs/>
          <w:sz w:val="24"/>
        </w:rPr>
        <w:t>4.2应答文件的递交</w:t>
      </w:r>
    </w:p>
    <w:p w14:paraId="0ACCAD1D">
      <w:pPr>
        <w:spacing w:line="360" w:lineRule="auto"/>
        <w:ind w:firstLine="480" w:firstLineChars="200"/>
        <w:rPr>
          <w:rFonts w:cs="黑体" w:asciiTheme="minorEastAsia" w:hAnsiTheme="minorEastAsia"/>
          <w:sz w:val="24"/>
        </w:rPr>
      </w:pPr>
      <w:r>
        <w:rPr>
          <w:rFonts w:hint="eastAsia" w:cs="黑体" w:asciiTheme="minorEastAsia" w:hAnsiTheme="minorEastAsia"/>
          <w:sz w:val="24"/>
        </w:rPr>
        <w:t>4.2.1供应商应在供应商须知前附表规定的递交应答文件的截止时间前,将应答文件递交到供应商须知前附表规定的地点。逾期送达的或者未送达指定地点的应答文件，采购单位将拒绝接收。</w:t>
      </w:r>
    </w:p>
    <w:p w14:paraId="55C8160A">
      <w:pPr>
        <w:spacing w:line="360" w:lineRule="auto"/>
        <w:ind w:firstLine="480" w:firstLineChars="200"/>
        <w:rPr>
          <w:rFonts w:cs="黑体" w:asciiTheme="minorEastAsia" w:hAnsiTheme="minorEastAsia"/>
          <w:sz w:val="24"/>
        </w:rPr>
      </w:pPr>
      <w:r>
        <w:rPr>
          <w:rFonts w:hint="eastAsia" w:cs="黑体" w:asciiTheme="minorEastAsia" w:hAnsiTheme="minorEastAsia"/>
          <w:sz w:val="24"/>
        </w:rPr>
        <w:t>4.2.2除供应商须知前附表另有规定外，供应商所递交的应答文件不予退还。</w:t>
      </w:r>
    </w:p>
    <w:p w14:paraId="705C6D5C">
      <w:pPr>
        <w:spacing w:line="360" w:lineRule="auto"/>
        <w:ind w:firstLine="482" w:firstLineChars="200"/>
        <w:rPr>
          <w:rFonts w:cs="黑体" w:asciiTheme="minorEastAsia" w:hAnsiTheme="minorEastAsia"/>
          <w:b/>
          <w:bCs/>
          <w:sz w:val="24"/>
        </w:rPr>
      </w:pPr>
      <w:r>
        <w:rPr>
          <w:rFonts w:hint="eastAsia" w:cs="黑体" w:asciiTheme="minorEastAsia" w:hAnsiTheme="minorEastAsia"/>
          <w:b/>
          <w:bCs/>
          <w:sz w:val="24"/>
        </w:rPr>
        <w:t>4.3应答文件的修改与撤回</w:t>
      </w:r>
    </w:p>
    <w:p w14:paraId="603235E6">
      <w:pPr>
        <w:spacing w:line="360" w:lineRule="auto"/>
        <w:ind w:firstLine="480" w:firstLineChars="200"/>
        <w:rPr>
          <w:rFonts w:cs="黑体" w:asciiTheme="minorEastAsia" w:hAnsiTheme="minorEastAsia"/>
          <w:sz w:val="24"/>
        </w:rPr>
      </w:pPr>
      <w:r>
        <w:rPr>
          <w:rFonts w:hint="eastAsia" w:cs="黑体" w:asciiTheme="minorEastAsia" w:hAnsiTheme="minorEastAsia"/>
          <w:sz w:val="24"/>
        </w:rPr>
        <w:t>4.3.1在本章第4.2.1项规定的递交应答文件的截止时间前，供应商可以修改或撤回已递交的应答文件，但应以书面形式通知采购单位。</w:t>
      </w:r>
    </w:p>
    <w:p w14:paraId="070B82FF">
      <w:pPr>
        <w:spacing w:line="360" w:lineRule="auto"/>
        <w:ind w:firstLine="480" w:firstLineChars="200"/>
        <w:rPr>
          <w:rFonts w:cs="黑体" w:asciiTheme="minorEastAsia" w:hAnsiTheme="minorEastAsia"/>
          <w:sz w:val="24"/>
        </w:rPr>
      </w:pPr>
      <w:r>
        <w:rPr>
          <w:rFonts w:hint="eastAsia" w:cs="黑体" w:asciiTheme="minorEastAsia" w:hAnsiTheme="minorEastAsia"/>
          <w:sz w:val="24"/>
        </w:rPr>
        <w:t>4.3.2供应商修改或撤回已递交应答文件的书面通知应由供应商的法定代表人(单位负责人)或其授权的代理人签字并加盖公章。采购单位收到供应商修改应答文件的书面通知后，向供应商出具接收凭证；采购单位收到供应商撤回应答文件的书面通知后，退回供应商的应答文件。</w:t>
      </w:r>
    </w:p>
    <w:p w14:paraId="06C4194A">
      <w:pPr>
        <w:spacing w:line="360" w:lineRule="auto"/>
        <w:ind w:firstLine="480" w:firstLineChars="200"/>
        <w:rPr>
          <w:rFonts w:cs="黑体" w:asciiTheme="minorEastAsia" w:hAnsiTheme="minorEastAsia"/>
          <w:sz w:val="24"/>
        </w:rPr>
      </w:pPr>
      <w:r>
        <w:rPr>
          <w:rFonts w:hint="eastAsia" w:cs="黑体" w:asciiTheme="minorEastAsia" w:hAnsiTheme="minorEastAsia"/>
          <w:sz w:val="24"/>
        </w:rPr>
        <w:t>4.3.3除供应商须知前附表另有规定外，供应商撤回应答文件的，采购单位应在5日内退还已收取的应答保证金。</w:t>
      </w:r>
    </w:p>
    <w:p w14:paraId="098BC19A">
      <w:pPr>
        <w:spacing w:line="360" w:lineRule="auto"/>
        <w:ind w:firstLine="480" w:firstLineChars="200"/>
        <w:rPr>
          <w:rFonts w:cs="黑体" w:asciiTheme="minorEastAsia" w:hAnsiTheme="minorEastAsia"/>
          <w:sz w:val="24"/>
        </w:rPr>
      </w:pPr>
      <w:r>
        <w:rPr>
          <w:rFonts w:hint="eastAsia" w:cs="黑体" w:asciiTheme="minorEastAsia" w:hAnsiTheme="minorEastAsia"/>
          <w:sz w:val="24"/>
        </w:rPr>
        <w:t>4.3.4修改的内容为应答文件的组成部分。修改的应答文件应按照本章第3条第4条的规定进行编制、包装、标记和递交，并标明“修改”字样。</w:t>
      </w:r>
    </w:p>
    <w:p w14:paraId="719F9A10">
      <w:pPr>
        <w:spacing w:line="360" w:lineRule="auto"/>
        <w:ind w:firstLine="482" w:firstLineChars="200"/>
        <w:rPr>
          <w:rFonts w:cs="黑体" w:asciiTheme="minorEastAsia" w:hAnsiTheme="minorEastAsia"/>
          <w:b/>
          <w:bCs/>
          <w:sz w:val="24"/>
        </w:rPr>
      </w:pPr>
      <w:r>
        <w:rPr>
          <w:rFonts w:hint="eastAsia" w:cs="黑体" w:asciiTheme="minorEastAsia" w:hAnsiTheme="minorEastAsia"/>
          <w:b/>
          <w:bCs/>
          <w:sz w:val="24"/>
        </w:rPr>
        <w:t>5.开启应答文件</w:t>
      </w:r>
    </w:p>
    <w:p w14:paraId="13E5EF15">
      <w:pPr>
        <w:spacing w:line="360" w:lineRule="auto"/>
        <w:ind w:firstLine="480" w:firstLineChars="200"/>
        <w:rPr>
          <w:rFonts w:cs="黑体" w:asciiTheme="minorEastAsia" w:hAnsiTheme="minorEastAsia"/>
          <w:sz w:val="24"/>
        </w:rPr>
      </w:pPr>
      <w:r>
        <w:rPr>
          <w:rFonts w:hint="eastAsia" w:cs="黑体" w:asciiTheme="minorEastAsia" w:hAnsiTheme="minorEastAsia"/>
          <w:sz w:val="24"/>
        </w:rPr>
        <w:t>采购单位根据采购项目的市场供应情况确定是否公开开启应答文件。供应商须知前附表规定。</w:t>
      </w:r>
    </w:p>
    <w:p w14:paraId="6FC43BFB">
      <w:pPr>
        <w:spacing w:line="360" w:lineRule="auto"/>
        <w:ind w:firstLine="480" w:firstLineChars="200"/>
        <w:rPr>
          <w:rFonts w:cs="黑体" w:asciiTheme="minorEastAsia" w:hAnsiTheme="minorEastAsia"/>
          <w:sz w:val="24"/>
        </w:rPr>
      </w:pPr>
      <w:r>
        <w:rPr>
          <w:rFonts w:hint="eastAsia" w:cs="黑体" w:asciiTheme="minorEastAsia" w:hAnsiTheme="minorEastAsia"/>
          <w:sz w:val="24"/>
        </w:rPr>
        <w:t>公开开启应答文件的，开启活动应按本条规定进行。</w:t>
      </w:r>
    </w:p>
    <w:p w14:paraId="15C7DCD4">
      <w:pPr>
        <w:spacing w:line="360" w:lineRule="auto"/>
        <w:ind w:firstLine="482" w:firstLineChars="200"/>
        <w:rPr>
          <w:rFonts w:cs="黑体" w:asciiTheme="minorEastAsia" w:hAnsiTheme="minorEastAsia"/>
          <w:b/>
          <w:bCs/>
          <w:sz w:val="24"/>
        </w:rPr>
      </w:pPr>
      <w:r>
        <w:rPr>
          <w:rFonts w:hint="eastAsia" w:cs="黑体" w:asciiTheme="minorEastAsia" w:hAnsiTheme="minorEastAsia"/>
          <w:b/>
          <w:bCs/>
          <w:sz w:val="24"/>
        </w:rPr>
        <w:t>5.1开启应答文件的时间和地点</w:t>
      </w:r>
    </w:p>
    <w:p w14:paraId="0C6B9528">
      <w:pPr>
        <w:spacing w:line="360" w:lineRule="auto"/>
        <w:ind w:firstLine="480" w:firstLineChars="200"/>
        <w:rPr>
          <w:rFonts w:cs="黑体" w:asciiTheme="minorEastAsia" w:hAnsiTheme="minorEastAsia"/>
          <w:sz w:val="24"/>
        </w:rPr>
      </w:pPr>
      <w:r>
        <w:rPr>
          <w:rFonts w:hint="eastAsia" w:cs="黑体" w:asciiTheme="minorEastAsia" w:hAnsiTheme="minorEastAsia"/>
          <w:sz w:val="24"/>
        </w:rPr>
        <w:t>采购单位在本章第4.2.1项规定的递交应答文件的截止时间和供应商须知前附表规定的地点公开开启应答文件，并邀请所有供应商的法定代表人(单位负责人)或其授权的代理人参加开启会议，供应商未派代表参加的，视为默认开启结果。</w:t>
      </w:r>
    </w:p>
    <w:p w14:paraId="24159E06">
      <w:pPr>
        <w:spacing w:line="360" w:lineRule="auto"/>
        <w:ind w:firstLine="482" w:firstLineChars="200"/>
        <w:rPr>
          <w:rFonts w:cs="黑体" w:asciiTheme="minorEastAsia" w:hAnsiTheme="minorEastAsia"/>
          <w:b/>
          <w:bCs/>
          <w:sz w:val="24"/>
        </w:rPr>
      </w:pPr>
      <w:r>
        <w:rPr>
          <w:rFonts w:hint="eastAsia" w:cs="黑体" w:asciiTheme="minorEastAsia" w:hAnsiTheme="minorEastAsia"/>
          <w:b/>
          <w:bCs/>
          <w:sz w:val="24"/>
        </w:rPr>
        <w:t>5.2开启程序（适用报价公开）</w:t>
      </w:r>
    </w:p>
    <w:p w14:paraId="5ABA45ED">
      <w:pPr>
        <w:spacing w:line="360" w:lineRule="auto"/>
        <w:ind w:firstLine="480" w:firstLineChars="200"/>
        <w:rPr>
          <w:rFonts w:cs="黑体" w:asciiTheme="minorEastAsia" w:hAnsiTheme="minorEastAsia"/>
          <w:sz w:val="24"/>
        </w:rPr>
      </w:pPr>
      <w:r>
        <w:rPr>
          <w:rFonts w:hint="eastAsia" w:cs="黑体" w:asciiTheme="minorEastAsia" w:hAnsiTheme="minorEastAsia"/>
          <w:sz w:val="24"/>
        </w:rPr>
        <w:t>主持人在中国核工业电子采购平台线上开启或按下列程序公开开启应答文件：</w:t>
      </w:r>
    </w:p>
    <w:p w14:paraId="1FB46407">
      <w:pPr>
        <w:spacing w:line="360" w:lineRule="auto"/>
        <w:ind w:firstLine="480" w:firstLineChars="200"/>
        <w:rPr>
          <w:rFonts w:cs="黑体" w:asciiTheme="minorEastAsia" w:hAnsiTheme="minorEastAsia"/>
          <w:sz w:val="24"/>
        </w:rPr>
      </w:pPr>
      <w:r>
        <w:rPr>
          <w:rFonts w:hint="eastAsia" w:cs="黑体" w:asciiTheme="minorEastAsia" w:hAnsiTheme="minorEastAsia"/>
          <w:sz w:val="24"/>
        </w:rPr>
        <w:t>(1)宣布开启会议纪律；</w:t>
      </w:r>
    </w:p>
    <w:p w14:paraId="42D095F5">
      <w:pPr>
        <w:spacing w:line="360" w:lineRule="auto"/>
        <w:ind w:firstLine="480" w:firstLineChars="200"/>
        <w:rPr>
          <w:rFonts w:cs="黑体" w:asciiTheme="minorEastAsia" w:hAnsiTheme="minorEastAsia"/>
          <w:sz w:val="24"/>
        </w:rPr>
      </w:pPr>
      <w:r>
        <w:rPr>
          <w:rFonts w:hint="eastAsia" w:cs="黑体" w:asciiTheme="minorEastAsia" w:hAnsiTheme="minorEastAsia"/>
          <w:sz w:val="24"/>
        </w:rPr>
        <w:t>(2)宣布参加开启会议的工作人员姓名；</w:t>
      </w:r>
    </w:p>
    <w:p w14:paraId="730DE590">
      <w:pPr>
        <w:spacing w:line="360" w:lineRule="auto"/>
        <w:ind w:firstLine="480" w:firstLineChars="200"/>
        <w:rPr>
          <w:rFonts w:cs="黑体" w:asciiTheme="minorEastAsia" w:hAnsiTheme="minorEastAsia"/>
          <w:sz w:val="24"/>
        </w:rPr>
      </w:pPr>
      <w:r>
        <w:rPr>
          <w:rFonts w:hint="eastAsia" w:cs="黑体" w:asciiTheme="minorEastAsia" w:hAnsiTheme="minorEastAsia"/>
          <w:sz w:val="24"/>
        </w:rPr>
        <w:t>(3)供应商代表检查确认应答文件的密封情况(如需要) ；</w:t>
      </w:r>
    </w:p>
    <w:p w14:paraId="626EC6DB">
      <w:pPr>
        <w:spacing w:line="360" w:lineRule="auto"/>
        <w:ind w:firstLine="480" w:firstLineChars="200"/>
        <w:rPr>
          <w:rFonts w:cs="黑体" w:asciiTheme="minorEastAsia" w:hAnsiTheme="minorEastAsia"/>
          <w:sz w:val="24"/>
        </w:rPr>
      </w:pPr>
      <w:r>
        <w:rPr>
          <w:rFonts w:hint="eastAsia" w:cs="黑体" w:asciiTheme="minorEastAsia" w:hAnsiTheme="minorEastAsia"/>
          <w:sz w:val="24"/>
        </w:rPr>
        <w:t xml:space="preserve">(4)按照供应商须知前附表规定的开启顺序开启应答文件，公布递交应答文件的供应商名称及供应商须知前附表规定的其他应公布的信息，并记录在案； </w:t>
      </w:r>
    </w:p>
    <w:p w14:paraId="5BFC66E8">
      <w:pPr>
        <w:spacing w:line="360" w:lineRule="auto"/>
        <w:ind w:firstLine="480" w:firstLineChars="200"/>
        <w:rPr>
          <w:rFonts w:cs="黑体" w:asciiTheme="minorEastAsia" w:hAnsiTheme="minorEastAsia"/>
          <w:sz w:val="24"/>
        </w:rPr>
      </w:pPr>
      <w:r>
        <w:rPr>
          <w:rFonts w:hint="eastAsia" w:cs="黑体" w:asciiTheme="minorEastAsia" w:hAnsiTheme="minorEastAsia"/>
          <w:sz w:val="24"/>
        </w:rPr>
        <w:t>(5)供应商代表及相关工作人员等在应答文件开启记录上签字确认；</w:t>
      </w:r>
    </w:p>
    <w:p w14:paraId="5C711AF9">
      <w:pPr>
        <w:spacing w:line="360" w:lineRule="auto"/>
        <w:ind w:firstLine="480" w:firstLineChars="200"/>
        <w:rPr>
          <w:rFonts w:cs="黑体" w:asciiTheme="minorEastAsia" w:hAnsiTheme="minorEastAsia"/>
          <w:sz w:val="24"/>
        </w:rPr>
      </w:pPr>
      <w:r>
        <w:rPr>
          <w:rFonts w:hint="eastAsia" w:cs="黑体" w:asciiTheme="minorEastAsia" w:hAnsiTheme="minorEastAsia"/>
          <w:sz w:val="24"/>
        </w:rPr>
        <w:t>(6)宣布谈判有关安排和注意事项；</w:t>
      </w:r>
    </w:p>
    <w:p w14:paraId="37E065FF">
      <w:pPr>
        <w:spacing w:line="360" w:lineRule="auto"/>
        <w:ind w:firstLine="480" w:firstLineChars="200"/>
        <w:rPr>
          <w:rFonts w:cs="黑体" w:asciiTheme="minorEastAsia" w:hAnsiTheme="minorEastAsia"/>
          <w:sz w:val="24"/>
        </w:rPr>
      </w:pPr>
      <w:r>
        <w:rPr>
          <w:rFonts w:hint="eastAsia" w:cs="黑体" w:asciiTheme="minorEastAsia" w:hAnsiTheme="minorEastAsia"/>
          <w:sz w:val="24"/>
        </w:rPr>
        <w:t>(7)开启会议结束。</w:t>
      </w:r>
    </w:p>
    <w:p w14:paraId="35EECAEA">
      <w:pPr>
        <w:spacing w:line="360" w:lineRule="auto"/>
        <w:ind w:firstLine="482" w:firstLineChars="200"/>
        <w:rPr>
          <w:rFonts w:cs="黑体" w:asciiTheme="minorEastAsia" w:hAnsiTheme="minorEastAsia"/>
          <w:b/>
          <w:bCs/>
          <w:sz w:val="24"/>
        </w:rPr>
      </w:pPr>
      <w:r>
        <w:rPr>
          <w:rFonts w:hint="eastAsia" w:cs="黑体" w:asciiTheme="minorEastAsia" w:hAnsiTheme="minorEastAsia"/>
          <w:b/>
          <w:bCs/>
          <w:sz w:val="24"/>
        </w:rPr>
        <w:t>6.谈判和评审</w:t>
      </w:r>
    </w:p>
    <w:p w14:paraId="3FE61363">
      <w:pPr>
        <w:spacing w:line="360" w:lineRule="auto"/>
        <w:ind w:firstLine="482" w:firstLineChars="200"/>
        <w:rPr>
          <w:rFonts w:cs="黑体" w:asciiTheme="minorEastAsia" w:hAnsiTheme="minorEastAsia"/>
          <w:b/>
          <w:bCs/>
          <w:sz w:val="24"/>
        </w:rPr>
      </w:pPr>
      <w:r>
        <w:rPr>
          <w:rFonts w:hint="eastAsia" w:cs="黑体" w:asciiTheme="minorEastAsia" w:hAnsiTheme="minorEastAsia"/>
          <w:b/>
          <w:bCs/>
          <w:sz w:val="24"/>
        </w:rPr>
        <w:t>6.1谈判小组</w:t>
      </w:r>
    </w:p>
    <w:p w14:paraId="1C5D5979">
      <w:pPr>
        <w:spacing w:line="360" w:lineRule="auto"/>
        <w:ind w:firstLine="480" w:firstLineChars="200"/>
        <w:rPr>
          <w:rFonts w:cs="黑体" w:asciiTheme="minorEastAsia" w:hAnsiTheme="minorEastAsia"/>
          <w:sz w:val="24"/>
        </w:rPr>
      </w:pPr>
      <w:r>
        <w:rPr>
          <w:rFonts w:hint="eastAsia" w:cs="黑体" w:asciiTheme="minorEastAsia" w:hAnsiTheme="minorEastAsia"/>
          <w:sz w:val="24"/>
        </w:rPr>
        <w:t>6.1.1采购单位将组建谈判小组，并由其按照本条规定的程序以及第三章“评审办法”的规定与供应商进行谈判、对应答文件进行评审和比较。</w:t>
      </w:r>
    </w:p>
    <w:p w14:paraId="7774F41E">
      <w:pPr>
        <w:spacing w:line="360" w:lineRule="auto"/>
        <w:ind w:firstLine="480" w:firstLineChars="200"/>
        <w:rPr>
          <w:rFonts w:cs="黑体" w:asciiTheme="minorEastAsia" w:hAnsiTheme="minorEastAsia"/>
          <w:sz w:val="24"/>
        </w:rPr>
      </w:pPr>
      <w:r>
        <w:rPr>
          <w:rFonts w:hint="eastAsia" w:cs="黑体" w:asciiTheme="minorEastAsia" w:hAnsiTheme="minorEastAsia"/>
          <w:sz w:val="24"/>
        </w:rPr>
        <w:t>6.1.2谈判小组成员有下列情形之一的，应当回避：</w:t>
      </w:r>
    </w:p>
    <w:p w14:paraId="37974149">
      <w:pPr>
        <w:spacing w:line="360" w:lineRule="auto"/>
        <w:ind w:firstLine="480" w:firstLineChars="200"/>
        <w:rPr>
          <w:rFonts w:cs="黑体" w:asciiTheme="minorEastAsia" w:hAnsiTheme="minorEastAsia"/>
          <w:sz w:val="24"/>
        </w:rPr>
      </w:pPr>
      <w:r>
        <w:rPr>
          <w:rFonts w:hint="eastAsia" w:cs="黑体" w:asciiTheme="minorEastAsia" w:hAnsiTheme="minorEastAsia"/>
          <w:sz w:val="24"/>
        </w:rPr>
        <w:t>(1)供应商主要负责人或供应商主要负责人的近亲属；</w:t>
      </w:r>
    </w:p>
    <w:p w14:paraId="78545EB0">
      <w:pPr>
        <w:spacing w:line="360" w:lineRule="auto"/>
        <w:ind w:firstLine="480" w:firstLineChars="200"/>
        <w:rPr>
          <w:rFonts w:cs="黑体" w:asciiTheme="minorEastAsia" w:hAnsiTheme="minorEastAsia"/>
          <w:sz w:val="24"/>
        </w:rPr>
      </w:pPr>
      <w:r>
        <w:rPr>
          <w:rFonts w:hint="eastAsia" w:cs="黑体" w:asciiTheme="minorEastAsia" w:hAnsiTheme="minorEastAsia"/>
          <w:sz w:val="24"/>
        </w:rPr>
        <w:t>(2)与供应商有经济利益关系或其他利害关系，可能影响公正评审的。</w:t>
      </w:r>
    </w:p>
    <w:p w14:paraId="15436874">
      <w:pPr>
        <w:spacing w:line="360" w:lineRule="auto"/>
        <w:ind w:firstLine="480" w:firstLineChars="200"/>
        <w:rPr>
          <w:rFonts w:cs="黑体" w:asciiTheme="minorEastAsia" w:hAnsiTheme="minorEastAsia"/>
          <w:sz w:val="24"/>
        </w:rPr>
      </w:pPr>
      <w:r>
        <w:rPr>
          <w:rFonts w:hint="eastAsia" w:cs="黑体" w:asciiTheme="minorEastAsia" w:hAnsiTheme="minorEastAsia"/>
          <w:sz w:val="24"/>
        </w:rPr>
        <w:t>6.1.3</w:t>
      </w:r>
      <w:r>
        <w:rPr>
          <w:rFonts w:ascii="宋体" w:hAnsi="宋体" w:cs="宋体"/>
          <w:kern w:val="0"/>
          <w:sz w:val="24"/>
        </w:rPr>
        <w:t>根据本项目的特点，</w:t>
      </w:r>
      <w:r>
        <w:rPr>
          <w:rFonts w:hint="eastAsia" w:ascii="宋体" w:hAnsi="宋体" w:cs="宋体"/>
          <w:kern w:val="0"/>
          <w:sz w:val="24"/>
        </w:rPr>
        <w:t>按照采购单位采购管理制度的要求</w:t>
      </w:r>
      <w:r>
        <w:rPr>
          <w:rFonts w:ascii="宋体" w:hAnsi="宋体" w:cs="宋体"/>
          <w:kern w:val="0"/>
          <w:sz w:val="24"/>
        </w:rPr>
        <w:t>组建谈判小组，其成员</w:t>
      </w:r>
      <w:r>
        <w:rPr>
          <w:rFonts w:hint="eastAsia" w:ascii="宋体" w:hAnsi="宋体" w:eastAsia="宋体" w:cs="宋体"/>
          <w:sz w:val="24"/>
        </w:rPr>
        <w:t>人数以及确定方式见供应商须知前附表</w:t>
      </w:r>
      <w:r>
        <w:rPr>
          <w:rFonts w:ascii="宋体" w:hAnsi="宋体" w:cs="宋体"/>
          <w:kern w:val="0"/>
          <w:sz w:val="24"/>
        </w:rPr>
        <w:t>。</w:t>
      </w:r>
      <w:r>
        <w:rPr>
          <w:rFonts w:hint="eastAsia" w:cs="黑体" w:asciiTheme="minorEastAsia" w:hAnsiTheme="minorEastAsia"/>
          <w:sz w:val="24"/>
        </w:rPr>
        <w:t>谈判小组组建后，谈判小组成员共同推选或由采购单位指定谈判小组组长，谈判小组组长负责组织谈判及评审工作。</w:t>
      </w:r>
    </w:p>
    <w:p w14:paraId="770D1935">
      <w:pPr>
        <w:spacing w:line="360" w:lineRule="auto"/>
        <w:ind w:firstLine="480" w:firstLineChars="200"/>
        <w:rPr>
          <w:rFonts w:cs="黑体" w:asciiTheme="minorEastAsia" w:hAnsiTheme="minorEastAsia"/>
          <w:sz w:val="24"/>
        </w:rPr>
      </w:pPr>
      <w:r>
        <w:rPr>
          <w:rFonts w:hint="eastAsia" w:cs="黑体" w:asciiTheme="minorEastAsia" w:hAnsiTheme="minorEastAsia"/>
          <w:sz w:val="24"/>
        </w:rPr>
        <w:t>6.1.4在谈判和评审过程中，谈判小组成员对需要共同认定的事项存在争议的，将按照少数服从多数的原则作出结论。持不同意见的谈判小组成员应当在评审报告上签署不同意见及理由，否则视为同意评审报告。</w:t>
      </w:r>
    </w:p>
    <w:p w14:paraId="08B58E3B">
      <w:pPr>
        <w:spacing w:line="360" w:lineRule="auto"/>
        <w:ind w:firstLine="482" w:firstLineChars="200"/>
        <w:rPr>
          <w:rFonts w:cs="黑体" w:asciiTheme="minorEastAsia" w:hAnsiTheme="minorEastAsia"/>
          <w:b/>
          <w:bCs/>
          <w:sz w:val="24"/>
        </w:rPr>
      </w:pPr>
      <w:r>
        <w:rPr>
          <w:rFonts w:hint="eastAsia" w:cs="黑体" w:asciiTheme="minorEastAsia" w:hAnsiTheme="minorEastAsia"/>
          <w:b/>
          <w:bCs/>
          <w:sz w:val="24"/>
        </w:rPr>
        <w:t>6.2初步评审</w:t>
      </w:r>
    </w:p>
    <w:p w14:paraId="4869B4CB">
      <w:pPr>
        <w:spacing w:line="360" w:lineRule="auto"/>
        <w:ind w:firstLine="480" w:firstLineChars="200"/>
        <w:rPr>
          <w:rFonts w:cs="黑体" w:asciiTheme="minorEastAsia" w:hAnsiTheme="minorEastAsia"/>
          <w:sz w:val="24"/>
        </w:rPr>
      </w:pPr>
      <w:r>
        <w:rPr>
          <w:rFonts w:hint="eastAsia" w:cs="黑体" w:asciiTheme="minorEastAsia" w:hAnsiTheme="minorEastAsia"/>
          <w:sz w:val="24"/>
        </w:rPr>
        <w:t>6.2.1谈判小组按照第三章“评审办法”规定的评审标准和程序对供应商提交的应答文件进行初步评审。初步评审主要对应答文件的形式、供应商的资格和应答文件的响应性进行审查,以判断应答文件的形式是否符合要求、供应商是否符合资格条件、应答文件是否实质性响应采购文件的要求。</w:t>
      </w:r>
    </w:p>
    <w:p w14:paraId="45A64BFC">
      <w:pPr>
        <w:spacing w:line="360" w:lineRule="auto"/>
        <w:ind w:firstLine="480" w:firstLineChars="200"/>
        <w:rPr>
          <w:rFonts w:cs="黑体" w:asciiTheme="minorEastAsia" w:hAnsiTheme="minorEastAsia"/>
          <w:sz w:val="24"/>
        </w:rPr>
      </w:pPr>
      <w:r>
        <w:rPr>
          <w:rFonts w:hint="eastAsia" w:cs="黑体" w:asciiTheme="minorEastAsia" w:hAnsiTheme="minorEastAsia"/>
          <w:sz w:val="24"/>
        </w:rPr>
        <w:t>6.2.2应答文件的形式或供应商资格不符合采购文件的要求、应答文件未实质性响应采购文件的要求，或应答文件中有含义不明确、同类问题表述不一致或有明显文字和计算错误的内容,谈判小组应要求供应商在规定时间内进行澄清、说明和补正。供应商澄清、说明和补正的内容应由法定代表人(单位负责人)或其授权的代理人签字或加盖公章。澄清、说明和补正的内容作为应答文件的组成部分。</w:t>
      </w:r>
    </w:p>
    <w:p w14:paraId="23C595B9">
      <w:pPr>
        <w:spacing w:line="360" w:lineRule="auto"/>
        <w:ind w:firstLine="480" w:firstLineChars="200"/>
        <w:rPr>
          <w:rFonts w:cs="黑体" w:asciiTheme="minorEastAsia" w:hAnsiTheme="minorEastAsia"/>
          <w:sz w:val="24"/>
        </w:rPr>
      </w:pPr>
      <w:r>
        <w:rPr>
          <w:rFonts w:hint="eastAsia" w:cs="黑体" w:asciiTheme="minorEastAsia" w:hAnsiTheme="minorEastAsia"/>
          <w:sz w:val="24"/>
        </w:rPr>
        <w:t>6.2.3只有形式评审和资格评审合格且实质性响应采购文件要求的供应商才可通过初步评审。经供应商澄清、说明和补正后仍未通过初步评审的应答文件将被视为无效，谈判小组应告知有关供应商。</w:t>
      </w:r>
    </w:p>
    <w:p w14:paraId="4E445528">
      <w:pPr>
        <w:spacing w:line="360" w:lineRule="auto"/>
        <w:ind w:firstLine="480" w:firstLineChars="200"/>
        <w:rPr>
          <w:rFonts w:cs="黑体" w:asciiTheme="minorEastAsia" w:hAnsiTheme="minorEastAsia"/>
          <w:sz w:val="24"/>
        </w:rPr>
      </w:pPr>
      <w:r>
        <w:rPr>
          <w:rFonts w:hint="eastAsia" w:cs="黑体" w:asciiTheme="minorEastAsia" w:hAnsiTheme="minorEastAsia"/>
          <w:sz w:val="24"/>
        </w:rPr>
        <w:t>6.2.4 初步评审的澄清仅作为资格评审的补充材料，不作为评分办法中的加分依据。</w:t>
      </w:r>
    </w:p>
    <w:p w14:paraId="25E7610D">
      <w:pPr>
        <w:spacing w:line="360" w:lineRule="auto"/>
        <w:ind w:firstLine="482" w:firstLineChars="200"/>
        <w:rPr>
          <w:rFonts w:cs="黑体" w:asciiTheme="minorEastAsia" w:hAnsiTheme="minorEastAsia"/>
          <w:b/>
          <w:bCs/>
          <w:sz w:val="24"/>
        </w:rPr>
      </w:pPr>
      <w:r>
        <w:rPr>
          <w:rFonts w:hint="eastAsia" w:cs="黑体" w:asciiTheme="minorEastAsia" w:hAnsiTheme="minorEastAsia"/>
          <w:b/>
          <w:bCs/>
          <w:sz w:val="24"/>
        </w:rPr>
        <w:t>6.3谈判</w:t>
      </w:r>
    </w:p>
    <w:p w14:paraId="12F0E029">
      <w:pPr>
        <w:spacing w:line="360" w:lineRule="auto"/>
        <w:ind w:firstLine="480" w:firstLineChars="200"/>
        <w:rPr>
          <w:rFonts w:cs="黑体" w:asciiTheme="minorEastAsia" w:hAnsiTheme="minorEastAsia"/>
          <w:sz w:val="24"/>
        </w:rPr>
      </w:pPr>
      <w:r>
        <w:rPr>
          <w:rFonts w:hint="eastAsia" w:cs="黑体" w:asciiTheme="minorEastAsia" w:hAnsiTheme="minorEastAsia"/>
          <w:sz w:val="24"/>
        </w:rPr>
        <w:t>6.3.1谈判小组应按照供应商须知前附表规定的谈判轮次及谈判顺序与通过初步评审的供应商逐一进行谈判。</w:t>
      </w:r>
    </w:p>
    <w:p w14:paraId="7F89CB17">
      <w:pPr>
        <w:spacing w:line="360" w:lineRule="auto"/>
        <w:ind w:firstLine="480" w:firstLineChars="200"/>
        <w:rPr>
          <w:rFonts w:cs="黑体" w:asciiTheme="minorEastAsia" w:hAnsiTheme="minorEastAsia"/>
          <w:sz w:val="24"/>
        </w:rPr>
      </w:pPr>
      <w:r>
        <w:rPr>
          <w:rFonts w:hint="eastAsia" w:cs="黑体" w:asciiTheme="minorEastAsia" w:hAnsiTheme="minorEastAsia"/>
          <w:sz w:val="24"/>
        </w:rPr>
        <w:t>6.3.2谈判小组所有成员应集中与单一供应商逐一进行谈判，并给予所有参加谈判的供应商平等的谈判机会。供应商的法定代表人(单位负责人)或其授权的代理人应参加谈判。供应商的法定代表人(单位负责人)或其授权的代理人在谈判中作出的承诺构成应答文件的组成部分。</w:t>
      </w:r>
    </w:p>
    <w:p w14:paraId="4119CE65">
      <w:pPr>
        <w:spacing w:line="360" w:lineRule="auto"/>
        <w:ind w:firstLine="480" w:firstLineChars="200"/>
        <w:rPr>
          <w:rFonts w:ascii="宋体" w:hAnsi="宋体" w:cs="宋体"/>
          <w:kern w:val="0"/>
          <w:sz w:val="24"/>
        </w:rPr>
      </w:pPr>
      <w:r>
        <w:rPr>
          <w:rFonts w:hint="eastAsia" w:cs="黑体" w:asciiTheme="minorEastAsia" w:hAnsiTheme="minorEastAsia"/>
          <w:sz w:val="24"/>
        </w:rPr>
        <w:t>6.3.3</w:t>
      </w:r>
      <w:r>
        <w:rPr>
          <w:rFonts w:hint="eastAsia" w:ascii="宋体" w:hAnsi="宋体" w:cs="宋体"/>
          <w:kern w:val="0"/>
          <w:sz w:val="24"/>
        </w:rPr>
        <w:t>参加谈判的供应商应仔细阅读采购文件的所有内容，按照采购文件的要求提供应答文件，并保证所提供的全部资料的真实性和有效性，发现有虚假行为的，将取消其参加谈判或成交资格，并承担相应的法律责任。</w:t>
      </w:r>
    </w:p>
    <w:p w14:paraId="39121059">
      <w:pPr>
        <w:spacing w:line="360" w:lineRule="auto"/>
        <w:ind w:firstLine="480" w:firstLineChars="200"/>
        <w:rPr>
          <w:rFonts w:ascii="宋体" w:hAnsi="宋体" w:cs="宋体"/>
          <w:kern w:val="0"/>
          <w:sz w:val="24"/>
        </w:rPr>
      </w:pPr>
      <w:r>
        <w:rPr>
          <w:rFonts w:hint="eastAsia" w:ascii="宋体" w:hAnsi="宋体" w:cs="宋体"/>
          <w:kern w:val="0"/>
          <w:sz w:val="24"/>
        </w:rPr>
        <w:t>6.3.4供应商不得相互串通，不得与采购单位串通，如发现有此行为的，将取消其谈判或成交资格，并按有关规定进行处罚。</w:t>
      </w:r>
    </w:p>
    <w:p w14:paraId="546AF03D">
      <w:pPr>
        <w:spacing w:line="360" w:lineRule="auto"/>
        <w:ind w:firstLine="482" w:firstLineChars="200"/>
        <w:rPr>
          <w:rFonts w:cs="黑体" w:asciiTheme="minorEastAsia" w:hAnsiTheme="minorEastAsia"/>
          <w:b/>
          <w:bCs/>
          <w:sz w:val="24"/>
        </w:rPr>
      </w:pPr>
      <w:r>
        <w:rPr>
          <w:rFonts w:hint="eastAsia" w:cs="黑体" w:asciiTheme="minorEastAsia" w:hAnsiTheme="minorEastAsia"/>
          <w:b/>
          <w:bCs/>
          <w:sz w:val="24"/>
        </w:rPr>
        <w:t>6.4提交补充应答文件</w:t>
      </w:r>
    </w:p>
    <w:p w14:paraId="095E401D">
      <w:pPr>
        <w:spacing w:line="360" w:lineRule="auto"/>
        <w:ind w:firstLine="480" w:firstLineChars="200"/>
        <w:rPr>
          <w:rFonts w:cs="黑体" w:asciiTheme="minorEastAsia" w:hAnsiTheme="minorEastAsia"/>
          <w:sz w:val="24"/>
        </w:rPr>
      </w:pPr>
      <w:r>
        <w:rPr>
          <w:rFonts w:hint="eastAsia" w:cs="黑体" w:asciiTheme="minorEastAsia" w:hAnsiTheme="minorEastAsia"/>
          <w:sz w:val="24"/>
        </w:rPr>
        <w:t>6.4.1在谈判过程中，谈判小组可根据谈判情况修改和补充采购文件中采购需求部分的技术、服务要求以及合同草案条款等内容，但不得实质性改变评审标准或改变可能影响初步评审结果的内容。修改和补充采购文件的，谈判小组应以书面形式将修改和补充的内容通知所有参加谈判的供应商。修改和补充的内容构成采购文件的组成部分。</w:t>
      </w:r>
    </w:p>
    <w:p w14:paraId="7D82B91F">
      <w:pPr>
        <w:spacing w:line="360" w:lineRule="auto"/>
        <w:ind w:firstLine="480" w:firstLineChars="200"/>
        <w:rPr>
          <w:rFonts w:cs="黑体" w:asciiTheme="minorEastAsia" w:hAnsiTheme="minorEastAsia"/>
          <w:sz w:val="24"/>
        </w:rPr>
      </w:pPr>
      <w:r>
        <w:rPr>
          <w:rFonts w:hint="eastAsia" w:cs="黑体" w:asciiTheme="minorEastAsia" w:hAnsiTheme="minorEastAsia"/>
          <w:sz w:val="24"/>
        </w:rPr>
        <w:t>6.4.2谈判小组修改和补充采购文件后，应要求供应商修改和补充应答文件。供应商应按照采购文件修改和补充的内容及要求相应地对已经提交的应答文件进行修改和补充(即补充应答文件)。补充应答文件应对采购文件修改和补充的内容做出实质性的响应。补充应答文件应由供应商的法定代表人(单位负责人)或其授权的代理人签字或加盖公章。补充应答文件与首次提交的应答文件共同构成供应商应答文件的组成部分。补充应答文件内容与首次提交的应答文件内容不一致的，以补充应答文件内容为准。</w:t>
      </w:r>
    </w:p>
    <w:p w14:paraId="7C0A1789">
      <w:pPr>
        <w:spacing w:line="360" w:lineRule="auto"/>
        <w:ind w:firstLine="480" w:firstLineChars="200"/>
        <w:rPr>
          <w:rFonts w:cs="黑体" w:asciiTheme="minorEastAsia" w:hAnsiTheme="minorEastAsia"/>
          <w:sz w:val="24"/>
        </w:rPr>
      </w:pPr>
      <w:r>
        <w:rPr>
          <w:rFonts w:hint="eastAsia" w:cs="黑体" w:asciiTheme="minorEastAsia" w:hAnsiTheme="minorEastAsia"/>
          <w:sz w:val="24"/>
        </w:rPr>
        <w:t>6.4.3谈判小组审查供应商补充应答文件，对其响应性进行评审。补充应答文件实质性响应采购文件及其修改和补充内容的，谈判小组应要求供应商在规定时间内提交最终报价；补充应答文件未能实质性响应采购文件及其修改和补充内容的，该应答文件将被视为无效，谈判小组应取消供应商的谈判资格。</w:t>
      </w:r>
    </w:p>
    <w:p w14:paraId="633A4C33">
      <w:pPr>
        <w:spacing w:line="360" w:lineRule="auto"/>
        <w:ind w:firstLine="482" w:firstLineChars="200"/>
        <w:rPr>
          <w:rFonts w:cs="黑体" w:asciiTheme="minorEastAsia" w:hAnsiTheme="minorEastAsia"/>
          <w:b/>
          <w:bCs/>
          <w:sz w:val="24"/>
        </w:rPr>
      </w:pPr>
      <w:r>
        <w:rPr>
          <w:rFonts w:hint="eastAsia" w:cs="黑体" w:asciiTheme="minorEastAsia" w:hAnsiTheme="minorEastAsia"/>
          <w:b/>
          <w:bCs/>
          <w:sz w:val="24"/>
        </w:rPr>
        <w:t>6.5提交最终报价</w:t>
      </w:r>
    </w:p>
    <w:p w14:paraId="1CF6CA9E">
      <w:pPr>
        <w:spacing w:line="360" w:lineRule="auto"/>
        <w:ind w:firstLine="480" w:firstLineChars="200"/>
        <w:rPr>
          <w:rFonts w:cs="黑体" w:asciiTheme="minorEastAsia" w:hAnsiTheme="minorEastAsia"/>
          <w:sz w:val="24"/>
        </w:rPr>
      </w:pPr>
      <w:r>
        <w:rPr>
          <w:rFonts w:hint="eastAsia" w:cs="黑体" w:asciiTheme="minorEastAsia" w:hAnsiTheme="minorEastAsia"/>
          <w:sz w:val="24"/>
        </w:rPr>
        <w:t>谈判小组在谈判中未修改或补充采购文件的，谈判结束后，谈判小组将要求所有参加谈判的供应商在规定时间内提交最终报价；谈判小组修改和补充了采购文件的，谈判小组应要求按照本章第6.4款规定提交了实质性响应的补充应答文件的供应商在规定时间内提交最终报价。最终报价应由供应商的法定代表人(单位负责人)或其授权的代理人签字或加盖公章。最终报价是供应商应答文件的组成部分。</w:t>
      </w:r>
    </w:p>
    <w:p w14:paraId="18B89DE5">
      <w:pPr>
        <w:spacing w:line="360" w:lineRule="auto"/>
        <w:ind w:firstLine="482" w:firstLineChars="200"/>
        <w:rPr>
          <w:rFonts w:cs="黑体" w:asciiTheme="minorEastAsia" w:hAnsiTheme="minorEastAsia"/>
          <w:b/>
          <w:bCs/>
          <w:sz w:val="24"/>
        </w:rPr>
      </w:pPr>
      <w:r>
        <w:rPr>
          <w:rFonts w:hint="eastAsia" w:cs="黑体" w:asciiTheme="minorEastAsia" w:hAnsiTheme="minorEastAsia"/>
          <w:b/>
          <w:bCs/>
          <w:sz w:val="24"/>
        </w:rPr>
        <w:t>6.6公开开启最终报价</w:t>
      </w:r>
    </w:p>
    <w:p w14:paraId="12EC517A">
      <w:pPr>
        <w:spacing w:line="360" w:lineRule="auto"/>
        <w:ind w:firstLine="480" w:firstLineChars="200"/>
        <w:rPr>
          <w:rFonts w:cs="黑体" w:asciiTheme="minorEastAsia" w:hAnsiTheme="minorEastAsia"/>
          <w:sz w:val="24"/>
        </w:rPr>
      </w:pPr>
      <w:r>
        <w:rPr>
          <w:rFonts w:hint="eastAsia" w:cs="黑体" w:asciiTheme="minorEastAsia" w:hAnsiTheme="minorEastAsia"/>
          <w:sz w:val="24"/>
        </w:rPr>
        <w:t>供应商须知前附表规定公开开启最终报价的，采购单位将在供应商提交最终报价的截止时间，公开开启并公布所有供应商的最终报价。</w:t>
      </w:r>
    </w:p>
    <w:p w14:paraId="652A50C6">
      <w:pPr>
        <w:spacing w:line="360" w:lineRule="auto"/>
        <w:ind w:firstLine="482" w:firstLineChars="200"/>
        <w:rPr>
          <w:rFonts w:cs="黑体" w:asciiTheme="minorEastAsia" w:hAnsiTheme="minorEastAsia"/>
          <w:b/>
          <w:bCs/>
          <w:sz w:val="24"/>
        </w:rPr>
      </w:pPr>
      <w:r>
        <w:rPr>
          <w:rFonts w:hint="eastAsia" w:cs="黑体" w:asciiTheme="minorEastAsia" w:hAnsiTheme="minorEastAsia"/>
          <w:b/>
          <w:bCs/>
          <w:sz w:val="24"/>
        </w:rPr>
        <w:t>6.7详细评审及推荐候选成交供应商</w:t>
      </w:r>
    </w:p>
    <w:p w14:paraId="3D28A6D1">
      <w:pPr>
        <w:spacing w:line="360" w:lineRule="auto"/>
        <w:ind w:firstLine="480" w:firstLineChars="200"/>
        <w:rPr>
          <w:rFonts w:cs="黑体" w:asciiTheme="minorEastAsia" w:hAnsiTheme="minorEastAsia"/>
          <w:sz w:val="24"/>
        </w:rPr>
      </w:pPr>
      <w:r>
        <w:rPr>
          <w:rFonts w:hint="eastAsia" w:cs="黑体" w:asciiTheme="minorEastAsia" w:hAnsiTheme="minorEastAsia"/>
          <w:sz w:val="24"/>
        </w:rPr>
        <w:t>6.7.1谈判小组按照第三章“评审办法”规定的方法、评审因素、标准和程序对应答文件进行详细评审。第三章“评审办法”没有规定的方法、评审因素和标准，不作为评审依据。</w:t>
      </w:r>
    </w:p>
    <w:p w14:paraId="4EA5CB89">
      <w:pPr>
        <w:spacing w:line="360" w:lineRule="auto"/>
        <w:ind w:firstLine="480" w:firstLineChars="200"/>
        <w:rPr>
          <w:rFonts w:cs="黑体" w:asciiTheme="minorEastAsia" w:hAnsiTheme="minorEastAsia"/>
          <w:sz w:val="24"/>
        </w:rPr>
      </w:pPr>
      <w:r>
        <w:rPr>
          <w:rFonts w:hint="eastAsia" w:cs="黑体" w:asciiTheme="minorEastAsia" w:hAnsiTheme="minorEastAsia"/>
          <w:sz w:val="24"/>
        </w:rPr>
        <w:t>6.7.2评审完成后，谈判小组应当向采购单位提交书面评审报告和候选成交供应商名单。谈判小组推荐候选成交供应商的数量见供应商须知前附表。</w:t>
      </w:r>
    </w:p>
    <w:p w14:paraId="57C0CC56">
      <w:pPr>
        <w:spacing w:line="360" w:lineRule="auto"/>
        <w:ind w:firstLine="480" w:firstLineChars="200"/>
        <w:rPr>
          <w:rFonts w:cs="黑体" w:asciiTheme="minorEastAsia" w:hAnsiTheme="minorEastAsia"/>
          <w:sz w:val="24"/>
        </w:rPr>
      </w:pPr>
      <w:r>
        <w:rPr>
          <w:rFonts w:hint="eastAsia" w:cs="黑体" w:asciiTheme="minorEastAsia" w:hAnsiTheme="minorEastAsia"/>
          <w:sz w:val="24"/>
        </w:rPr>
        <w:t>6.7.3所有供应商最终报价均明显偏离市场价格的,谈判小组可拒绝所有应答，重新进行谈判或经审批后转为其他方式采购。也可在采购文件已事先约定的情况下，只拒绝明显偏离市场价的部分物项。</w:t>
      </w:r>
    </w:p>
    <w:p w14:paraId="0C30B65A">
      <w:pPr>
        <w:spacing w:line="360" w:lineRule="auto"/>
        <w:ind w:firstLine="482" w:firstLineChars="200"/>
        <w:rPr>
          <w:rFonts w:cs="黑体" w:asciiTheme="minorEastAsia" w:hAnsiTheme="minorEastAsia"/>
          <w:b/>
          <w:bCs/>
          <w:sz w:val="24"/>
        </w:rPr>
      </w:pPr>
      <w:r>
        <w:rPr>
          <w:rFonts w:hint="eastAsia" w:cs="黑体" w:asciiTheme="minorEastAsia" w:hAnsiTheme="minorEastAsia"/>
          <w:b/>
          <w:bCs/>
          <w:sz w:val="24"/>
        </w:rPr>
        <w:t>6.8 特殊情形处理</w:t>
      </w:r>
    </w:p>
    <w:p w14:paraId="7E15743B">
      <w:pPr>
        <w:spacing w:line="360" w:lineRule="auto"/>
        <w:ind w:firstLine="480" w:firstLineChars="200"/>
        <w:rPr>
          <w:rFonts w:cs="黑体" w:asciiTheme="minorEastAsia" w:hAnsiTheme="minorEastAsia"/>
          <w:sz w:val="24"/>
        </w:rPr>
      </w:pPr>
      <w:r>
        <w:rPr>
          <w:rFonts w:hint="eastAsia" w:cs="黑体" w:asciiTheme="minorEastAsia" w:hAnsiTheme="minorEastAsia"/>
          <w:sz w:val="24"/>
        </w:rPr>
        <w:t>6.8.1 通过初步评审的供应商或提交最终报价的供应商数量与采购文件规定的成交供应商数量相等时，谈判小组可根据不同的情况决定继续或终止谈判活动；通过初步评审的供应商或提交最终报价的供应商数量少于采购文件规定的成交供应商数量的，采购单位将终止谈判活动。</w:t>
      </w:r>
    </w:p>
    <w:p w14:paraId="072F8F1C">
      <w:pPr>
        <w:tabs>
          <w:tab w:val="left" w:pos="7665"/>
        </w:tabs>
        <w:spacing w:line="440" w:lineRule="exact"/>
        <w:ind w:firstLine="480" w:firstLineChars="200"/>
        <w:rPr>
          <w:rFonts w:ascii="宋体" w:hAnsi="宋体"/>
          <w:sz w:val="24"/>
        </w:rPr>
      </w:pPr>
      <w:r>
        <w:rPr>
          <w:rFonts w:hint="eastAsia" w:ascii="宋体" w:hAnsi="宋体"/>
          <w:sz w:val="24"/>
        </w:rPr>
        <w:t>6.8.2 谈判过程中，有下列情形之一的，采购单位将</w:t>
      </w:r>
      <w:r>
        <w:rPr>
          <w:rFonts w:ascii="宋体" w:hAnsi="宋体"/>
          <w:sz w:val="24"/>
        </w:rPr>
        <w:t>终止</w:t>
      </w:r>
      <w:r>
        <w:rPr>
          <w:rFonts w:hint="eastAsia" w:ascii="宋体" w:hAnsi="宋体"/>
          <w:sz w:val="24"/>
        </w:rPr>
        <w:t>谈判</w:t>
      </w:r>
      <w:r>
        <w:rPr>
          <w:rFonts w:ascii="宋体" w:hAnsi="宋体"/>
          <w:sz w:val="24"/>
        </w:rPr>
        <w:t>活</w:t>
      </w:r>
      <w:r>
        <w:rPr>
          <w:rFonts w:hint="eastAsia" w:ascii="宋体" w:hAnsi="宋体"/>
          <w:sz w:val="24"/>
        </w:rPr>
        <w:t>动：</w:t>
      </w:r>
    </w:p>
    <w:p w14:paraId="0F6ADFF4">
      <w:pPr>
        <w:tabs>
          <w:tab w:val="left" w:pos="7665"/>
        </w:tabs>
        <w:spacing w:line="440" w:lineRule="exact"/>
        <w:ind w:firstLine="480" w:firstLineChars="200"/>
        <w:rPr>
          <w:rFonts w:ascii="宋体" w:hAnsi="宋体"/>
          <w:sz w:val="24"/>
        </w:rPr>
      </w:pPr>
      <w:r>
        <w:rPr>
          <w:rFonts w:hint="eastAsia" w:ascii="宋体" w:hAnsi="宋体"/>
          <w:sz w:val="24"/>
        </w:rPr>
        <w:t>（一）经规定的谈判轮次及以上谈判结束，供应商应答文件均不能满足采购文件最低要求的；</w:t>
      </w:r>
    </w:p>
    <w:p w14:paraId="5A2A50A4">
      <w:pPr>
        <w:tabs>
          <w:tab w:val="left" w:pos="7665"/>
        </w:tabs>
        <w:spacing w:line="440" w:lineRule="exact"/>
        <w:ind w:firstLine="480" w:firstLineChars="200"/>
        <w:rPr>
          <w:rFonts w:ascii="宋体" w:hAnsi="宋体"/>
          <w:sz w:val="24"/>
        </w:rPr>
      </w:pPr>
      <w:r>
        <w:rPr>
          <w:rFonts w:hint="eastAsia" w:ascii="宋体" w:hAnsi="宋体"/>
          <w:sz w:val="24"/>
        </w:rPr>
        <w:t>（二）供应商最终报价均高于采购项目最高限价的；</w:t>
      </w:r>
    </w:p>
    <w:p w14:paraId="3D07447E">
      <w:pPr>
        <w:tabs>
          <w:tab w:val="left" w:pos="7665"/>
        </w:tabs>
        <w:spacing w:line="440" w:lineRule="exact"/>
        <w:ind w:firstLine="480" w:firstLineChars="200"/>
        <w:rPr>
          <w:rFonts w:ascii="宋体" w:hAnsi="宋体"/>
          <w:sz w:val="24"/>
        </w:rPr>
      </w:pPr>
      <w:r>
        <w:rPr>
          <w:rFonts w:hint="eastAsia" w:ascii="宋体" w:hAnsi="宋体"/>
          <w:sz w:val="24"/>
        </w:rPr>
        <w:t>（三）供应商最终报价均高于审批后采购预算金额的；</w:t>
      </w:r>
    </w:p>
    <w:p w14:paraId="36A520D7">
      <w:pPr>
        <w:tabs>
          <w:tab w:val="left" w:pos="7665"/>
        </w:tabs>
        <w:spacing w:line="440" w:lineRule="exact"/>
        <w:ind w:firstLine="480" w:firstLineChars="200"/>
        <w:rPr>
          <w:rFonts w:ascii="宋体" w:hAnsi="宋体"/>
          <w:sz w:val="24"/>
        </w:rPr>
      </w:pPr>
      <w:r>
        <w:rPr>
          <w:rFonts w:hint="eastAsia" w:ascii="宋体" w:hAnsi="宋体"/>
          <w:sz w:val="24"/>
        </w:rPr>
        <w:t>（四）</w:t>
      </w:r>
      <w:r>
        <w:rPr>
          <w:rFonts w:hint="eastAsia" w:cs="黑体" w:asciiTheme="minorEastAsia" w:hAnsiTheme="minorEastAsia"/>
          <w:sz w:val="24"/>
        </w:rPr>
        <w:t>出现影响采购公正的违法、违规行为的</w:t>
      </w:r>
      <w:r>
        <w:rPr>
          <w:rFonts w:hint="eastAsia" w:ascii="宋体" w:hAnsi="宋体"/>
          <w:sz w:val="24"/>
        </w:rPr>
        <w:t>；</w:t>
      </w:r>
    </w:p>
    <w:p w14:paraId="2C0C6B77">
      <w:pPr>
        <w:tabs>
          <w:tab w:val="left" w:pos="7665"/>
        </w:tabs>
        <w:spacing w:line="440" w:lineRule="exact"/>
        <w:ind w:firstLine="480" w:firstLineChars="200"/>
        <w:rPr>
          <w:rFonts w:ascii="宋体" w:hAnsi="宋体"/>
          <w:sz w:val="24"/>
        </w:rPr>
      </w:pPr>
      <w:r>
        <w:rPr>
          <w:rFonts w:hint="eastAsia" w:ascii="宋体" w:hAnsi="宋体"/>
          <w:sz w:val="24"/>
        </w:rPr>
        <w:t xml:space="preserve">（五）采购任务经批准取消的; </w:t>
      </w:r>
    </w:p>
    <w:p w14:paraId="5216FD79">
      <w:pPr>
        <w:tabs>
          <w:tab w:val="left" w:pos="7665"/>
        </w:tabs>
        <w:spacing w:line="440" w:lineRule="exact"/>
        <w:ind w:firstLine="480" w:firstLineChars="200"/>
        <w:rPr>
          <w:rFonts w:ascii="宋体" w:hAnsi="宋体"/>
          <w:sz w:val="24"/>
        </w:rPr>
      </w:pPr>
      <w:r>
        <w:rPr>
          <w:rFonts w:hint="eastAsia" w:ascii="宋体" w:hAnsi="宋体"/>
          <w:sz w:val="24"/>
        </w:rPr>
        <w:t>（六）谈判采购文件发售时间截止后，购买采购文件的潜在供应商少于2个或因已领购采购文件的潜在供应商声明放弃谈判而使潜在供应商少于2个的。</w:t>
      </w:r>
    </w:p>
    <w:p w14:paraId="1FBBBB56">
      <w:pPr>
        <w:tabs>
          <w:tab w:val="left" w:pos="7665"/>
        </w:tabs>
        <w:spacing w:line="440" w:lineRule="exact"/>
        <w:ind w:firstLine="480" w:firstLineChars="200"/>
        <w:rPr>
          <w:rFonts w:ascii="宋体" w:hAnsi="宋体"/>
          <w:sz w:val="24"/>
        </w:rPr>
      </w:pPr>
      <w:r>
        <w:rPr>
          <w:rFonts w:hint="eastAsia" w:ascii="宋体" w:hAnsi="宋体"/>
          <w:sz w:val="24"/>
        </w:rPr>
        <w:t>（七）所有供应商的最终报价均明显低于成本且不能合理解释的；</w:t>
      </w:r>
    </w:p>
    <w:p w14:paraId="139239AD">
      <w:pPr>
        <w:tabs>
          <w:tab w:val="left" w:pos="7665"/>
        </w:tabs>
        <w:spacing w:line="440" w:lineRule="exact"/>
        <w:ind w:firstLine="480" w:firstLineChars="200"/>
        <w:rPr>
          <w:rFonts w:ascii="宋体" w:hAnsi="宋体"/>
          <w:sz w:val="24"/>
        </w:rPr>
      </w:pPr>
      <w:r>
        <w:rPr>
          <w:rFonts w:hint="eastAsia" w:ascii="宋体" w:hAnsi="宋体"/>
          <w:sz w:val="24"/>
        </w:rPr>
        <w:t>（八）谈判文件明确选择1个成交供应商，但是通过资格性、符合性审查的候选供应商数量少于 2个的；选择多个成交供应商，但是通过资格性、符合性审查的候选供应商数量少于成交供应商数量的;</w:t>
      </w:r>
    </w:p>
    <w:p w14:paraId="4353061D">
      <w:pPr>
        <w:tabs>
          <w:tab w:val="left" w:pos="7665"/>
        </w:tabs>
        <w:spacing w:line="440" w:lineRule="exact"/>
        <w:ind w:firstLine="480" w:firstLineChars="200"/>
        <w:rPr>
          <w:rFonts w:ascii="宋体" w:hAnsi="宋体"/>
          <w:sz w:val="24"/>
        </w:rPr>
      </w:pPr>
      <w:r>
        <w:rPr>
          <w:rFonts w:hint="eastAsia" w:ascii="宋体" w:hAnsi="宋体"/>
          <w:sz w:val="24"/>
        </w:rPr>
        <w:t>（九）其他无法继续开展谈判或者无法成交的情形。</w:t>
      </w:r>
    </w:p>
    <w:p w14:paraId="53038895">
      <w:pPr>
        <w:tabs>
          <w:tab w:val="left" w:pos="7665"/>
        </w:tabs>
        <w:spacing w:line="440" w:lineRule="exact"/>
        <w:ind w:firstLine="480" w:firstLineChars="200"/>
        <w:rPr>
          <w:rFonts w:ascii="宋体" w:hAnsi="宋体"/>
          <w:sz w:val="24"/>
        </w:rPr>
      </w:pPr>
      <w:r>
        <w:rPr>
          <w:rFonts w:hint="eastAsia" w:ascii="宋体" w:hAnsi="宋体"/>
          <w:sz w:val="24"/>
        </w:rPr>
        <w:t>谈判失败后，采购单位或采购代理机构应当将谈判失败结果通知所有供应商。</w:t>
      </w:r>
    </w:p>
    <w:p w14:paraId="4A6C6852">
      <w:pPr>
        <w:spacing w:line="360" w:lineRule="auto"/>
        <w:ind w:firstLine="482" w:firstLineChars="200"/>
        <w:rPr>
          <w:rFonts w:cs="黑体" w:asciiTheme="minorEastAsia" w:hAnsiTheme="minorEastAsia"/>
          <w:b/>
          <w:bCs/>
          <w:sz w:val="24"/>
        </w:rPr>
      </w:pPr>
      <w:r>
        <w:rPr>
          <w:rFonts w:hint="eastAsia" w:cs="黑体" w:asciiTheme="minorEastAsia" w:hAnsiTheme="minorEastAsia"/>
          <w:b/>
          <w:bCs/>
          <w:sz w:val="24"/>
        </w:rPr>
        <w:t>7.合同授予</w:t>
      </w:r>
    </w:p>
    <w:p w14:paraId="3BA9B39E">
      <w:pPr>
        <w:spacing w:line="360" w:lineRule="auto"/>
        <w:ind w:firstLine="482" w:firstLineChars="200"/>
        <w:rPr>
          <w:rFonts w:cs="黑体" w:asciiTheme="minorEastAsia" w:hAnsiTheme="minorEastAsia"/>
          <w:b/>
          <w:bCs/>
          <w:sz w:val="24"/>
        </w:rPr>
      </w:pPr>
      <w:r>
        <w:rPr>
          <w:rFonts w:hint="eastAsia" w:cs="黑体" w:asciiTheme="minorEastAsia" w:hAnsiTheme="minorEastAsia"/>
          <w:b/>
          <w:bCs/>
          <w:sz w:val="24"/>
        </w:rPr>
        <w:t>7.1候选成交供应商履约能力核查</w:t>
      </w:r>
    </w:p>
    <w:p w14:paraId="232E8E3C">
      <w:pPr>
        <w:tabs>
          <w:tab w:val="left" w:pos="6510"/>
        </w:tabs>
        <w:spacing w:line="360" w:lineRule="auto"/>
        <w:ind w:firstLine="480" w:firstLineChars="200"/>
        <w:rPr>
          <w:rFonts w:cs="黑体" w:asciiTheme="minorEastAsia" w:hAnsiTheme="minorEastAsia"/>
          <w:sz w:val="24"/>
        </w:rPr>
      </w:pPr>
      <w:r>
        <w:rPr>
          <w:rFonts w:hint="eastAsia" w:cs="黑体" w:asciiTheme="minorEastAsia" w:hAnsiTheme="minorEastAsia"/>
          <w:sz w:val="24"/>
        </w:rPr>
        <w:t>采购单位可对候选成交供应商的相关证明材料原件进行核验或组织现场考察，以确认候选成交供应商的生产经营、财务等实际状况与应答文件是否一致及是否存在其他可能影响供应商履约能力的情况。核查结果将作为采购单位选择确定预成交供应商的依据之一。</w:t>
      </w:r>
    </w:p>
    <w:p w14:paraId="242C2EE1">
      <w:pPr>
        <w:spacing w:line="360" w:lineRule="auto"/>
        <w:ind w:firstLine="482" w:firstLineChars="200"/>
        <w:rPr>
          <w:rFonts w:cs="黑体" w:asciiTheme="minorEastAsia" w:hAnsiTheme="minorEastAsia"/>
          <w:b/>
          <w:bCs/>
          <w:sz w:val="24"/>
        </w:rPr>
      </w:pPr>
      <w:r>
        <w:rPr>
          <w:rFonts w:hint="eastAsia" w:cs="黑体" w:asciiTheme="minorEastAsia" w:hAnsiTheme="minorEastAsia"/>
          <w:b/>
          <w:bCs/>
          <w:sz w:val="24"/>
        </w:rPr>
        <w:t>7.2确定预成交供应商</w:t>
      </w:r>
    </w:p>
    <w:p w14:paraId="3E474357">
      <w:pPr>
        <w:spacing w:line="360" w:lineRule="auto"/>
        <w:ind w:firstLine="480" w:firstLineChars="200"/>
        <w:rPr>
          <w:rFonts w:cs="黑体" w:asciiTheme="minorEastAsia" w:hAnsiTheme="minorEastAsia"/>
          <w:sz w:val="24"/>
        </w:rPr>
      </w:pPr>
      <w:r>
        <w:rPr>
          <w:rFonts w:hint="eastAsia" w:cs="黑体" w:asciiTheme="minorEastAsia" w:hAnsiTheme="minorEastAsia"/>
          <w:sz w:val="24"/>
        </w:rPr>
        <w:t>采购单位将根据评审报告及核查结果( 如有)，对候选成交供应商综合评估后从中选择确定预成交供应商。</w:t>
      </w:r>
    </w:p>
    <w:p w14:paraId="5E741205">
      <w:pPr>
        <w:spacing w:line="360" w:lineRule="auto"/>
        <w:ind w:firstLine="482" w:firstLineChars="200"/>
        <w:rPr>
          <w:rFonts w:cs="黑体" w:asciiTheme="minorEastAsia" w:hAnsiTheme="minorEastAsia"/>
          <w:b/>
          <w:bCs/>
          <w:sz w:val="24"/>
        </w:rPr>
      </w:pPr>
      <w:r>
        <w:rPr>
          <w:rFonts w:hint="eastAsia" w:cs="黑体" w:asciiTheme="minorEastAsia" w:hAnsiTheme="minorEastAsia"/>
          <w:b/>
          <w:bCs/>
          <w:sz w:val="24"/>
        </w:rPr>
        <w:t>7.3预成交结果公示</w:t>
      </w:r>
    </w:p>
    <w:p w14:paraId="3EFDE45C">
      <w:pPr>
        <w:spacing w:line="360" w:lineRule="auto"/>
        <w:ind w:firstLine="480" w:firstLineChars="200"/>
        <w:rPr>
          <w:rFonts w:cs="黑体" w:asciiTheme="minorEastAsia" w:hAnsiTheme="minorEastAsia"/>
          <w:sz w:val="24"/>
        </w:rPr>
      </w:pPr>
      <w:r>
        <w:rPr>
          <w:rFonts w:hint="eastAsia" w:cs="黑体" w:asciiTheme="minorEastAsia" w:hAnsiTheme="minorEastAsia"/>
          <w:sz w:val="24"/>
        </w:rPr>
        <w:t>预成交供应商选定后，采购单位将按照供应商须知前附表规定的公示媒介和公示期限进行公示，公示信息包括如下内容：</w:t>
      </w:r>
    </w:p>
    <w:p w14:paraId="07567F46">
      <w:pPr>
        <w:spacing w:line="360" w:lineRule="auto"/>
        <w:ind w:firstLine="480" w:firstLineChars="200"/>
        <w:rPr>
          <w:rFonts w:cs="黑体" w:asciiTheme="minorEastAsia" w:hAnsiTheme="minorEastAsia"/>
          <w:sz w:val="24"/>
        </w:rPr>
      </w:pPr>
      <w:r>
        <w:rPr>
          <w:rFonts w:hint="eastAsia" w:cs="黑体" w:asciiTheme="minorEastAsia" w:hAnsiTheme="minorEastAsia"/>
          <w:sz w:val="24"/>
        </w:rPr>
        <w:t>(1) 预成交及候选成交供应商名称；</w:t>
      </w:r>
    </w:p>
    <w:p w14:paraId="7671EE39">
      <w:pPr>
        <w:spacing w:line="360" w:lineRule="auto"/>
        <w:ind w:firstLine="480" w:firstLineChars="200"/>
        <w:rPr>
          <w:rFonts w:cs="黑体" w:asciiTheme="minorEastAsia" w:hAnsiTheme="minorEastAsia"/>
          <w:sz w:val="24"/>
        </w:rPr>
      </w:pPr>
      <w:r>
        <w:rPr>
          <w:rFonts w:hint="eastAsia" w:cs="黑体" w:asciiTheme="minorEastAsia" w:hAnsiTheme="minorEastAsia"/>
          <w:sz w:val="24"/>
        </w:rPr>
        <w:t>(</w:t>
      </w:r>
      <w:r>
        <w:rPr>
          <w:rFonts w:cs="黑体" w:asciiTheme="minorEastAsia" w:hAnsiTheme="minorEastAsia"/>
          <w:sz w:val="24"/>
        </w:rPr>
        <w:t>2</w:t>
      </w:r>
      <w:r>
        <w:rPr>
          <w:rFonts w:hint="eastAsia" w:cs="黑体" w:asciiTheme="minorEastAsia" w:hAnsiTheme="minorEastAsia"/>
          <w:sz w:val="24"/>
        </w:rPr>
        <w:t>)供应商须知前附表规定的其他内容。</w:t>
      </w:r>
    </w:p>
    <w:p w14:paraId="3207ABAC">
      <w:pPr>
        <w:spacing w:line="360" w:lineRule="auto"/>
        <w:ind w:firstLine="482" w:firstLineChars="200"/>
        <w:rPr>
          <w:rFonts w:cs="黑体" w:asciiTheme="minorEastAsia" w:hAnsiTheme="minorEastAsia"/>
          <w:b/>
          <w:bCs/>
          <w:sz w:val="24"/>
        </w:rPr>
      </w:pPr>
      <w:r>
        <w:rPr>
          <w:rFonts w:hint="eastAsia" w:cs="黑体" w:asciiTheme="minorEastAsia" w:hAnsiTheme="minorEastAsia"/>
          <w:b/>
          <w:bCs/>
          <w:sz w:val="24"/>
        </w:rPr>
        <w:t>7.4发出成交通知书</w:t>
      </w:r>
    </w:p>
    <w:p w14:paraId="6B7F8DE5">
      <w:pPr>
        <w:spacing w:line="360" w:lineRule="auto"/>
        <w:ind w:firstLine="480" w:firstLineChars="200"/>
        <w:rPr>
          <w:rFonts w:cs="黑体" w:asciiTheme="minorEastAsia" w:hAnsiTheme="minorEastAsia"/>
          <w:sz w:val="24"/>
        </w:rPr>
      </w:pPr>
      <w:r>
        <w:rPr>
          <w:rFonts w:hint="eastAsia" w:cs="黑体" w:asciiTheme="minorEastAsia" w:hAnsiTheme="minorEastAsia"/>
          <w:sz w:val="24"/>
        </w:rPr>
        <w:t>公示期结束后，在本章第3.3款规定的应答文件有效期内，采购单位以书面形式向预成交供应商发出成交通知书。</w:t>
      </w:r>
    </w:p>
    <w:p w14:paraId="5D4217B2">
      <w:pPr>
        <w:spacing w:line="360" w:lineRule="auto"/>
        <w:ind w:firstLine="482" w:firstLineChars="200"/>
        <w:rPr>
          <w:rFonts w:cs="黑体" w:asciiTheme="minorEastAsia" w:hAnsiTheme="minorEastAsia"/>
          <w:b/>
          <w:bCs/>
          <w:sz w:val="24"/>
        </w:rPr>
      </w:pPr>
      <w:r>
        <w:rPr>
          <w:rFonts w:hint="eastAsia" w:cs="黑体" w:asciiTheme="minorEastAsia" w:hAnsiTheme="minorEastAsia"/>
          <w:b/>
          <w:bCs/>
          <w:sz w:val="24"/>
        </w:rPr>
        <w:t>7.5发布成交公告</w:t>
      </w:r>
    </w:p>
    <w:p w14:paraId="70E60AC4">
      <w:pPr>
        <w:spacing w:line="360" w:lineRule="auto"/>
        <w:ind w:firstLine="480" w:firstLineChars="200"/>
        <w:rPr>
          <w:rFonts w:cs="黑体" w:asciiTheme="minorEastAsia" w:hAnsiTheme="minorEastAsia"/>
          <w:b/>
          <w:bCs/>
          <w:sz w:val="24"/>
        </w:rPr>
      </w:pPr>
      <w:r>
        <w:rPr>
          <w:rFonts w:hint="eastAsia" w:cs="黑体" w:asciiTheme="minorEastAsia" w:hAnsiTheme="minorEastAsia"/>
          <w:sz w:val="24"/>
        </w:rPr>
        <w:t>在发出成交通知书的同时，采购单位将按照供应商须知前附表的规定，发布成交公告或向所有未成交的供应商发出成交结果通知书，告知成交结果。</w:t>
      </w:r>
    </w:p>
    <w:p w14:paraId="280BC74B">
      <w:pPr>
        <w:spacing w:line="360" w:lineRule="auto"/>
        <w:ind w:firstLine="482" w:firstLineChars="200"/>
        <w:rPr>
          <w:rFonts w:cs="黑体" w:asciiTheme="minorEastAsia" w:hAnsiTheme="minorEastAsia"/>
          <w:b/>
          <w:bCs/>
          <w:sz w:val="24"/>
        </w:rPr>
      </w:pPr>
      <w:r>
        <w:rPr>
          <w:rFonts w:hint="eastAsia" w:cs="黑体" w:asciiTheme="minorEastAsia" w:hAnsiTheme="minorEastAsia"/>
          <w:b/>
          <w:bCs/>
          <w:sz w:val="24"/>
        </w:rPr>
        <w:t>7.6履约保证金</w:t>
      </w:r>
    </w:p>
    <w:p w14:paraId="57F9B172">
      <w:pPr>
        <w:spacing w:line="360" w:lineRule="auto"/>
        <w:ind w:firstLine="480" w:firstLineChars="200"/>
        <w:rPr>
          <w:rFonts w:cs="黑体" w:asciiTheme="minorEastAsia" w:hAnsiTheme="minorEastAsia"/>
          <w:sz w:val="24"/>
        </w:rPr>
      </w:pPr>
      <w:r>
        <w:rPr>
          <w:rFonts w:hint="eastAsia" w:cs="黑体" w:asciiTheme="minorEastAsia" w:hAnsiTheme="minorEastAsia"/>
          <w:sz w:val="24"/>
        </w:rPr>
        <w:t>供应商须知前附表规定提交履约保证金的，成交供应商应按供应商须知前附表规定的形式、有效期限和提交时间向采购单位提交履约保证金。</w:t>
      </w:r>
    </w:p>
    <w:p w14:paraId="7294343D">
      <w:pPr>
        <w:spacing w:line="360" w:lineRule="auto"/>
        <w:ind w:firstLine="482" w:firstLineChars="200"/>
        <w:rPr>
          <w:rFonts w:cs="黑体" w:asciiTheme="minorEastAsia" w:hAnsiTheme="minorEastAsia"/>
          <w:b/>
          <w:bCs/>
          <w:sz w:val="24"/>
        </w:rPr>
      </w:pPr>
      <w:r>
        <w:rPr>
          <w:rFonts w:hint="eastAsia" w:cs="黑体" w:asciiTheme="minorEastAsia" w:hAnsiTheme="minorEastAsia"/>
          <w:b/>
          <w:bCs/>
          <w:sz w:val="24"/>
        </w:rPr>
        <w:t>7.7签订合同</w:t>
      </w:r>
    </w:p>
    <w:p w14:paraId="320DD7A1">
      <w:pPr>
        <w:spacing w:line="360" w:lineRule="auto"/>
        <w:ind w:firstLine="480" w:firstLineChars="200"/>
        <w:rPr>
          <w:rFonts w:cs="黑体" w:asciiTheme="minorEastAsia" w:hAnsiTheme="minorEastAsia"/>
          <w:sz w:val="24"/>
        </w:rPr>
      </w:pPr>
      <w:r>
        <w:rPr>
          <w:rFonts w:hint="eastAsia" w:cs="黑体" w:asciiTheme="minorEastAsia" w:hAnsiTheme="minorEastAsia"/>
          <w:sz w:val="24"/>
        </w:rPr>
        <w:t>7.7.1采购单位和成交供应商应当在成交通知书规定的期限内,根据采购文件和成交供应商的应答文件订立书面合同。成交供应商无正当理由拒绝签订合同，在签订合同时向采购单位提出附加条件，或者不按照采购文件要求提交履约保证金的，采购单位取消其成交资格，其应答保证金不予退还；给采购单位造成的损失超过应答保证金数额的，成交供应商还应当对超过部分予以赔偿。</w:t>
      </w:r>
    </w:p>
    <w:p w14:paraId="329CE07F">
      <w:pPr>
        <w:spacing w:line="360" w:lineRule="auto"/>
        <w:ind w:firstLine="480" w:firstLineChars="200"/>
        <w:rPr>
          <w:rFonts w:cs="黑体" w:asciiTheme="minorEastAsia" w:hAnsiTheme="minorEastAsia"/>
          <w:sz w:val="24"/>
        </w:rPr>
      </w:pPr>
      <w:r>
        <w:rPr>
          <w:rFonts w:hint="eastAsia" w:cs="黑体" w:asciiTheme="minorEastAsia" w:hAnsiTheme="minorEastAsia"/>
          <w:sz w:val="24"/>
        </w:rPr>
        <w:t>7.7.2发出成交通知书后，采购单位无正当理由拒绝签订合同，或者在签订合同时向成交供应商提出附加条件的，采购单位向成交供应商退还应答保证金；给成交供应商造成损失的，还应当赔偿损失。</w:t>
      </w:r>
    </w:p>
    <w:p w14:paraId="2ADD1571">
      <w:pPr>
        <w:spacing w:line="360" w:lineRule="auto"/>
        <w:ind w:firstLine="480" w:firstLineChars="200"/>
        <w:rPr>
          <w:rFonts w:cs="黑体" w:asciiTheme="minorEastAsia" w:hAnsiTheme="minorEastAsia"/>
          <w:sz w:val="24"/>
        </w:rPr>
      </w:pPr>
      <w:r>
        <w:rPr>
          <w:rFonts w:hint="eastAsia" w:cs="黑体" w:asciiTheme="minorEastAsia" w:hAnsiTheme="minorEastAsia"/>
          <w:sz w:val="24"/>
        </w:rPr>
        <w:t>7.7.3联合体成交的，联合体各方应当共同与采购单位签订合同，就成交项目向采购单位承担连带责任。</w:t>
      </w:r>
    </w:p>
    <w:p w14:paraId="0394D9A5">
      <w:pPr>
        <w:spacing w:line="360" w:lineRule="auto"/>
        <w:ind w:firstLine="482" w:firstLineChars="200"/>
        <w:rPr>
          <w:rFonts w:cs="黑体" w:asciiTheme="minorEastAsia" w:hAnsiTheme="minorEastAsia"/>
          <w:b/>
          <w:bCs/>
          <w:sz w:val="24"/>
        </w:rPr>
      </w:pPr>
      <w:r>
        <w:rPr>
          <w:rFonts w:hint="eastAsia" w:cs="黑体" w:asciiTheme="minorEastAsia" w:hAnsiTheme="minorEastAsia"/>
          <w:b/>
          <w:bCs/>
          <w:sz w:val="24"/>
        </w:rPr>
        <w:t>7.8特殊情形处理</w:t>
      </w:r>
    </w:p>
    <w:p w14:paraId="20BA2F82">
      <w:pPr>
        <w:spacing w:line="360" w:lineRule="auto"/>
        <w:ind w:firstLine="480" w:firstLineChars="200"/>
        <w:rPr>
          <w:rFonts w:cs="黑体" w:asciiTheme="minorEastAsia" w:hAnsiTheme="minorEastAsia"/>
          <w:sz w:val="24"/>
        </w:rPr>
      </w:pPr>
      <w:r>
        <w:rPr>
          <w:rFonts w:hint="eastAsia" w:cs="黑体" w:asciiTheme="minorEastAsia" w:hAnsiTheme="minorEastAsia"/>
          <w:sz w:val="24"/>
        </w:rPr>
        <w:t>（1）因供应商对预成交结果提出异议、成交供应商无正当理由拒绝签订合同、成交供应商在签订合同时向采购单位提出附加条件或者不按照采购文件要求提交履约保证金等导致采购单位变更成交结果的，采购单位可以按照谈判小组提出的成交候选人名单排序依次确定其他成交候选供应</w:t>
      </w:r>
      <w:r>
        <w:rPr>
          <w:rFonts w:cs="黑体" w:asciiTheme="minorEastAsia" w:hAnsiTheme="minorEastAsia"/>
          <w:sz w:val="24"/>
        </w:rPr>
        <w:t>商</w:t>
      </w:r>
      <w:r>
        <w:rPr>
          <w:rFonts w:hint="eastAsia" w:cs="黑体" w:asciiTheme="minorEastAsia" w:hAnsiTheme="minorEastAsia"/>
          <w:sz w:val="24"/>
        </w:rPr>
        <w:t>签订采购合同，或重新组织采购。</w:t>
      </w:r>
    </w:p>
    <w:p w14:paraId="62410133">
      <w:pPr>
        <w:spacing w:line="360" w:lineRule="auto"/>
        <w:ind w:firstLine="480" w:firstLineChars="200"/>
        <w:rPr>
          <w:rFonts w:cs="黑体" w:asciiTheme="minorEastAsia" w:hAnsiTheme="minorEastAsia"/>
          <w:sz w:val="24"/>
        </w:rPr>
      </w:pPr>
      <w:r>
        <w:rPr>
          <w:rFonts w:hint="eastAsia" w:cs="黑体" w:asciiTheme="minorEastAsia" w:hAnsiTheme="minorEastAsia"/>
          <w:sz w:val="24"/>
        </w:rPr>
        <w:t>（2）本采购项目以相关部门的最终审批为准，如果因此而导致采购条件的变更，包括但不限于，技术规范、供货范围、合同（协议）、服务期和报价，采购单位与供应商将就上述商务和技术相关问题另行协商。如果双方经协商不能达成一致，采购单位有权拒绝所有响应，采购单位不承担由于采购终止而产生的任何责任。</w:t>
      </w:r>
    </w:p>
    <w:p w14:paraId="0D7635F7">
      <w:pPr>
        <w:spacing w:line="360" w:lineRule="auto"/>
        <w:ind w:firstLine="482" w:firstLineChars="200"/>
        <w:rPr>
          <w:rFonts w:cs="黑体" w:asciiTheme="minorEastAsia" w:hAnsiTheme="minorEastAsia"/>
          <w:b/>
          <w:bCs/>
          <w:sz w:val="24"/>
        </w:rPr>
      </w:pPr>
      <w:r>
        <w:rPr>
          <w:rFonts w:hint="eastAsia" w:cs="黑体" w:asciiTheme="minorEastAsia" w:hAnsiTheme="minorEastAsia"/>
          <w:b/>
          <w:bCs/>
          <w:sz w:val="24"/>
        </w:rPr>
        <w:t>8.异议</w:t>
      </w:r>
    </w:p>
    <w:p w14:paraId="4450EE01">
      <w:pPr>
        <w:spacing w:line="360" w:lineRule="auto"/>
        <w:ind w:firstLine="482" w:firstLineChars="200"/>
        <w:rPr>
          <w:rFonts w:cs="黑体" w:asciiTheme="minorEastAsia" w:hAnsiTheme="minorEastAsia"/>
          <w:b/>
          <w:bCs/>
          <w:sz w:val="24"/>
        </w:rPr>
      </w:pPr>
      <w:r>
        <w:rPr>
          <w:rFonts w:hint="eastAsia" w:cs="黑体" w:asciiTheme="minorEastAsia" w:hAnsiTheme="minorEastAsia"/>
          <w:b/>
          <w:bCs/>
          <w:sz w:val="24"/>
        </w:rPr>
        <w:t>8.1提出异议</w:t>
      </w:r>
    </w:p>
    <w:p w14:paraId="23097BAA">
      <w:pPr>
        <w:spacing w:line="360" w:lineRule="auto"/>
        <w:ind w:firstLine="480" w:firstLineChars="200"/>
        <w:rPr>
          <w:rFonts w:cs="黑体" w:asciiTheme="minorEastAsia" w:hAnsiTheme="minorEastAsia"/>
          <w:sz w:val="24"/>
        </w:rPr>
      </w:pPr>
      <w:r>
        <w:rPr>
          <w:rFonts w:hint="eastAsia" w:cs="黑体" w:asciiTheme="minorEastAsia" w:hAnsiTheme="minorEastAsia"/>
          <w:sz w:val="24"/>
        </w:rPr>
        <w:t>供应商或者其他利害关系人可以对预成交结果提出异议。异议应在预成交结果公示期间通过供应商须知前附表规定的异议渠道提出，并提交异议函和必要的证明材料。异议函包括但不限于下列内容：</w:t>
      </w:r>
    </w:p>
    <w:p w14:paraId="0C455BB5">
      <w:pPr>
        <w:spacing w:line="360" w:lineRule="auto"/>
        <w:ind w:firstLine="480" w:firstLineChars="200"/>
        <w:rPr>
          <w:rFonts w:cs="黑体" w:asciiTheme="minorEastAsia" w:hAnsiTheme="minorEastAsia"/>
          <w:sz w:val="24"/>
        </w:rPr>
      </w:pPr>
      <w:r>
        <w:rPr>
          <w:rFonts w:hint="eastAsia" w:cs="黑体" w:asciiTheme="minorEastAsia" w:hAnsiTheme="minorEastAsia"/>
          <w:sz w:val="24"/>
        </w:rPr>
        <w:t>(1)异议人名称、地址、邮政编码、联系人及联系电话：</w:t>
      </w:r>
    </w:p>
    <w:p w14:paraId="3B2E21BD">
      <w:pPr>
        <w:spacing w:line="360" w:lineRule="auto"/>
        <w:ind w:firstLine="480" w:firstLineChars="200"/>
        <w:rPr>
          <w:rFonts w:cs="黑体" w:asciiTheme="minorEastAsia" w:hAnsiTheme="minorEastAsia"/>
          <w:sz w:val="24"/>
        </w:rPr>
      </w:pPr>
      <w:r>
        <w:rPr>
          <w:rFonts w:hint="eastAsia" w:cs="黑体" w:asciiTheme="minorEastAsia" w:hAnsiTheme="minorEastAsia"/>
          <w:sz w:val="24"/>
        </w:rPr>
        <w:t>(2)具体、明确的异议事项、事实依据及与异议事项相关的请求。异议函应由异议人的法定代表人(单位负责人)或其授权的代理人签字并加盖公章。</w:t>
      </w:r>
    </w:p>
    <w:p w14:paraId="21908A08">
      <w:pPr>
        <w:spacing w:line="360" w:lineRule="auto"/>
        <w:ind w:firstLine="482" w:firstLineChars="200"/>
        <w:rPr>
          <w:rFonts w:cs="黑体" w:asciiTheme="minorEastAsia" w:hAnsiTheme="minorEastAsia"/>
          <w:b/>
          <w:bCs/>
          <w:sz w:val="24"/>
        </w:rPr>
      </w:pPr>
      <w:r>
        <w:rPr>
          <w:rFonts w:hint="eastAsia" w:cs="黑体" w:asciiTheme="minorEastAsia" w:hAnsiTheme="minorEastAsia"/>
          <w:b/>
          <w:bCs/>
          <w:sz w:val="24"/>
        </w:rPr>
        <w:t>8.2异议处理</w:t>
      </w:r>
    </w:p>
    <w:p w14:paraId="3B8B63DE">
      <w:pPr>
        <w:spacing w:line="360" w:lineRule="auto"/>
        <w:ind w:firstLine="480" w:firstLineChars="200"/>
        <w:rPr>
          <w:rFonts w:cs="黑体" w:asciiTheme="minorEastAsia" w:hAnsiTheme="minorEastAsia"/>
          <w:sz w:val="24"/>
        </w:rPr>
      </w:pPr>
      <w:r>
        <w:rPr>
          <w:rFonts w:hint="eastAsia" w:cs="黑体" w:asciiTheme="minorEastAsia" w:hAnsiTheme="minorEastAsia"/>
          <w:sz w:val="24"/>
        </w:rPr>
        <w:t>采购单位将针对异议事项进行核查，经过核查，发现异议人对相关问题理解有误的，应做出解释;发现采购活动中确实存在错误或不当行为的，应及时予以改正或补救。</w:t>
      </w:r>
    </w:p>
    <w:p w14:paraId="61552522">
      <w:pPr>
        <w:spacing w:line="360" w:lineRule="auto"/>
        <w:ind w:firstLine="480" w:firstLineChars="200"/>
        <w:rPr>
          <w:rFonts w:cs="黑体" w:asciiTheme="minorEastAsia" w:hAnsiTheme="minorEastAsia"/>
          <w:sz w:val="24"/>
        </w:rPr>
      </w:pPr>
      <w:r>
        <w:rPr>
          <w:rFonts w:hint="eastAsia" w:cs="黑体" w:asciiTheme="minorEastAsia" w:hAnsiTheme="minorEastAsia"/>
          <w:sz w:val="24"/>
        </w:rPr>
        <w:t>采购单位认为异议不成立或不影响采购结果的，可以继续进行采购活动。</w:t>
      </w:r>
    </w:p>
    <w:p w14:paraId="4ACE99D9">
      <w:pPr>
        <w:spacing w:line="360" w:lineRule="auto"/>
        <w:ind w:firstLine="482" w:firstLineChars="200"/>
        <w:rPr>
          <w:rFonts w:cs="黑体" w:asciiTheme="minorEastAsia" w:hAnsiTheme="minorEastAsia"/>
          <w:sz w:val="24"/>
        </w:rPr>
      </w:pPr>
      <w:r>
        <w:rPr>
          <w:rFonts w:hint="eastAsia" w:cs="黑体" w:asciiTheme="minorEastAsia" w:hAnsiTheme="minorEastAsia"/>
          <w:b/>
          <w:bCs/>
          <w:sz w:val="24"/>
        </w:rPr>
        <w:t>9.纪律要求</w:t>
      </w:r>
    </w:p>
    <w:p w14:paraId="7E1BFFC3">
      <w:pPr>
        <w:spacing w:line="360" w:lineRule="auto"/>
        <w:ind w:firstLine="482" w:firstLineChars="200"/>
        <w:rPr>
          <w:rFonts w:cs="黑体" w:asciiTheme="minorEastAsia" w:hAnsiTheme="minorEastAsia"/>
          <w:b/>
          <w:bCs/>
          <w:sz w:val="24"/>
        </w:rPr>
      </w:pPr>
      <w:r>
        <w:rPr>
          <w:rFonts w:hint="eastAsia" w:cs="黑体" w:asciiTheme="minorEastAsia" w:hAnsiTheme="minorEastAsia"/>
          <w:b/>
          <w:bCs/>
          <w:sz w:val="24"/>
        </w:rPr>
        <w:t>9.1对采购单位的纪律要求</w:t>
      </w:r>
    </w:p>
    <w:p w14:paraId="74336DE1">
      <w:pPr>
        <w:spacing w:line="360" w:lineRule="auto"/>
        <w:ind w:firstLine="480" w:firstLineChars="200"/>
        <w:rPr>
          <w:rFonts w:cs="黑体" w:asciiTheme="minorEastAsia" w:hAnsiTheme="minorEastAsia"/>
          <w:sz w:val="24"/>
        </w:rPr>
      </w:pPr>
      <w:r>
        <w:rPr>
          <w:rFonts w:hint="eastAsia" w:cs="黑体" w:asciiTheme="minorEastAsia" w:hAnsiTheme="minorEastAsia"/>
          <w:sz w:val="24"/>
        </w:rPr>
        <w:t>采购单位不得泄露谈判采购活动中应当保密的情况和资料,不得与供应商串通损害国家利益、社会公共利益或者他人合法权益。</w:t>
      </w:r>
    </w:p>
    <w:p w14:paraId="6D5FEE56">
      <w:pPr>
        <w:spacing w:line="360" w:lineRule="auto"/>
        <w:ind w:firstLine="482" w:firstLineChars="200"/>
        <w:rPr>
          <w:rFonts w:cs="黑体" w:asciiTheme="minorEastAsia" w:hAnsiTheme="minorEastAsia"/>
          <w:b/>
          <w:bCs/>
          <w:sz w:val="24"/>
        </w:rPr>
      </w:pPr>
      <w:r>
        <w:rPr>
          <w:rFonts w:hint="eastAsia" w:cs="黑体" w:asciiTheme="minorEastAsia" w:hAnsiTheme="minorEastAsia"/>
          <w:b/>
          <w:bCs/>
          <w:sz w:val="24"/>
        </w:rPr>
        <w:t>9.2对供应商的纪律要求</w:t>
      </w:r>
    </w:p>
    <w:p w14:paraId="3C7A24AF">
      <w:pPr>
        <w:spacing w:line="360" w:lineRule="auto"/>
        <w:ind w:firstLine="480" w:firstLineChars="200"/>
        <w:rPr>
          <w:rFonts w:cs="黑体" w:asciiTheme="minorEastAsia" w:hAnsiTheme="minorEastAsia"/>
          <w:sz w:val="24"/>
        </w:rPr>
      </w:pPr>
      <w:r>
        <w:rPr>
          <w:rFonts w:hint="eastAsia" w:cs="黑体" w:asciiTheme="minorEastAsia" w:hAnsiTheme="minorEastAsia"/>
          <w:sz w:val="24"/>
        </w:rPr>
        <w:t>供应商不得相互串通或者与采购单位串通，不得向采购单位或者谈判小组成员行贿谋取成交，不得以他人名义参加谈判采购活动或者以其他方式弄虛作假骗取成交，供应商不得以任何方式干扰、影响评审工作。</w:t>
      </w:r>
    </w:p>
    <w:p w14:paraId="0861A666">
      <w:pPr>
        <w:spacing w:line="360" w:lineRule="auto"/>
        <w:ind w:firstLine="482" w:firstLineChars="200"/>
        <w:rPr>
          <w:rFonts w:cs="黑体" w:asciiTheme="minorEastAsia" w:hAnsiTheme="minorEastAsia"/>
          <w:b/>
          <w:bCs/>
          <w:sz w:val="24"/>
        </w:rPr>
      </w:pPr>
      <w:r>
        <w:rPr>
          <w:rFonts w:hint="eastAsia" w:cs="黑体" w:asciiTheme="minorEastAsia" w:hAnsiTheme="minorEastAsia"/>
          <w:b/>
          <w:bCs/>
          <w:sz w:val="24"/>
        </w:rPr>
        <w:t>9.3对谈判小组成员的纪律要求</w:t>
      </w:r>
    </w:p>
    <w:p w14:paraId="3C2BE851">
      <w:pPr>
        <w:spacing w:line="360" w:lineRule="auto"/>
        <w:ind w:firstLine="480" w:firstLineChars="200"/>
        <w:rPr>
          <w:rFonts w:cs="黑体" w:asciiTheme="minorEastAsia" w:hAnsiTheme="minorEastAsia"/>
          <w:sz w:val="24"/>
        </w:rPr>
      </w:pPr>
      <w:r>
        <w:rPr>
          <w:rFonts w:hint="eastAsia" w:cs="黑体" w:asciiTheme="minorEastAsia" w:hAnsiTheme="minorEastAsia"/>
          <w:sz w:val="24"/>
        </w:rPr>
        <w:t>谈判小组成员不得收受他人的财物或者其他好处，不得向他人透露对应答文件的评审和比较、候选成交供应商的推荐情况以及评审有关的其他情况。在谈判活动中，谈判小组成员应当客观、公正地履行职责，遵守职业道德，不得擅离职守，影响谈判工作正常进行，不得使用第三章“评审办法”没有规定的评审因素和标准进行评审。</w:t>
      </w:r>
    </w:p>
    <w:p w14:paraId="38CB4523">
      <w:pPr>
        <w:spacing w:line="360" w:lineRule="auto"/>
        <w:ind w:firstLine="482" w:firstLineChars="200"/>
        <w:rPr>
          <w:rFonts w:cs="黑体" w:asciiTheme="minorEastAsia" w:hAnsiTheme="minorEastAsia"/>
          <w:b/>
          <w:bCs/>
          <w:sz w:val="24"/>
        </w:rPr>
      </w:pPr>
      <w:r>
        <w:rPr>
          <w:rFonts w:hint="eastAsia" w:cs="黑体" w:asciiTheme="minorEastAsia" w:hAnsiTheme="minorEastAsia"/>
          <w:b/>
          <w:bCs/>
          <w:sz w:val="24"/>
        </w:rPr>
        <w:t>9.4对与谈判活动有关的工作人员的纪律要求</w:t>
      </w:r>
    </w:p>
    <w:p w14:paraId="5B92EB37">
      <w:pPr>
        <w:spacing w:line="360" w:lineRule="auto"/>
        <w:ind w:firstLine="480" w:firstLineChars="200"/>
        <w:rPr>
          <w:rFonts w:cs="黑体" w:asciiTheme="minorEastAsia" w:hAnsiTheme="minorEastAsia"/>
          <w:sz w:val="24"/>
        </w:rPr>
      </w:pPr>
      <w:r>
        <w:rPr>
          <w:rFonts w:hint="eastAsia" w:cs="黑体" w:asciiTheme="minorEastAsia" w:hAnsiTheme="minorEastAsia"/>
          <w:sz w:val="24"/>
        </w:rPr>
        <w:t>与谈判活动有关的工作人员不得收受他人的财物或者其他好处，不得向他人透露对应答文件的评审和比较、候选成交供应商的推荐情况以及谈判有关的其他情况。在谈判活动中，与谈判活动有关的工作人员不得擅离职守，影响谈判工作正常进行。</w:t>
      </w:r>
    </w:p>
    <w:p w14:paraId="0A57D867">
      <w:pPr>
        <w:spacing w:line="360" w:lineRule="auto"/>
        <w:ind w:firstLine="482" w:firstLineChars="200"/>
        <w:rPr>
          <w:rFonts w:cs="黑体" w:asciiTheme="minorEastAsia" w:hAnsiTheme="minorEastAsia"/>
          <w:sz w:val="24"/>
        </w:rPr>
      </w:pPr>
      <w:r>
        <w:rPr>
          <w:rFonts w:hint="eastAsia" w:cs="黑体" w:asciiTheme="minorEastAsia" w:hAnsiTheme="minorEastAsia"/>
          <w:b/>
          <w:bCs/>
          <w:sz w:val="24"/>
        </w:rPr>
        <w:t>10.需要补充的其他内容</w:t>
      </w:r>
    </w:p>
    <w:p w14:paraId="3C014B54">
      <w:pPr>
        <w:spacing w:line="360" w:lineRule="auto"/>
        <w:ind w:firstLine="480" w:firstLineChars="200"/>
        <w:rPr>
          <w:rFonts w:cs="黑体" w:asciiTheme="minorEastAsia" w:hAnsiTheme="minorEastAsia"/>
          <w:sz w:val="24"/>
        </w:rPr>
      </w:pPr>
      <w:r>
        <w:rPr>
          <w:rFonts w:hint="eastAsia" w:cs="黑体" w:asciiTheme="minorEastAsia" w:hAnsiTheme="minorEastAsia"/>
          <w:sz w:val="24"/>
        </w:rPr>
        <w:t>需要补充的其他内容：见供应商须知前附表。</w:t>
      </w:r>
    </w:p>
    <w:p w14:paraId="00EDFA85">
      <w:pPr>
        <w:ind w:firstLine="420" w:firstLineChars="200"/>
      </w:pPr>
      <w:r>
        <w:rPr>
          <w:rFonts w:hint="eastAsia"/>
        </w:rPr>
        <w:br w:type="page"/>
      </w:r>
    </w:p>
    <w:p w14:paraId="306165BD">
      <w:pPr>
        <w:pStyle w:val="5"/>
        <w:adjustRightInd w:val="0"/>
        <w:snapToGrid w:val="0"/>
        <w:ind w:firstLine="880" w:firstLineChars="200"/>
        <w:rPr>
          <w:rFonts w:asciiTheme="minorEastAsia" w:hAnsiTheme="minorEastAsia" w:eastAsiaTheme="minorEastAsia"/>
          <w:lang w:eastAsia="zh-CN"/>
        </w:rPr>
      </w:pPr>
      <w:bookmarkStart w:id="11" w:name="_Toc181123612"/>
      <w:bookmarkStart w:id="12" w:name="_Hlk180423426"/>
      <w:r>
        <w:rPr>
          <w:rFonts w:asciiTheme="minorEastAsia" w:hAnsiTheme="minorEastAsia" w:eastAsiaTheme="minorEastAsia"/>
          <w:lang w:eastAsia="zh-CN"/>
        </w:rPr>
        <w:t>第三章评审办法</w:t>
      </w:r>
      <w:r>
        <w:rPr>
          <w:rFonts w:hint="eastAsia" w:asciiTheme="minorEastAsia" w:hAnsiTheme="minorEastAsia" w:eastAsiaTheme="minorEastAsia"/>
          <w:lang w:eastAsia="zh-CN"/>
        </w:rPr>
        <w:t>（综合评分法）</w:t>
      </w:r>
      <w:bookmarkEnd w:id="11"/>
    </w:p>
    <w:p w14:paraId="439CC7F2">
      <w:pPr>
        <w:pStyle w:val="6"/>
        <w:ind w:firstLine="482" w:firstLineChars="200"/>
      </w:pPr>
      <w:r>
        <w:t>评审办法前附表</w:t>
      </w:r>
    </w:p>
    <w:tbl>
      <w:tblPr>
        <w:tblStyle w:val="2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1098"/>
        <w:gridCol w:w="1480"/>
        <w:gridCol w:w="5884"/>
      </w:tblGrid>
      <w:tr w14:paraId="165DB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1035" w:type="pct"/>
            <w:gridSpan w:val="2"/>
          </w:tcPr>
          <w:p w14:paraId="7DB272DA">
            <w:pPr>
              <w:jc w:val="center"/>
              <w:rPr>
                <w:rFonts w:cs="黑体" w:asciiTheme="minorEastAsia" w:hAnsiTheme="minorEastAsia"/>
                <w:sz w:val="24"/>
              </w:rPr>
            </w:pPr>
            <w:r>
              <w:rPr>
                <w:rFonts w:hint="eastAsia" w:cs="黑体" w:asciiTheme="minorEastAsia" w:hAnsiTheme="minorEastAsia"/>
                <w:sz w:val="24"/>
              </w:rPr>
              <w:t>条款号</w:t>
            </w:r>
          </w:p>
        </w:tc>
        <w:tc>
          <w:tcPr>
            <w:tcW w:w="797" w:type="pct"/>
          </w:tcPr>
          <w:p w14:paraId="7CBB90A1">
            <w:pPr>
              <w:jc w:val="center"/>
              <w:rPr>
                <w:rFonts w:cs="黑体" w:asciiTheme="minorEastAsia" w:hAnsiTheme="minorEastAsia"/>
                <w:sz w:val="24"/>
              </w:rPr>
            </w:pPr>
            <w:r>
              <w:rPr>
                <w:rFonts w:hint="eastAsia" w:cs="黑体" w:asciiTheme="minorEastAsia" w:hAnsiTheme="minorEastAsia"/>
                <w:sz w:val="24"/>
              </w:rPr>
              <w:t>评审因素</w:t>
            </w:r>
          </w:p>
        </w:tc>
        <w:tc>
          <w:tcPr>
            <w:tcW w:w="3168" w:type="pct"/>
          </w:tcPr>
          <w:p w14:paraId="35A7B6D9">
            <w:pPr>
              <w:jc w:val="center"/>
              <w:rPr>
                <w:rFonts w:cs="黑体" w:asciiTheme="minorEastAsia" w:hAnsiTheme="minorEastAsia"/>
                <w:sz w:val="24"/>
              </w:rPr>
            </w:pPr>
            <w:r>
              <w:rPr>
                <w:rFonts w:hint="eastAsia" w:cs="黑体" w:asciiTheme="minorEastAsia" w:hAnsiTheme="minorEastAsia"/>
                <w:sz w:val="24"/>
              </w:rPr>
              <w:t>评审标准</w:t>
            </w:r>
          </w:p>
        </w:tc>
      </w:tr>
      <w:tr w14:paraId="61A5B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444" w:type="pct"/>
            <w:vAlign w:val="center"/>
          </w:tcPr>
          <w:p w14:paraId="4B59A7A2">
            <w:pPr>
              <w:jc w:val="center"/>
              <w:rPr>
                <w:rFonts w:cs="黑体" w:asciiTheme="minorEastAsia" w:hAnsiTheme="minorEastAsia"/>
                <w:sz w:val="24"/>
              </w:rPr>
            </w:pPr>
            <w:r>
              <w:rPr>
                <w:rFonts w:hint="eastAsia" w:cs="黑体" w:asciiTheme="minorEastAsia" w:hAnsiTheme="minorEastAsia"/>
                <w:sz w:val="24"/>
              </w:rPr>
              <w:t>1</w:t>
            </w:r>
          </w:p>
        </w:tc>
        <w:tc>
          <w:tcPr>
            <w:tcW w:w="591" w:type="pct"/>
            <w:vAlign w:val="center"/>
          </w:tcPr>
          <w:p w14:paraId="5D1615CE">
            <w:pPr>
              <w:jc w:val="center"/>
              <w:rPr>
                <w:rFonts w:cs="黑体" w:asciiTheme="minorEastAsia" w:hAnsiTheme="minorEastAsia"/>
                <w:sz w:val="24"/>
              </w:rPr>
            </w:pPr>
            <w:r>
              <w:rPr>
                <w:rFonts w:hint="eastAsia" w:cs="黑体" w:asciiTheme="minorEastAsia" w:hAnsiTheme="minorEastAsia"/>
                <w:sz w:val="24"/>
              </w:rPr>
              <w:t>评审方法</w:t>
            </w:r>
          </w:p>
        </w:tc>
        <w:tc>
          <w:tcPr>
            <w:tcW w:w="797" w:type="pct"/>
            <w:vAlign w:val="center"/>
          </w:tcPr>
          <w:p w14:paraId="1FA04F56">
            <w:pPr>
              <w:jc w:val="center"/>
              <w:rPr>
                <w:rFonts w:cs="黑体" w:asciiTheme="minorEastAsia" w:hAnsiTheme="minorEastAsia"/>
                <w:sz w:val="24"/>
              </w:rPr>
            </w:pPr>
            <w:r>
              <w:rPr>
                <w:rFonts w:hint="eastAsia" w:cs="黑体" w:asciiTheme="minorEastAsia" w:hAnsiTheme="minorEastAsia"/>
                <w:sz w:val="24"/>
              </w:rPr>
              <w:t>评审方法</w:t>
            </w:r>
          </w:p>
        </w:tc>
        <w:tc>
          <w:tcPr>
            <w:tcW w:w="3168" w:type="pct"/>
          </w:tcPr>
          <w:p w14:paraId="24584349">
            <w:pPr>
              <w:ind w:firstLine="482" w:firstLineChars="200"/>
              <w:rPr>
                <w:sz w:val="24"/>
              </w:rPr>
            </w:pPr>
            <w:r>
              <w:rPr>
                <w:rFonts w:hint="eastAsia" w:cs="黑体" w:asciiTheme="minorEastAsia" w:hAnsiTheme="minorEastAsia"/>
                <w:b/>
                <w:bCs/>
                <w:sz w:val="24"/>
                <w:u w:val="single"/>
              </w:rPr>
              <w:t>综合评分法</w:t>
            </w:r>
            <w:r>
              <w:rPr>
                <w:rFonts w:hint="eastAsia" w:cs="黑体" w:asciiTheme="minorEastAsia" w:hAnsiTheme="minorEastAsia"/>
                <w:sz w:val="24"/>
              </w:rPr>
              <w:t>（</w:t>
            </w:r>
            <w:r>
              <w:rPr>
                <w:sz w:val="24"/>
              </w:rPr>
              <w:t>按得分由高到低顺序推荐</w:t>
            </w:r>
            <w:r>
              <w:rPr>
                <w:rFonts w:hint="eastAsia" w:asciiTheme="minorEastAsia" w:hAnsiTheme="minorEastAsia"/>
                <w:sz w:val="24"/>
              </w:rPr>
              <w:t>候选成交供应商</w:t>
            </w:r>
            <w:r>
              <w:rPr>
                <w:sz w:val="24"/>
              </w:rPr>
              <w:t>，但</w:t>
            </w:r>
            <w:r>
              <w:rPr>
                <w:rFonts w:hint="eastAsia"/>
                <w:sz w:val="24"/>
              </w:rPr>
              <w:t>最终</w:t>
            </w:r>
            <w:r>
              <w:rPr>
                <w:sz w:val="24"/>
              </w:rPr>
              <w:t>报价低于其成本的除外</w:t>
            </w:r>
            <w:r>
              <w:rPr>
                <w:rFonts w:hint="eastAsia"/>
                <w:sz w:val="24"/>
              </w:rPr>
              <w:t>。</w:t>
            </w:r>
          </w:p>
          <w:p w14:paraId="1E72A5C0">
            <w:pPr>
              <w:ind w:firstLine="482" w:firstLineChars="200"/>
              <w:rPr>
                <w:rFonts w:cs="Times New Roman"/>
                <w:b/>
                <w:sz w:val="24"/>
              </w:rPr>
            </w:pPr>
            <w:r>
              <w:rPr>
                <w:rFonts w:hint="eastAsia"/>
                <w:b/>
                <w:bCs/>
                <w:sz w:val="24"/>
              </w:rPr>
              <w:t>供应商的</w:t>
            </w:r>
            <w:r>
              <w:rPr>
                <w:rFonts w:cs="Times New Roman"/>
                <w:b/>
                <w:bCs/>
                <w:sz w:val="24"/>
              </w:rPr>
              <w:t>商务部分及技术部分</w:t>
            </w:r>
            <w:r>
              <w:rPr>
                <w:rFonts w:hint="eastAsia" w:cs="Times New Roman"/>
                <w:b/>
                <w:bCs/>
                <w:sz w:val="24"/>
              </w:rPr>
              <w:t>合计得分低于评审条款3</w:t>
            </w:r>
            <w:r>
              <w:rPr>
                <w:rFonts w:cs="Times New Roman"/>
                <w:b/>
                <w:bCs/>
                <w:sz w:val="24"/>
              </w:rPr>
              <w:t>.2</w:t>
            </w:r>
            <w:r>
              <w:rPr>
                <w:rFonts w:hint="eastAsia" w:cs="Times New Roman"/>
                <w:b/>
                <w:bCs/>
                <w:sz w:val="24"/>
              </w:rPr>
              <w:t>.</w:t>
            </w:r>
            <w:r>
              <w:rPr>
                <w:rFonts w:cs="Times New Roman"/>
                <w:b/>
                <w:bCs/>
                <w:sz w:val="24"/>
              </w:rPr>
              <w:t>1</w:t>
            </w:r>
            <w:r>
              <w:rPr>
                <w:rFonts w:hint="eastAsia" w:cs="Times New Roman"/>
                <w:b/>
                <w:bCs/>
                <w:sz w:val="24"/>
              </w:rPr>
              <w:t>规定的商务部分及技术部分合计的6</w:t>
            </w:r>
            <w:r>
              <w:rPr>
                <w:rFonts w:cs="Times New Roman"/>
                <w:b/>
                <w:bCs/>
                <w:sz w:val="24"/>
              </w:rPr>
              <w:t>0%</w:t>
            </w:r>
            <w:r>
              <w:rPr>
                <w:rFonts w:hint="eastAsia" w:cs="Times New Roman"/>
                <w:b/>
                <w:bCs/>
                <w:sz w:val="24"/>
              </w:rPr>
              <w:t>，</w:t>
            </w:r>
            <w:r>
              <w:rPr>
                <w:rFonts w:cs="Times New Roman"/>
                <w:b/>
                <w:bCs/>
                <w:sz w:val="24"/>
              </w:rPr>
              <w:t>不得被推荐为候选</w:t>
            </w:r>
            <w:r>
              <w:rPr>
                <w:rFonts w:hint="eastAsia" w:cs="Times New Roman"/>
                <w:b/>
                <w:bCs/>
                <w:sz w:val="24"/>
              </w:rPr>
              <w:t>成交供应商</w:t>
            </w:r>
            <w:r>
              <w:rPr>
                <w:rFonts w:cs="Times New Roman"/>
                <w:b/>
                <w:sz w:val="24"/>
              </w:rPr>
              <w:t>。</w:t>
            </w:r>
          </w:p>
          <w:p w14:paraId="457228ED">
            <w:pPr>
              <w:ind w:firstLine="480" w:firstLineChars="200"/>
              <w:rPr>
                <w:rFonts w:cs="黑体" w:asciiTheme="minorEastAsia" w:hAnsiTheme="minorEastAsia"/>
                <w:sz w:val="24"/>
              </w:rPr>
            </w:pPr>
            <w:r>
              <w:rPr>
                <w:sz w:val="24"/>
              </w:rPr>
              <w:t>综合评分相等时，以</w:t>
            </w:r>
            <w:r>
              <w:rPr>
                <w:rFonts w:hint="eastAsia"/>
                <w:sz w:val="24"/>
              </w:rPr>
              <w:t>最终</w:t>
            </w:r>
            <w:r>
              <w:rPr>
                <w:sz w:val="24"/>
              </w:rPr>
              <w:t>报价低的优先；</w:t>
            </w:r>
            <w:r>
              <w:rPr>
                <w:rFonts w:hint="eastAsia"/>
                <w:sz w:val="24"/>
              </w:rPr>
              <w:t>最终</w:t>
            </w:r>
            <w:r>
              <w:rPr>
                <w:sz w:val="24"/>
              </w:rPr>
              <w:t>报价也相等的，以技术得分高的优先；如果技术得分也相等，</w:t>
            </w:r>
            <w:r>
              <w:rPr>
                <w:rFonts w:hint="eastAsia"/>
                <w:sz w:val="24"/>
              </w:rPr>
              <w:t>由谈判小组投票决定，得票多</w:t>
            </w:r>
            <w:r>
              <w:rPr>
                <w:sz w:val="24"/>
              </w:rPr>
              <w:t>的优先</w:t>
            </w:r>
            <w:r>
              <w:rPr>
                <w:rFonts w:hint="eastAsia"/>
                <w:sz w:val="24"/>
              </w:rPr>
              <w:t>。</w:t>
            </w:r>
          </w:p>
        </w:tc>
      </w:tr>
      <w:tr w14:paraId="64F15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444" w:type="pct"/>
            <w:vMerge w:val="restart"/>
            <w:vAlign w:val="center"/>
          </w:tcPr>
          <w:p w14:paraId="6A6942FE">
            <w:pPr>
              <w:jc w:val="center"/>
              <w:rPr>
                <w:rFonts w:cs="黑体" w:asciiTheme="minorEastAsia" w:hAnsiTheme="minorEastAsia"/>
                <w:sz w:val="24"/>
              </w:rPr>
            </w:pPr>
            <w:r>
              <w:rPr>
                <w:rFonts w:hint="eastAsia" w:cs="黑体" w:asciiTheme="minorEastAsia" w:hAnsiTheme="minorEastAsia"/>
                <w:sz w:val="24"/>
              </w:rPr>
              <w:t>2.1.1</w:t>
            </w:r>
          </w:p>
        </w:tc>
        <w:tc>
          <w:tcPr>
            <w:tcW w:w="591" w:type="pct"/>
            <w:vMerge w:val="restart"/>
            <w:vAlign w:val="center"/>
          </w:tcPr>
          <w:p w14:paraId="546329AC">
            <w:pPr>
              <w:jc w:val="center"/>
              <w:rPr>
                <w:rFonts w:cs="黑体" w:asciiTheme="minorEastAsia" w:hAnsiTheme="minorEastAsia"/>
                <w:sz w:val="24"/>
              </w:rPr>
            </w:pPr>
            <w:r>
              <w:rPr>
                <w:rFonts w:hint="eastAsia" w:cs="黑体" w:asciiTheme="minorEastAsia" w:hAnsiTheme="minorEastAsia"/>
                <w:sz w:val="24"/>
              </w:rPr>
              <w:t>形式评审标准</w:t>
            </w:r>
          </w:p>
        </w:tc>
        <w:tc>
          <w:tcPr>
            <w:tcW w:w="797" w:type="pct"/>
            <w:vAlign w:val="center"/>
          </w:tcPr>
          <w:p w14:paraId="0B742B39">
            <w:pPr>
              <w:jc w:val="center"/>
              <w:rPr>
                <w:rFonts w:cs="黑体" w:asciiTheme="minorEastAsia" w:hAnsiTheme="minorEastAsia"/>
                <w:sz w:val="24"/>
              </w:rPr>
            </w:pPr>
            <w:r>
              <w:rPr>
                <w:rFonts w:hint="eastAsia" w:cs="黑体" w:asciiTheme="minorEastAsia" w:hAnsiTheme="minorEastAsia"/>
                <w:sz w:val="24"/>
              </w:rPr>
              <w:t>供应商名称</w:t>
            </w:r>
          </w:p>
        </w:tc>
        <w:tc>
          <w:tcPr>
            <w:tcW w:w="3168" w:type="pct"/>
          </w:tcPr>
          <w:p w14:paraId="08291607">
            <w:pPr>
              <w:rPr>
                <w:rFonts w:cs="黑体" w:asciiTheme="minorEastAsia" w:hAnsiTheme="minorEastAsia"/>
                <w:sz w:val="24"/>
              </w:rPr>
            </w:pPr>
            <w:r>
              <w:rPr>
                <w:rFonts w:hint="eastAsia" w:asciiTheme="minorEastAsia" w:hAnsiTheme="minorEastAsia"/>
                <w:sz w:val="24"/>
              </w:rPr>
              <w:t>与营业执照或事业单位法人证书或其它营业登记证书、资质证书一致。</w:t>
            </w:r>
          </w:p>
        </w:tc>
      </w:tr>
      <w:tr w14:paraId="7BD29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444" w:type="pct"/>
            <w:vMerge w:val="continue"/>
          </w:tcPr>
          <w:p w14:paraId="00240E5C">
            <w:pPr>
              <w:rPr>
                <w:rFonts w:cs="黑体" w:asciiTheme="minorEastAsia" w:hAnsiTheme="minorEastAsia"/>
                <w:sz w:val="24"/>
              </w:rPr>
            </w:pPr>
          </w:p>
        </w:tc>
        <w:tc>
          <w:tcPr>
            <w:tcW w:w="591" w:type="pct"/>
            <w:vMerge w:val="continue"/>
          </w:tcPr>
          <w:p w14:paraId="77046858">
            <w:pPr>
              <w:rPr>
                <w:rFonts w:cs="黑体" w:asciiTheme="minorEastAsia" w:hAnsiTheme="minorEastAsia"/>
                <w:sz w:val="24"/>
              </w:rPr>
            </w:pPr>
          </w:p>
        </w:tc>
        <w:tc>
          <w:tcPr>
            <w:tcW w:w="797" w:type="pct"/>
            <w:vAlign w:val="center"/>
          </w:tcPr>
          <w:p w14:paraId="7E79F637">
            <w:pPr>
              <w:jc w:val="center"/>
              <w:rPr>
                <w:rFonts w:cs="黑体" w:asciiTheme="minorEastAsia" w:hAnsiTheme="minorEastAsia"/>
                <w:sz w:val="24"/>
              </w:rPr>
            </w:pPr>
            <w:r>
              <w:rPr>
                <w:rFonts w:hint="eastAsia" w:cs="黑体" w:asciiTheme="minorEastAsia" w:hAnsiTheme="minorEastAsia"/>
                <w:sz w:val="24"/>
              </w:rPr>
              <w:t>应答函签字盖章</w:t>
            </w:r>
          </w:p>
        </w:tc>
        <w:tc>
          <w:tcPr>
            <w:tcW w:w="3168" w:type="pct"/>
            <w:vAlign w:val="center"/>
          </w:tcPr>
          <w:p w14:paraId="6FDEE43E">
            <w:pPr>
              <w:rPr>
                <w:rFonts w:cs="黑体" w:asciiTheme="minorEastAsia" w:hAnsiTheme="minorEastAsia"/>
                <w:sz w:val="24"/>
              </w:rPr>
            </w:pPr>
            <w:r>
              <w:rPr>
                <w:rFonts w:asciiTheme="minorEastAsia" w:hAnsiTheme="minorEastAsia"/>
                <w:sz w:val="24"/>
              </w:rPr>
              <w:t>有法定代表人（单位负责人）或其委托代理人签字（或签字章）或加</w:t>
            </w:r>
            <w:r>
              <w:rPr>
                <w:rFonts w:hint="eastAsia" w:asciiTheme="minorEastAsia" w:hAnsiTheme="minorEastAsia"/>
                <w:sz w:val="24"/>
              </w:rPr>
              <w:t>盖公章</w:t>
            </w:r>
            <w:r>
              <w:rPr>
                <w:rFonts w:asciiTheme="minorEastAsia" w:hAnsiTheme="minorEastAsia"/>
                <w:sz w:val="24"/>
              </w:rPr>
              <w:t>。</w:t>
            </w:r>
            <w:r>
              <w:rPr>
                <w:rFonts w:hint="eastAsia" w:asciiTheme="minorEastAsia" w:hAnsiTheme="minorEastAsia"/>
                <w:sz w:val="24"/>
              </w:rPr>
              <w:t>应答函未加盖公章</w:t>
            </w:r>
            <w:r>
              <w:rPr>
                <w:rFonts w:asciiTheme="minorEastAsia" w:hAnsiTheme="minorEastAsia"/>
                <w:sz w:val="24"/>
              </w:rPr>
              <w:t>由法定代表人（单位负责人）签字的，应附法定代表人（单位负责人）身份证明，由委托代理人签字的，应附授权委托书</w:t>
            </w:r>
            <w:r>
              <w:rPr>
                <w:rFonts w:hint="eastAsia" w:asciiTheme="minorEastAsia" w:hAnsiTheme="minorEastAsia"/>
                <w:sz w:val="24"/>
              </w:rPr>
              <w:t>。</w:t>
            </w:r>
          </w:p>
        </w:tc>
      </w:tr>
      <w:tr w14:paraId="575B1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444" w:type="pct"/>
            <w:vMerge w:val="continue"/>
          </w:tcPr>
          <w:p w14:paraId="061690DE">
            <w:pPr>
              <w:rPr>
                <w:rFonts w:cs="黑体" w:asciiTheme="minorEastAsia" w:hAnsiTheme="minorEastAsia"/>
                <w:sz w:val="24"/>
              </w:rPr>
            </w:pPr>
          </w:p>
        </w:tc>
        <w:tc>
          <w:tcPr>
            <w:tcW w:w="591" w:type="pct"/>
            <w:vMerge w:val="continue"/>
          </w:tcPr>
          <w:p w14:paraId="44606207">
            <w:pPr>
              <w:rPr>
                <w:rFonts w:cs="黑体" w:asciiTheme="minorEastAsia" w:hAnsiTheme="minorEastAsia"/>
                <w:sz w:val="24"/>
              </w:rPr>
            </w:pPr>
          </w:p>
        </w:tc>
        <w:tc>
          <w:tcPr>
            <w:tcW w:w="797" w:type="pct"/>
            <w:vAlign w:val="center"/>
          </w:tcPr>
          <w:p w14:paraId="134C92CA">
            <w:pPr>
              <w:jc w:val="center"/>
              <w:rPr>
                <w:rFonts w:cs="黑体" w:asciiTheme="minorEastAsia" w:hAnsiTheme="minorEastAsia"/>
                <w:sz w:val="24"/>
              </w:rPr>
            </w:pPr>
            <w:r>
              <w:rPr>
                <w:rFonts w:hint="eastAsia" w:cs="黑体" w:asciiTheme="minorEastAsia" w:hAnsiTheme="minorEastAsia"/>
                <w:sz w:val="24"/>
              </w:rPr>
              <w:t>中核报名并报价</w:t>
            </w:r>
          </w:p>
        </w:tc>
        <w:tc>
          <w:tcPr>
            <w:tcW w:w="3168" w:type="pct"/>
            <w:vAlign w:val="center"/>
          </w:tcPr>
          <w:p w14:paraId="47D188BD">
            <w:pPr>
              <w:rPr>
                <w:rFonts w:asciiTheme="minorEastAsia" w:hAnsiTheme="minorEastAsia"/>
                <w:sz w:val="24"/>
              </w:rPr>
            </w:pPr>
            <w:r>
              <w:rPr>
                <w:rFonts w:hint="eastAsia" w:cs="黑体" w:asciiTheme="minorEastAsia" w:hAnsiTheme="minorEastAsia"/>
                <w:sz w:val="24"/>
              </w:rPr>
              <w:t>中国核工业集团电子采购平台上传电子版应答文件并在平台上进行首次报价。</w:t>
            </w:r>
          </w:p>
        </w:tc>
      </w:tr>
      <w:tr w14:paraId="6659B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444" w:type="pct"/>
            <w:vMerge w:val="continue"/>
          </w:tcPr>
          <w:p w14:paraId="5A4BBC9E">
            <w:pPr>
              <w:rPr>
                <w:rFonts w:cs="黑体" w:asciiTheme="minorEastAsia" w:hAnsiTheme="minorEastAsia"/>
                <w:sz w:val="24"/>
              </w:rPr>
            </w:pPr>
          </w:p>
        </w:tc>
        <w:tc>
          <w:tcPr>
            <w:tcW w:w="591" w:type="pct"/>
            <w:vMerge w:val="continue"/>
          </w:tcPr>
          <w:p w14:paraId="5CBA5844">
            <w:pPr>
              <w:rPr>
                <w:rFonts w:cs="黑体" w:asciiTheme="minorEastAsia" w:hAnsiTheme="minorEastAsia"/>
                <w:sz w:val="24"/>
              </w:rPr>
            </w:pPr>
          </w:p>
        </w:tc>
        <w:tc>
          <w:tcPr>
            <w:tcW w:w="797" w:type="pct"/>
            <w:vAlign w:val="center"/>
          </w:tcPr>
          <w:p w14:paraId="17F115FC">
            <w:pPr>
              <w:jc w:val="center"/>
              <w:rPr>
                <w:rFonts w:cs="黑体" w:asciiTheme="minorEastAsia" w:hAnsiTheme="minorEastAsia"/>
                <w:sz w:val="24"/>
              </w:rPr>
            </w:pPr>
            <w:r>
              <w:rPr>
                <w:rFonts w:hint="eastAsia" w:cs="黑体" w:asciiTheme="minorEastAsia" w:hAnsiTheme="minorEastAsia"/>
                <w:sz w:val="24"/>
              </w:rPr>
              <w:t>联合体协议书（如要求）</w:t>
            </w:r>
          </w:p>
        </w:tc>
        <w:tc>
          <w:tcPr>
            <w:tcW w:w="3168" w:type="pct"/>
            <w:vAlign w:val="center"/>
          </w:tcPr>
          <w:p w14:paraId="5C02A72A">
            <w:pPr>
              <w:rPr>
                <w:rFonts w:cs="黑体" w:asciiTheme="minorEastAsia" w:hAnsiTheme="minorEastAsia"/>
                <w:sz w:val="24"/>
              </w:rPr>
            </w:pPr>
            <w:r>
              <w:rPr>
                <w:rFonts w:hint="eastAsia" w:cs="黑体" w:asciiTheme="minorEastAsia" w:hAnsiTheme="minorEastAsia"/>
                <w:sz w:val="24"/>
              </w:rPr>
              <w:t>提交联合体协议书，并明确联合体牵头人。</w:t>
            </w:r>
          </w:p>
        </w:tc>
      </w:tr>
      <w:tr w14:paraId="63654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44" w:type="pct"/>
            <w:vMerge w:val="restart"/>
            <w:vAlign w:val="center"/>
          </w:tcPr>
          <w:p w14:paraId="3DA5A0A2">
            <w:pPr>
              <w:jc w:val="center"/>
              <w:rPr>
                <w:rFonts w:cs="黑体" w:asciiTheme="minorEastAsia" w:hAnsiTheme="minorEastAsia"/>
                <w:sz w:val="24"/>
              </w:rPr>
            </w:pPr>
            <w:r>
              <w:rPr>
                <w:rFonts w:hint="eastAsia" w:cs="黑体" w:asciiTheme="minorEastAsia" w:hAnsiTheme="minorEastAsia"/>
                <w:sz w:val="24"/>
              </w:rPr>
              <w:t>2.1.2</w:t>
            </w:r>
          </w:p>
        </w:tc>
        <w:tc>
          <w:tcPr>
            <w:tcW w:w="591" w:type="pct"/>
            <w:vMerge w:val="restart"/>
            <w:vAlign w:val="center"/>
          </w:tcPr>
          <w:p w14:paraId="485658F4">
            <w:pPr>
              <w:jc w:val="center"/>
              <w:rPr>
                <w:rFonts w:cs="黑体" w:asciiTheme="minorEastAsia" w:hAnsiTheme="minorEastAsia"/>
                <w:sz w:val="24"/>
              </w:rPr>
            </w:pPr>
            <w:r>
              <w:rPr>
                <w:rFonts w:hint="eastAsia" w:cs="黑体" w:asciiTheme="minorEastAsia" w:hAnsiTheme="minorEastAsia"/>
                <w:sz w:val="24"/>
              </w:rPr>
              <w:t>资格评审标准</w:t>
            </w:r>
          </w:p>
        </w:tc>
        <w:tc>
          <w:tcPr>
            <w:tcW w:w="797" w:type="pct"/>
            <w:vAlign w:val="center"/>
          </w:tcPr>
          <w:p w14:paraId="4F7D3976">
            <w:pPr>
              <w:jc w:val="center"/>
              <w:rPr>
                <w:rFonts w:cs="黑体" w:asciiTheme="minorEastAsia" w:hAnsiTheme="minorEastAsia"/>
                <w:sz w:val="24"/>
              </w:rPr>
            </w:pPr>
            <w:r>
              <w:rPr>
                <w:rFonts w:hint="eastAsia" w:ascii="宋体" w:hAnsi="宋体" w:eastAsia="宋体" w:cs="黑体"/>
                <w:sz w:val="24"/>
              </w:rPr>
              <w:t>依法设立的证明材料</w:t>
            </w:r>
          </w:p>
        </w:tc>
        <w:tc>
          <w:tcPr>
            <w:tcW w:w="3168" w:type="pct"/>
            <w:vAlign w:val="center"/>
          </w:tcPr>
          <w:p w14:paraId="45C28378">
            <w:pPr>
              <w:rPr>
                <w:rFonts w:cs="黑体" w:asciiTheme="minorEastAsia" w:hAnsiTheme="minorEastAsia"/>
                <w:sz w:val="24"/>
              </w:rPr>
            </w:pPr>
            <w:r>
              <w:rPr>
                <w:rFonts w:cs="黑体" w:asciiTheme="minorEastAsia" w:hAnsiTheme="minorEastAsia"/>
                <w:sz w:val="24"/>
              </w:rPr>
              <w:t>符合第一章第3.1款及供应商须知前附表第3.5</w:t>
            </w:r>
            <w:r>
              <w:rPr>
                <w:rFonts w:hint="eastAsia" w:cs="黑体" w:asciiTheme="minorEastAsia" w:hAnsiTheme="minorEastAsia"/>
                <w:sz w:val="24"/>
              </w:rPr>
              <w:t>.1</w:t>
            </w:r>
            <w:r>
              <w:rPr>
                <w:rFonts w:cs="黑体" w:asciiTheme="minorEastAsia" w:hAnsiTheme="minorEastAsia"/>
                <w:sz w:val="24"/>
              </w:rPr>
              <w:t>(1)款规定</w:t>
            </w:r>
            <w:r>
              <w:rPr>
                <w:rFonts w:hint="eastAsia" w:cs="黑体" w:asciiTheme="minorEastAsia" w:hAnsiTheme="minorEastAsia"/>
                <w:sz w:val="24"/>
              </w:rPr>
              <w:t>。</w:t>
            </w:r>
          </w:p>
        </w:tc>
      </w:tr>
      <w:tr w14:paraId="68F7B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44" w:type="pct"/>
            <w:vMerge w:val="continue"/>
            <w:vAlign w:val="center"/>
          </w:tcPr>
          <w:p w14:paraId="4CF71B7E">
            <w:pPr>
              <w:jc w:val="center"/>
              <w:rPr>
                <w:rFonts w:cs="黑体" w:asciiTheme="minorEastAsia" w:hAnsiTheme="minorEastAsia"/>
                <w:sz w:val="24"/>
              </w:rPr>
            </w:pPr>
          </w:p>
        </w:tc>
        <w:tc>
          <w:tcPr>
            <w:tcW w:w="591" w:type="pct"/>
            <w:vMerge w:val="continue"/>
            <w:vAlign w:val="center"/>
          </w:tcPr>
          <w:p w14:paraId="1BAAA50A">
            <w:pPr>
              <w:jc w:val="center"/>
              <w:rPr>
                <w:rFonts w:cs="黑体" w:asciiTheme="minorEastAsia" w:hAnsiTheme="minorEastAsia"/>
                <w:sz w:val="24"/>
              </w:rPr>
            </w:pPr>
          </w:p>
        </w:tc>
        <w:tc>
          <w:tcPr>
            <w:tcW w:w="797" w:type="pct"/>
            <w:vAlign w:val="center"/>
          </w:tcPr>
          <w:p w14:paraId="704AE034">
            <w:pPr>
              <w:jc w:val="center"/>
              <w:rPr>
                <w:rFonts w:cs="黑体" w:asciiTheme="minorEastAsia" w:hAnsiTheme="minorEastAsia"/>
                <w:sz w:val="24"/>
              </w:rPr>
            </w:pPr>
            <w:r>
              <w:rPr>
                <w:rFonts w:hint="eastAsia" w:cs="黑体" w:asciiTheme="minorEastAsia" w:hAnsiTheme="minorEastAsia"/>
                <w:sz w:val="24"/>
              </w:rPr>
              <w:t>资质要求</w:t>
            </w:r>
          </w:p>
        </w:tc>
        <w:tc>
          <w:tcPr>
            <w:tcW w:w="3168" w:type="pct"/>
            <w:vAlign w:val="center"/>
          </w:tcPr>
          <w:p w14:paraId="24D8F78D">
            <w:pPr>
              <w:rPr>
                <w:rFonts w:cs="黑体" w:asciiTheme="minorEastAsia" w:hAnsiTheme="minorEastAsia"/>
                <w:sz w:val="24"/>
              </w:rPr>
            </w:pPr>
            <w:r>
              <w:rPr>
                <w:rFonts w:cs="黑体" w:asciiTheme="minorEastAsia" w:hAnsiTheme="minorEastAsia"/>
                <w:sz w:val="24"/>
              </w:rPr>
              <w:t>符合第一章第3.1款及供应商须知前附表第3.5</w:t>
            </w:r>
            <w:r>
              <w:rPr>
                <w:rFonts w:hint="eastAsia" w:cs="黑体" w:asciiTheme="minorEastAsia" w:hAnsiTheme="minorEastAsia"/>
                <w:sz w:val="24"/>
              </w:rPr>
              <w:t>.1</w:t>
            </w:r>
            <w:r>
              <w:rPr>
                <w:rFonts w:cs="黑体" w:asciiTheme="minorEastAsia" w:hAnsiTheme="minorEastAsia"/>
                <w:sz w:val="24"/>
              </w:rPr>
              <w:t xml:space="preserve"> (2)款规定</w:t>
            </w:r>
            <w:r>
              <w:rPr>
                <w:rFonts w:hint="eastAsia" w:cs="黑体" w:asciiTheme="minorEastAsia" w:hAnsiTheme="minorEastAsia"/>
                <w:sz w:val="24"/>
              </w:rPr>
              <w:t>。</w:t>
            </w:r>
          </w:p>
        </w:tc>
      </w:tr>
      <w:tr w14:paraId="3A8E5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444" w:type="pct"/>
            <w:vMerge w:val="continue"/>
            <w:vAlign w:val="center"/>
          </w:tcPr>
          <w:p w14:paraId="145EEEC9">
            <w:pPr>
              <w:jc w:val="center"/>
              <w:rPr>
                <w:rFonts w:cs="黑体" w:asciiTheme="minorEastAsia" w:hAnsiTheme="minorEastAsia"/>
                <w:sz w:val="24"/>
              </w:rPr>
            </w:pPr>
          </w:p>
        </w:tc>
        <w:tc>
          <w:tcPr>
            <w:tcW w:w="591" w:type="pct"/>
            <w:vMerge w:val="continue"/>
            <w:vAlign w:val="center"/>
          </w:tcPr>
          <w:p w14:paraId="2FC02C10">
            <w:pPr>
              <w:jc w:val="center"/>
              <w:rPr>
                <w:rFonts w:cs="黑体" w:asciiTheme="minorEastAsia" w:hAnsiTheme="minorEastAsia"/>
                <w:sz w:val="24"/>
              </w:rPr>
            </w:pPr>
          </w:p>
        </w:tc>
        <w:tc>
          <w:tcPr>
            <w:tcW w:w="797" w:type="pct"/>
            <w:vAlign w:val="center"/>
          </w:tcPr>
          <w:p w14:paraId="6B08B843">
            <w:pPr>
              <w:jc w:val="center"/>
              <w:rPr>
                <w:rFonts w:cs="黑体" w:asciiTheme="minorEastAsia" w:hAnsiTheme="minorEastAsia"/>
                <w:sz w:val="24"/>
              </w:rPr>
            </w:pPr>
            <w:r>
              <w:rPr>
                <w:rFonts w:hint="eastAsia" w:cs="黑体" w:asciiTheme="minorEastAsia" w:hAnsiTheme="minorEastAsia"/>
                <w:sz w:val="24"/>
              </w:rPr>
              <w:t>财务要求</w:t>
            </w:r>
          </w:p>
        </w:tc>
        <w:tc>
          <w:tcPr>
            <w:tcW w:w="3168" w:type="pct"/>
            <w:vAlign w:val="center"/>
          </w:tcPr>
          <w:p w14:paraId="381F9908">
            <w:pPr>
              <w:rPr>
                <w:rFonts w:cs="黑体" w:asciiTheme="minorEastAsia" w:hAnsiTheme="minorEastAsia"/>
                <w:sz w:val="24"/>
              </w:rPr>
            </w:pPr>
            <w:r>
              <w:rPr>
                <w:rFonts w:cs="黑体" w:asciiTheme="minorEastAsia" w:hAnsiTheme="minorEastAsia"/>
                <w:sz w:val="24"/>
              </w:rPr>
              <w:t>符合第一章第3.1款及供应商须知前附表第3.5</w:t>
            </w:r>
            <w:r>
              <w:rPr>
                <w:rFonts w:hint="eastAsia" w:cs="黑体" w:asciiTheme="minorEastAsia" w:hAnsiTheme="minorEastAsia"/>
                <w:sz w:val="24"/>
              </w:rPr>
              <w:t>.1</w:t>
            </w:r>
            <w:r>
              <w:rPr>
                <w:rFonts w:cs="黑体" w:asciiTheme="minorEastAsia" w:hAnsiTheme="minorEastAsia"/>
                <w:sz w:val="24"/>
              </w:rPr>
              <w:t xml:space="preserve"> (3)款规定</w:t>
            </w:r>
            <w:r>
              <w:rPr>
                <w:rFonts w:hint="eastAsia" w:cs="黑体" w:asciiTheme="minorEastAsia" w:hAnsiTheme="minorEastAsia"/>
                <w:sz w:val="24"/>
              </w:rPr>
              <w:t>。</w:t>
            </w:r>
          </w:p>
        </w:tc>
      </w:tr>
      <w:tr w14:paraId="6B46F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44" w:type="pct"/>
            <w:vMerge w:val="continue"/>
            <w:vAlign w:val="center"/>
          </w:tcPr>
          <w:p w14:paraId="58689696">
            <w:pPr>
              <w:jc w:val="center"/>
              <w:rPr>
                <w:rFonts w:cs="黑体" w:asciiTheme="minorEastAsia" w:hAnsiTheme="minorEastAsia"/>
                <w:sz w:val="24"/>
              </w:rPr>
            </w:pPr>
          </w:p>
        </w:tc>
        <w:tc>
          <w:tcPr>
            <w:tcW w:w="591" w:type="pct"/>
            <w:vMerge w:val="continue"/>
            <w:vAlign w:val="center"/>
          </w:tcPr>
          <w:p w14:paraId="6275F7B9">
            <w:pPr>
              <w:jc w:val="center"/>
              <w:rPr>
                <w:rFonts w:cs="黑体" w:asciiTheme="minorEastAsia" w:hAnsiTheme="minorEastAsia"/>
                <w:sz w:val="24"/>
              </w:rPr>
            </w:pPr>
          </w:p>
        </w:tc>
        <w:tc>
          <w:tcPr>
            <w:tcW w:w="797" w:type="pct"/>
            <w:vAlign w:val="center"/>
          </w:tcPr>
          <w:p w14:paraId="5728E528">
            <w:pPr>
              <w:jc w:val="center"/>
              <w:rPr>
                <w:rFonts w:cs="黑体" w:asciiTheme="minorEastAsia" w:hAnsiTheme="minorEastAsia"/>
                <w:sz w:val="24"/>
              </w:rPr>
            </w:pPr>
            <w:r>
              <w:rPr>
                <w:rFonts w:hint="eastAsia" w:cs="黑体" w:asciiTheme="minorEastAsia" w:hAnsiTheme="minorEastAsia"/>
                <w:sz w:val="24"/>
              </w:rPr>
              <w:t>业绩要求</w:t>
            </w:r>
          </w:p>
        </w:tc>
        <w:tc>
          <w:tcPr>
            <w:tcW w:w="3168" w:type="pct"/>
            <w:vAlign w:val="center"/>
          </w:tcPr>
          <w:p w14:paraId="30CA8B9F">
            <w:pPr>
              <w:rPr>
                <w:rFonts w:cs="黑体" w:asciiTheme="minorEastAsia" w:hAnsiTheme="minorEastAsia"/>
                <w:sz w:val="24"/>
              </w:rPr>
            </w:pPr>
            <w:r>
              <w:rPr>
                <w:rFonts w:cs="黑体" w:asciiTheme="minorEastAsia" w:hAnsiTheme="minorEastAsia"/>
                <w:sz w:val="24"/>
              </w:rPr>
              <w:t>符合第一章第3.1款及供应商须知前附表第3.5</w:t>
            </w:r>
            <w:r>
              <w:rPr>
                <w:rFonts w:hint="eastAsia" w:cs="黑体" w:asciiTheme="minorEastAsia" w:hAnsiTheme="minorEastAsia"/>
                <w:sz w:val="24"/>
              </w:rPr>
              <w:t>.1</w:t>
            </w:r>
            <w:r>
              <w:rPr>
                <w:rFonts w:cs="黑体" w:asciiTheme="minorEastAsia" w:hAnsiTheme="minorEastAsia"/>
                <w:sz w:val="24"/>
              </w:rPr>
              <w:t xml:space="preserve"> (4)款规定</w:t>
            </w:r>
            <w:r>
              <w:rPr>
                <w:rFonts w:hint="eastAsia" w:cs="黑体" w:asciiTheme="minorEastAsia" w:hAnsiTheme="minorEastAsia"/>
                <w:sz w:val="24"/>
              </w:rPr>
              <w:t>。</w:t>
            </w:r>
          </w:p>
        </w:tc>
      </w:tr>
      <w:tr w14:paraId="1338F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444" w:type="pct"/>
            <w:vMerge w:val="continue"/>
            <w:vAlign w:val="center"/>
          </w:tcPr>
          <w:p w14:paraId="783C516A">
            <w:pPr>
              <w:jc w:val="center"/>
              <w:rPr>
                <w:rFonts w:cs="黑体" w:asciiTheme="minorEastAsia" w:hAnsiTheme="minorEastAsia"/>
                <w:sz w:val="24"/>
              </w:rPr>
            </w:pPr>
          </w:p>
        </w:tc>
        <w:tc>
          <w:tcPr>
            <w:tcW w:w="591" w:type="pct"/>
            <w:vMerge w:val="continue"/>
            <w:vAlign w:val="center"/>
          </w:tcPr>
          <w:p w14:paraId="6C79E4A9">
            <w:pPr>
              <w:jc w:val="center"/>
              <w:rPr>
                <w:rFonts w:cs="黑体" w:asciiTheme="minorEastAsia" w:hAnsiTheme="minorEastAsia"/>
                <w:sz w:val="24"/>
              </w:rPr>
            </w:pPr>
          </w:p>
        </w:tc>
        <w:tc>
          <w:tcPr>
            <w:tcW w:w="797" w:type="pct"/>
            <w:vAlign w:val="center"/>
          </w:tcPr>
          <w:p w14:paraId="74BBF391">
            <w:pPr>
              <w:jc w:val="center"/>
              <w:rPr>
                <w:rFonts w:cs="黑体" w:asciiTheme="minorEastAsia" w:hAnsiTheme="minorEastAsia"/>
                <w:sz w:val="24"/>
              </w:rPr>
            </w:pPr>
            <w:r>
              <w:rPr>
                <w:rFonts w:hint="eastAsia" w:cs="黑体" w:asciiTheme="minorEastAsia" w:hAnsiTheme="minorEastAsia"/>
                <w:sz w:val="24"/>
              </w:rPr>
              <w:t>信誉要求</w:t>
            </w:r>
          </w:p>
        </w:tc>
        <w:tc>
          <w:tcPr>
            <w:tcW w:w="3168" w:type="pct"/>
            <w:vAlign w:val="center"/>
          </w:tcPr>
          <w:p w14:paraId="2EC927E4">
            <w:pPr>
              <w:rPr>
                <w:rFonts w:asciiTheme="minorEastAsia" w:hAnsiTheme="minorEastAsia"/>
                <w:sz w:val="24"/>
              </w:rPr>
            </w:pPr>
            <w:r>
              <w:rPr>
                <w:rFonts w:hint="eastAsia" w:asciiTheme="minorEastAsia" w:hAnsiTheme="minorEastAsia"/>
                <w:sz w:val="24"/>
              </w:rPr>
              <w:t>符合第一章第3.1款及供应商须知前附表第</w:t>
            </w:r>
            <w:r>
              <w:rPr>
                <w:rFonts w:cs="黑体" w:asciiTheme="minorEastAsia" w:hAnsiTheme="minorEastAsia"/>
                <w:sz w:val="24"/>
              </w:rPr>
              <w:t>3.5</w:t>
            </w:r>
            <w:r>
              <w:rPr>
                <w:rFonts w:hint="eastAsia" w:cs="黑体" w:asciiTheme="minorEastAsia" w:hAnsiTheme="minorEastAsia"/>
                <w:sz w:val="24"/>
              </w:rPr>
              <w:t>.1</w:t>
            </w:r>
            <w:r>
              <w:rPr>
                <w:rFonts w:hint="eastAsia" w:asciiTheme="minorEastAsia" w:hAnsiTheme="minorEastAsia"/>
                <w:sz w:val="24"/>
              </w:rPr>
              <w:t xml:space="preserve"> (5)款规定。</w:t>
            </w:r>
          </w:p>
        </w:tc>
      </w:tr>
      <w:tr w14:paraId="1434B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444" w:type="pct"/>
            <w:vMerge w:val="continue"/>
            <w:vAlign w:val="center"/>
          </w:tcPr>
          <w:p w14:paraId="57471CB4">
            <w:pPr>
              <w:jc w:val="center"/>
              <w:rPr>
                <w:rFonts w:cs="黑体" w:asciiTheme="minorEastAsia" w:hAnsiTheme="minorEastAsia"/>
                <w:sz w:val="24"/>
              </w:rPr>
            </w:pPr>
          </w:p>
        </w:tc>
        <w:tc>
          <w:tcPr>
            <w:tcW w:w="591" w:type="pct"/>
            <w:vMerge w:val="continue"/>
            <w:vAlign w:val="center"/>
          </w:tcPr>
          <w:p w14:paraId="7EEEDC8F">
            <w:pPr>
              <w:jc w:val="center"/>
              <w:rPr>
                <w:rFonts w:cs="黑体" w:asciiTheme="minorEastAsia" w:hAnsiTheme="minorEastAsia"/>
                <w:sz w:val="24"/>
              </w:rPr>
            </w:pPr>
          </w:p>
        </w:tc>
        <w:tc>
          <w:tcPr>
            <w:tcW w:w="797" w:type="pct"/>
            <w:vAlign w:val="center"/>
          </w:tcPr>
          <w:p w14:paraId="5675D6FB">
            <w:pPr>
              <w:jc w:val="center"/>
              <w:rPr>
                <w:rFonts w:cs="黑体" w:asciiTheme="minorEastAsia" w:hAnsiTheme="minorEastAsia"/>
                <w:sz w:val="24"/>
              </w:rPr>
            </w:pPr>
            <w:r>
              <w:rPr>
                <w:rFonts w:hint="eastAsia" w:cs="黑体" w:asciiTheme="minorEastAsia" w:hAnsiTheme="minorEastAsia"/>
                <w:sz w:val="24"/>
              </w:rPr>
              <w:t>人员要求</w:t>
            </w:r>
          </w:p>
        </w:tc>
        <w:tc>
          <w:tcPr>
            <w:tcW w:w="3168" w:type="pct"/>
            <w:vAlign w:val="center"/>
          </w:tcPr>
          <w:p w14:paraId="06CC98F0">
            <w:pPr>
              <w:rPr>
                <w:rFonts w:cs="黑体" w:asciiTheme="minorEastAsia" w:hAnsiTheme="minorEastAsia"/>
                <w:sz w:val="24"/>
              </w:rPr>
            </w:pPr>
            <w:r>
              <w:rPr>
                <w:rFonts w:cs="黑体" w:asciiTheme="minorEastAsia" w:hAnsiTheme="minorEastAsia"/>
                <w:sz w:val="24"/>
              </w:rPr>
              <w:t>符合第一章第3.1款及供应商须知前附表第3.5</w:t>
            </w:r>
            <w:r>
              <w:rPr>
                <w:rFonts w:hint="eastAsia" w:cs="黑体" w:asciiTheme="minorEastAsia" w:hAnsiTheme="minorEastAsia"/>
                <w:sz w:val="24"/>
              </w:rPr>
              <w:t>.1</w:t>
            </w:r>
            <w:r>
              <w:rPr>
                <w:rFonts w:cs="黑体" w:asciiTheme="minorEastAsia" w:hAnsiTheme="minorEastAsia"/>
                <w:sz w:val="24"/>
              </w:rPr>
              <w:t xml:space="preserve"> (6)款规定</w:t>
            </w:r>
            <w:r>
              <w:rPr>
                <w:rFonts w:hint="eastAsia" w:cs="黑体" w:asciiTheme="minorEastAsia" w:hAnsiTheme="minorEastAsia"/>
                <w:sz w:val="24"/>
              </w:rPr>
              <w:t>。</w:t>
            </w:r>
          </w:p>
        </w:tc>
      </w:tr>
      <w:tr w14:paraId="70FD1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444" w:type="pct"/>
            <w:vMerge w:val="continue"/>
          </w:tcPr>
          <w:p w14:paraId="2F4FEE4D">
            <w:pPr>
              <w:rPr>
                <w:rFonts w:cs="黑体" w:asciiTheme="minorEastAsia" w:hAnsiTheme="minorEastAsia"/>
                <w:sz w:val="24"/>
              </w:rPr>
            </w:pPr>
          </w:p>
        </w:tc>
        <w:tc>
          <w:tcPr>
            <w:tcW w:w="591" w:type="pct"/>
            <w:vMerge w:val="continue"/>
          </w:tcPr>
          <w:p w14:paraId="6291BED7">
            <w:pPr>
              <w:rPr>
                <w:rFonts w:cs="黑体" w:asciiTheme="minorEastAsia" w:hAnsiTheme="minorEastAsia"/>
                <w:sz w:val="24"/>
              </w:rPr>
            </w:pPr>
          </w:p>
        </w:tc>
        <w:tc>
          <w:tcPr>
            <w:tcW w:w="797" w:type="pct"/>
            <w:vAlign w:val="center"/>
          </w:tcPr>
          <w:p w14:paraId="4808FB21">
            <w:pPr>
              <w:jc w:val="center"/>
              <w:rPr>
                <w:rFonts w:cs="黑体" w:asciiTheme="minorEastAsia" w:hAnsiTheme="minorEastAsia"/>
                <w:sz w:val="24"/>
              </w:rPr>
            </w:pPr>
            <w:r>
              <w:rPr>
                <w:rFonts w:hint="eastAsia" w:cs="黑体" w:asciiTheme="minorEastAsia" w:hAnsiTheme="minorEastAsia"/>
                <w:sz w:val="24"/>
              </w:rPr>
              <w:t>其他要求</w:t>
            </w:r>
          </w:p>
        </w:tc>
        <w:tc>
          <w:tcPr>
            <w:tcW w:w="3168" w:type="pct"/>
          </w:tcPr>
          <w:p w14:paraId="429ABB16">
            <w:pPr>
              <w:rPr>
                <w:rFonts w:cs="黑体" w:asciiTheme="minorEastAsia" w:hAnsiTheme="minorEastAsia"/>
                <w:sz w:val="24"/>
              </w:rPr>
            </w:pPr>
            <w:r>
              <w:rPr>
                <w:rFonts w:cs="黑体" w:asciiTheme="minorEastAsia" w:hAnsiTheme="minorEastAsia"/>
                <w:sz w:val="24"/>
              </w:rPr>
              <w:t>符合第一章第3.1款及供应商须知前附表第3.5</w:t>
            </w:r>
            <w:r>
              <w:rPr>
                <w:rFonts w:hint="eastAsia" w:cs="黑体" w:asciiTheme="minorEastAsia" w:hAnsiTheme="minorEastAsia"/>
                <w:sz w:val="24"/>
              </w:rPr>
              <w:t>.1</w:t>
            </w:r>
            <w:r>
              <w:rPr>
                <w:rFonts w:cs="黑体" w:asciiTheme="minorEastAsia" w:hAnsiTheme="minorEastAsia"/>
                <w:sz w:val="24"/>
              </w:rPr>
              <w:t xml:space="preserve"> (7)款规定</w:t>
            </w:r>
            <w:r>
              <w:rPr>
                <w:rFonts w:hint="eastAsia" w:cs="黑体" w:asciiTheme="minorEastAsia" w:hAnsiTheme="minorEastAsia"/>
                <w:sz w:val="24"/>
              </w:rPr>
              <w:t>。</w:t>
            </w:r>
          </w:p>
        </w:tc>
      </w:tr>
      <w:tr w14:paraId="0619F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444" w:type="pct"/>
            <w:vMerge w:val="continue"/>
          </w:tcPr>
          <w:p w14:paraId="1B67A7C9">
            <w:pPr>
              <w:rPr>
                <w:rFonts w:cs="黑体" w:asciiTheme="minorEastAsia" w:hAnsiTheme="minorEastAsia"/>
                <w:sz w:val="24"/>
              </w:rPr>
            </w:pPr>
          </w:p>
        </w:tc>
        <w:tc>
          <w:tcPr>
            <w:tcW w:w="591" w:type="pct"/>
            <w:vMerge w:val="continue"/>
          </w:tcPr>
          <w:p w14:paraId="713AE471">
            <w:pPr>
              <w:rPr>
                <w:rFonts w:cs="黑体" w:asciiTheme="minorEastAsia" w:hAnsiTheme="minorEastAsia"/>
                <w:sz w:val="24"/>
              </w:rPr>
            </w:pPr>
          </w:p>
        </w:tc>
        <w:tc>
          <w:tcPr>
            <w:tcW w:w="797" w:type="pct"/>
            <w:vAlign w:val="center"/>
          </w:tcPr>
          <w:p w14:paraId="7D94980F">
            <w:pPr>
              <w:jc w:val="center"/>
              <w:rPr>
                <w:rFonts w:cs="黑体" w:asciiTheme="minorEastAsia" w:hAnsiTheme="minorEastAsia"/>
                <w:sz w:val="24"/>
              </w:rPr>
            </w:pPr>
            <w:r>
              <w:rPr>
                <w:rFonts w:hint="eastAsia" w:cs="黑体" w:asciiTheme="minorEastAsia" w:hAnsiTheme="minorEastAsia"/>
                <w:sz w:val="24"/>
              </w:rPr>
              <w:t>供应商不得存在的情形</w:t>
            </w:r>
          </w:p>
        </w:tc>
        <w:tc>
          <w:tcPr>
            <w:tcW w:w="3168" w:type="pct"/>
          </w:tcPr>
          <w:p w14:paraId="2AE80752">
            <w:pPr>
              <w:rPr>
                <w:rFonts w:cs="黑体" w:asciiTheme="minorEastAsia" w:hAnsiTheme="minorEastAsia"/>
                <w:sz w:val="24"/>
              </w:rPr>
            </w:pPr>
            <w:r>
              <w:rPr>
                <w:rFonts w:cs="黑体" w:asciiTheme="minorEastAsia" w:hAnsiTheme="minorEastAsia"/>
                <w:sz w:val="24"/>
              </w:rPr>
              <w:t>符合供应商须知第3.5</w:t>
            </w:r>
            <w:r>
              <w:rPr>
                <w:rFonts w:hint="eastAsia" w:cs="黑体" w:asciiTheme="minorEastAsia" w:hAnsiTheme="minorEastAsia"/>
                <w:sz w:val="24"/>
              </w:rPr>
              <w:t>.</w:t>
            </w:r>
            <w:r>
              <w:rPr>
                <w:rFonts w:cs="黑体" w:asciiTheme="minorEastAsia" w:hAnsiTheme="minorEastAsia"/>
                <w:sz w:val="24"/>
              </w:rPr>
              <w:t>2款规定</w:t>
            </w:r>
            <w:r>
              <w:rPr>
                <w:rFonts w:hint="eastAsia" w:cs="黑体" w:asciiTheme="minorEastAsia" w:hAnsiTheme="minorEastAsia"/>
                <w:sz w:val="24"/>
              </w:rPr>
              <w:t>。</w:t>
            </w:r>
          </w:p>
        </w:tc>
      </w:tr>
      <w:tr w14:paraId="27435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44" w:type="pct"/>
            <w:vMerge w:val="continue"/>
          </w:tcPr>
          <w:p w14:paraId="4C7CCEC4">
            <w:pPr>
              <w:rPr>
                <w:rFonts w:cs="黑体" w:asciiTheme="minorEastAsia" w:hAnsiTheme="minorEastAsia"/>
                <w:sz w:val="24"/>
              </w:rPr>
            </w:pPr>
          </w:p>
        </w:tc>
        <w:tc>
          <w:tcPr>
            <w:tcW w:w="591" w:type="pct"/>
            <w:vMerge w:val="continue"/>
          </w:tcPr>
          <w:p w14:paraId="29636109">
            <w:pPr>
              <w:rPr>
                <w:rFonts w:cs="黑体" w:asciiTheme="minorEastAsia" w:hAnsiTheme="minorEastAsia"/>
                <w:sz w:val="24"/>
              </w:rPr>
            </w:pPr>
          </w:p>
        </w:tc>
        <w:tc>
          <w:tcPr>
            <w:tcW w:w="797" w:type="pct"/>
            <w:vAlign w:val="center"/>
          </w:tcPr>
          <w:p w14:paraId="7A7738DC">
            <w:pPr>
              <w:jc w:val="center"/>
              <w:rPr>
                <w:rFonts w:cs="黑体" w:asciiTheme="minorEastAsia" w:hAnsiTheme="minorEastAsia"/>
                <w:sz w:val="24"/>
              </w:rPr>
            </w:pPr>
            <w:r>
              <w:rPr>
                <w:rFonts w:cs="黑体" w:asciiTheme="minorEastAsia" w:hAnsiTheme="minorEastAsia"/>
                <w:sz w:val="24"/>
              </w:rPr>
              <w:t>联合体供应商</w:t>
            </w:r>
          </w:p>
        </w:tc>
        <w:tc>
          <w:tcPr>
            <w:tcW w:w="3168" w:type="pct"/>
          </w:tcPr>
          <w:p w14:paraId="123C978B">
            <w:pPr>
              <w:rPr>
                <w:rFonts w:cs="黑体" w:asciiTheme="minorEastAsia" w:hAnsiTheme="minorEastAsia"/>
                <w:sz w:val="24"/>
              </w:rPr>
            </w:pPr>
            <w:r>
              <w:rPr>
                <w:rFonts w:cs="黑体" w:asciiTheme="minorEastAsia" w:hAnsiTheme="minorEastAsia"/>
                <w:sz w:val="24"/>
              </w:rPr>
              <w:t>符合第一章第3.</w:t>
            </w:r>
            <w:r>
              <w:rPr>
                <w:rFonts w:hint="eastAsia" w:cs="黑体" w:asciiTheme="minorEastAsia" w:hAnsiTheme="minorEastAsia"/>
                <w:sz w:val="24"/>
              </w:rPr>
              <w:t>2</w:t>
            </w:r>
            <w:r>
              <w:rPr>
                <w:rFonts w:cs="黑体" w:asciiTheme="minorEastAsia" w:hAnsiTheme="minorEastAsia"/>
                <w:sz w:val="24"/>
              </w:rPr>
              <w:t>款及供应商须知前附表第3.5.3款规定</w:t>
            </w:r>
            <w:r>
              <w:rPr>
                <w:rFonts w:hint="eastAsia" w:cs="黑体" w:asciiTheme="minorEastAsia" w:hAnsiTheme="minorEastAsia"/>
                <w:sz w:val="24"/>
              </w:rPr>
              <w:t>。</w:t>
            </w:r>
          </w:p>
        </w:tc>
      </w:tr>
      <w:tr w14:paraId="325F5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444" w:type="pct"/>
            <w:vMerge w:val="restart"/>
            <w:vAlign w:val="center"/>
          </w:tcPr>
          <w:p w14:paraId="0F44637C">
            <w:pPr>
              <w:jc w:val="center"/>
              <w:rPr>
                <w:rFonts w:cs="黑体" w:asciiTheme="minorEastAsia" w:hAnsiTheme="minorEastAsia"/>
                <w:sz w:val="24"/>
              </w:rPr>
            </w:pPr>
            <w:r>
              <w:rPr>
                <w:rFonts w:hint="eastAsia" w:cs="黑体" w:asciiTheme="minorEastAsia" w:hAnsiTheme="minorEastAsia"/>
                <w:sz w:val="24"/>
              </w:rPr>
              <w:t>2.1.3</w:t>
            </w:r>
          </w:p>
        </w:tc>
        <w:tc>
          <w:tcPr>
            <w:tcW w:w="591" w:type="pct"/>
            <w:vMerge w:val="restart"/>
            <w:vAlign w:val="center"/>
          </w:tcPr>
          <w:p w14:paraId="135827B7">
            <w:pPr>
              <w:jc w:val="center"/>
              <w:rPr>
                <w:rFonts w:cs="黑体" w:asciiTheme="minorEastAsia" w:hAnsiTheme="minorEastAsia"/>
                <w:sz w:val="24"/>
              </w:rPr>
            </w:pPr>
            <w:r>
              <w:rPr>
                <w:rFonts w:hint="eastAsia" w:cs="黑体" w:asciiTheme="minorEastAsia" w:hAnsiTheme="minorEastAsia"/>
                <w:sz w:val="24"/>
              </w:rPr>
              <w:t>响应性评审标准</w:t>
            </w:r>
          </w:p>
        </w:tc>
        <w:tc>
          <w:tcPr>
            <w:tcW w:w="797" w:type="pct"/>
            <w:vAlign w:val="center"/>
          </w:tcPr>
          <w:p w14:paraId="26FD29D6">
            <w:pPr>
              <w:jc w:val="center"/>
              <w:rPr>
                <w:rFonts w:cs="黑体" w:asciiTheme="minorEastAsia" w:hAnsiTheme="minorEastAsia"/>
                <w:sz w:val="24"/>
              </w:rPr>
            </w:pPr>
            <w:r>
              <w:rPr>
                <w:rFonts w:hint="eastAsia" w:cs="黑体" w:asciiTheme="minorEastAsia" w:hAnsiTheme="minorEastAsia"/>
                <w:sz w:val="24"/>
              </w:rPr>
              <w:t>报价</w:t>
            </w:r>
          </w:p>
        </w:tc>
        <w:tc>
          <w:tcPr>
            <w:tcW w:w="3168" w:type="pct"/>
            <w:vAlign w:val="center"/>
          </w:tcPr>
          <w:p w14:paraId="4829B248">
            <w:pPr>
              <w:rPr>
                <w:rFonts w:cs="黑体" w:asciiTheme="minorEastAsia" w:hAnsiTheme="minorEastAsia"/>
                <w:sz w:val="24"/>
              </w:rPr>
            </w:pPr>
            <w:r>
              <w:rPr>
                <w:rFonts w:hint="eastAsia" w:cs="黑体" w:asciiTheme="minorEastAsia" w:hAnsiTheme="minorEastAsia"/>
                <w:sz w:val="24"/>
              </w:rPr>
              <w:t>符合第二章</w:t>
            </w:r>
            <w:r>
              <w:rPr>
                <w:rFonts w:cs="黑体" w:asciiTheme="minorEastAsia" w:hAnsiTheme="minorEastAsia"/>
                <w:sz w:val="24"/>
              </w:rPr>
              <w:t>供应商须知</w:t>
            </w:r>
            <w:r>
              <w:rPr>
                <w:rFonts w:hint="eastAsia" w:cs="黑体" w:asciiTheme="minorEastAsia" w:hAnsiTheme="minorEastAsia"/>
                <w:sz w:val="24"/>
              </w:rPr>
              <w:t>第3.2款规定。</w:t>
            </w:r>
          </w:p>
        </w:tc>
      </w:tr>
      <w:tr w14:paraId="1DF80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444" w:type="pct"/>
            <w:vMerge w:val="continue"/>
            <w:vAlign w:val="center"/>
          </w:tcPr>
          <w:p w14:paraId="68E84459">
            <w:pPr>
              <w:jc w:val="center"/>
              <w:rPr>
                <w:rFonts w:cs="黑体" w:asciiTheme="minorEastAsia" w:hAnsiTheme="minorEastAsia"/>
                <w:sz w:val="24"/>
              </w:rPr>
            </w:pPr>
          </w:p>
        </w:tc>
        <w:tc>
          <w:tcPr>
            <w:tcW w:w="591" w:type="pct"/>
            <w:vMerge w:val="continue"/>
            <w:vAlign w:val="center"/>
          </w:tcPr>
          <w:p w14:paraId="0DB96B3D">
            <w:pPr>
              <w:jc w:val="center"/>
              <w:rPr>
                <w:rFonts w:cs="黑体" w:asciiTheme="minorEastAsia" w:hAnsiTheme="minorEastAsia"/>
                <w:sz w:val="24"/>
              </w:rPr>
            </w:pPr>
          </w:p>
        </w:tc>
        <w:tc>
          <w:tcPr>
            <w:tcW w:w="797" w:type="pct"/>
            <w:vAlign w:val="center"/>
          </w:tcPr>
          <w:p w14:paraId="196893B4">
            <w:pPr>
              <w:jc w:val="center"/>
              <w:rPr>
                <w:rFonts w:cs="黑体" w:asciiTheme="minorEastAsia" w:hAnsiTheme="minorEastAsia"/>
                <w:sz w:val="24"/>
              </w:rPr>
            </w:pPr>
            <w:r>
              <w:rPr>
                <w:rFonts w:hint="eastAsia" w:cs="黑体" w:asciiTheme="minorEastAsia" w:hAnsiTheme="minorEastAsia"/>
                <w:sz w:val="24"/>
              </w:rPr>
              <w:t>应答文件有效期</w:t>
            </w:r>
          </w:p>
        </w:tc>
        <w:tc>
          <w:tcPr>
            <w:tcW w:w="3168" w:type="pct"/>
            <w:vAlign w:val="center"/>
          </w:tcPr>
          <w:p w14:paraId="61E9BA04">
            <w:pPr>
              <w:rPr>
                <w:rFonts w:cs="黑体" w:asciiTheme="minorEastAsia" w:hAnsiTheme="minorEastAsia"/>
                <w:sz w:val="24"/>
              </w:rPr>
            </w:pPr>
            <w:r>
              <w:rPr>
                <w:rFonts w:hint="eastAsia" w:cs="黑体" w:asciiTheme="minorEastAsia" w:hAnsiTheme="minorEastAsia"/>
                <w:sz w:val="24"/>
              </w:rPr>
              <w:t>符合第二章</w:t>
            </w:r>
            <w:r>
              <w:rPr>
                <w:rFonts w:cs="黑体" w:asciiTheme="minorEastAsia" w:hAnsiTheme="minorEastAsia"/>
                <w:sz w:val="24"/>
              </w:rPr>
              <w:t>供应商须知</w:t>
            </w:r>
            <w:r>
              <w:rPr>
                <w:rFonts w:hint="eastAsia" w:cs="黑体" w:asciiTheme="minorEastAsia" w:hAnsiTheme="minorEastAsia"/>
                <w:sz w:val="24"/>
              </w:rPr>
              <w:t>第3.3.1项规定。</w:t>
            </w:r>
          </w:p>
        </w:tc>
      </w:tr>
      <w:tr w14:paraId="1FF7A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444" w:type="pct"/>
            <w:vMerge w:val="continue"/>
          </w:tcPr>
          <w:p w14:paraId="012ED002">
            <w:pPr>
              <w:rPr>
                <w:rFonts w:cs="黑体" w:asciiTheme="minorEastAsia" w:hAnsiTheme="minorEastAsia"/>
                <w:sz w:val="24"/>
              </w:rPr>
            </w:pPr>
          </w:p>
        </w:tc>
        <w:tc>
          <w:tcPr>
            <w:tcW w:w="591" w:type="pct"/>
            <w:vMerge w:val="continue"/>
          </w:tcPr>
          <w:p w14:paraId="42A2B650">
            <w:pPr>
              <w:rPr>
                <w:rFonts w:cs="黑体" w:asciiTheme="minorEastAsia" w:hAnsiTheme="minorEastAsia"/>
                <w:sz w:val="24"/>
              </w:rPr>
            </w:pPr>
          </w:p>
        </w:tc>
        <w:tc>
          <w:tcPr>
            <w:tcW w:w="797" w:type="pct"/>
            <w:vAlign w:val="center"/>
          </w:tcPr>
          <w:p w14:paraId="68023FCA">
            <w:pPr>
              <w:jc w:val="center"/>
              <w:rPr>
                <w:rFonts w:cs="黑体" w:asciiTheme="minorEastAsia" w:hAnsiTheme="minorEastAsia"/>
                <w:sz w:val="24"/>
              </w:rPr>
            </w:pPr>
            <w:r>
              <w:rPr>
                <w:rFonts w:hint="eastAsia" w:cs="黑体" w:asciiTheme="minorEastAsia" w:hAnsiTheme="minorEastAsia"/>
                <w:sz w:val="24"/>
              </w:rPr>
              <w:t>应答保证金</w:t>
            </w:r>
          </w:p>
        </w:tc>
        <w:tc>
          <w:tcPr>
            <w:tcW w:w="3168" w:type="pct"/>
            <w:vAlign w:val="center"/>
          </w:tcPr>
          <w:p w14:paraId="7ABB1B0E">
            <w:pPr>
              <w:rPr>
                <w:rFonts w:cs="黑体" w:asciiTheme="minorEastAsia" w:hAnsiTheme="minorEastAsia"/>
                <w:sz w:val="24"/>
              </w:rPr>
            </w:pPr>
            <w:r>
              <w:rPr>
                <w:rFonts w:hint="eastAsia" w:cs="黑体" w:asciiTheme="minorEastAsia" w:hAnsiTheme="minorEastAsia"/>
                <w:sz w:val="24"/>
              </w:rPr>
              <w:t>符合第二章</w:t>
            </w:r>
            <w:r>
              <w:rPr>
                <w:rFonts w:cs="黑体" w:asciiTheme="minorEastAsia" w:hAnsiTheme="minorEastAsia"/>
                <w:sz w:val="24"/>
              </w:rPr>
              <w:t>供应商须知</w:t>
            </w:r>
            <w:r>
              <w:rPr>
                <w:rFonts w:hint="eastAsia" w:cs="黑体" w:asciiTheme="minorEastAsia" w:hAnsiTheme="minorEastAsia"/>
                <w:sz w:val="24"/>
              </w:rPr>
              <w:t>第3.4.1项规定。</w:t>
            </w:r>
          </w:p>
        </w:tc>
      </w:tr>
      <w:tr w14:paraId="7F896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444" w:type="pct"/>
            <w:vMerge w:val="continue"/>
          </w:tcPr>
          <w:p w14:paraId="6007F4E8">
            <w:pPr>
              <w:rPr>
                <w:rFonts w:cs="黑体" w:asciiTheme="minorEastAsia" w:hAnsiTheme="minorEastAsia"/>
                <w:sz w:val="24"/>
              </w:rPr>
            </w:pPr>
          </w:p>
        </w:tc>
        <w:tc>
          <w:tcPr>
            <w:tcW w:w="591" w:type="pct"/>
            <w:vMerge w:val="continue"/>
          </w:tcPr>
          <w:p w14:paraId="1324D663">
            <w:pPr>
              <w:rPr>
                <w:rFonts w:cs="黑体" w:asciiTheme="minorEastAsia" w:hAnsiTheme="minorEastAsia"/>
                <w:sz w:val="24"/>
              </w:rPr>
            </w:pPr>
          </w:p>
        </w:tc>
        <w:tc>
          <w:tcPr>
            <w:tcW w:w="797" w:type="pct"/>
            <w:shd w:val="clear" w:color="auto" w:fill="auto"/>
            <w:vAlign w:val="center"/>
          </w:tcPr>
          <w:p w14:paraId="238E8D68">
            <w:pPr>
              <w:jc w:val="center"/>
              <w:rPr>
                <w:rFonts w:cs="黑体" w:asciiTheme="minorEastAsia" w:hAnsiTheme="minorEastAsia"/>
                <w:sz w:val="24"/>
              </w:rPr>
            </w:pPr>
            <w:r>
              <w:rPr>
                <w:rFonts w:hint="eastAsia" w:cs="黑体" w:asciiTheme="minorEastAsia" w:hAnsiTheme="minorEastAsia"/>
                <w:sz w:val="24"/>
              </w:rPr>
              <w:t>应答方案</w:t>
            </w:r>
          </w:p>
        </w:tc>
        <w:tc>
          <w:tcPr>
            <w:tcW w:w="3168" w:type="pct"/>
            <w:shd w:val="clear" w:color="auto" w:fill="auto"/>
            <w:vAlign w:val="center"/>
          </w:tcPr>
          <w:p w14:paraId="61EC9281">
            <w:pPr>
              <w:rPr>
                <w:rFonts w:cs="黑体" w:asciiTheme="minorEastAsia" w:hAnsiTheme="minorEastAsia"/>
                <w:sz w:val="24"/>
              </w:rPr>
            </w:pPr>
            <w:r>
              <w:rPr>
                <w:rFonts w:hint="eastAsia" w:cs="黑体" w:asciiTheme="minorEastAsia" w:hAnsiTheme="minorEastAsia"/>
                <w:sz w:val="24"/>
              </w:rPr>
              <w:t>符合第二章</w:t>
            </w:r>
            <w:r>
              <w:rPr>
                <w:rFonts w:cs="黑体" w:asciiTheme="minorEastAsia" w:hAnsiTheme="minorEastAsia"/>
                <w:sz w:val="24"/>
              </w:rPr>
              <w:t>供应商须知</w:t>
            </w:r>
            <w:r>
              <w:rPr>
                <w:rFonts w:hint="eastAsia" w:cs="黑体" w:asciiTheme="minorEastAsia" w:hAnsiTheme="minorEastAsia"/>
                <w:sz w:val="24"/>
              </w:rPr>
              <w:t>第3.6款规定。</w:t>
            </w:r>
          </w:p>
        </w:tc>
      </w:tr>
      <w:tr w14:paraId="0C81C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444" w:type="pct"/>
            <w:vMerge w:val="continue"/>
          </w:tcPr>
          <w:p w14:paraId="6CCA8835">
            <w:pPr>
              <w:rPr>
                <w:rFonts w:cs="黑体" w:asciiTheme="minorEastAsia" w:hAnsiTheme="minorEastAsia"/>
                <w:sz w:val="24"/>
              </w:rPr>
            </w:pPr>
          </w:p>
        </w:tc>
        <w:tc>
          <w:tcPr>
            <w:tcW w:w="591" w:type="pct"/>
            <w:vMerge w:val="continue"/>
          </w:tcPr>
          <w:p w14:paraId="5792A9B6">
            <w:pPr>
              <w:rPr>
                <w:rFonts w:cs="黑体" w:asciiTheme="minorEastAsia" w:hAnsiTheme="minorEastAsia"/>
                <w:sz w:val="24"/>
              </w:rPr>
            </w:pPr>
          </w:p>
        </w:tc>
        <w:tc>
          <w:tcPr>
            <w:tcW w:w="797" w:type="pct"/>
            <w:shd w:val="clear" w:color="auto" w:fill="auto"/>
            <w:vAlign w:val="center"/>
          </w:tcPr>
          <w:p w14:paraId="49206622">
            <w:pPr>
              <w:jc w:val="center"/>
              <w:rPr>
                <w:rFonts w:cs="黑体" w:asciiTheme="minorEastAsia" w:hAnsiTheme="minorEastAsia"/>
                <w:sz w:val="24"/>
              </w:rPr>
            </w:pPr>
            <w:r>
              <w:rPr>
                <w:rFonts w:hint="eastAsia" w:cs="黑体" w:asciiTheme="minorEastAsia" w:hAnsiTheme="minorEastAsia"/>
                <w:sz w:val="24"/>
              </w:rPr>
              <w:t>服务期</w:t>
            </w:r>
          </w:p>
        </w:tc>
        <w:tc>
          <w:tcPr>
            <w:tcW w:w="3168" w:type="pct"/>
            <w:shd w:val="clear" w:color="auto" w:fill="auto"/>
            <w:vAlign w:val="center"/>
          </w:tcPr>
          <w:p w14:paraId="39CAA4EC">
            <w:pPr>
              <w:rPr>
                <w:rFonts w:cs="黑体" w:asciiTheme="minorEastAsia" w:hAnsiTheme="minorEastAsia"/>
                <w:sz w:val="24"/>
              </w:rPr>
            </w:pPr>
            <w:r>
              <w:rPr>
                <w:rFonts w:hint="eastAsia" w:cs="黑体" w:asciiTheme="minorEastAsia" w:hAnsiTheme="minorEastAsia"/>
                <w:sz w:val="24"/>
              </w:rPr>
              <w:t>符合第一章第2条规定。</w:t>
            </w:r>
          </w:p>
        </w:tc>
      </w:tr>
      <w:tr w14:paraId="4FFD5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444" w:type="pct"/>
            <w:vMerge w:val="continue"/>
          </w:tcPr>
          <w:p w14:paraId="65AB943A">
            <w:pPr>
              <w:rPr>
                <w:rFonts w:cs="黑体" w:asciiTheme="minorEastAsia" w:hAnsiTheme="minorEastAsia"/>
                <w:sz w:val="24"/>
              </w:rPr>
            </w:pPr>
          </w:p>
        </w:tc>
        <w:tc>
          <w:tcPr>
            <w:tcW w:w="591" w:type="pct"/>
            <w:vMerge w:val="continue"/>
          </w:tcPr>
          <w:p w14:paraId="2B840D36">
            <w:pPr>
              <w:rPr>
                <w:rFonts w:cs="黑体" w:asciiTheme="minorEastAsia" w:hAnsiTheme="minorEastAsia"/>
                <w:sz w:val="24"/>
              </w:rPr>
            </w:pPr>
          </w:p>
        </w:tc>
        <w:tc>
          <w:tcPr>
            <w:tcW w:w="797" w:type="pct"/>
            <w:shd w:val="clear" w:color="auto" w:fill="auto"/>
            <w:vAlign w:val="center"/>
          </w:tcPr>
          <w:p w14:paraId="17D09D7A">
            <w:pPr>
              <w:jc w:val="center"/>
              <w:rPr>
                <w:rFonts w:cs="黑体" w:asciiTheme="minorEastAsia" w:hAnsiTheme="minorEastAsia"/>
                <w:sz w:val="24"/>
              </w:rPr>
            </w:pPr>
            <w:r>
              <w:rPr>
                <w:rFonts w:hint="eastAsia" w:cs="黑体" w:asciiTheme="minorEastAsia" w:hAnsiTheme="minorEastAsia"/>
                <w:sz w:val="24"/>
              </w:rPr>
              <w:t>合同条款</w:t>
            </w:r>
          </w:p>
        </w:tc>
        <w:tc>
          <w:tcPr>
            <w:tcW w:w="3168" w:type="pct"/>
            <w:shd w:val="clear" w:color="auto" w:fill="auto"/>
            <w:vAlign w:val="center"/>
          </w:tcPr>
          <w:p w14:paraId="7B2C4E24">
            <w:pPr>
              <w:rPr>
                <w:rFonts w:cs="黑体" w:asciiTheme="minorEastAsia" w:hAnsiTheme="minorEastAsia"/>
                <w:sz w:val="24"/>
              </w:rPr>
            </w:pPr>
            <w:r>
              <w:rPr>
                <w:rFonts w:hint="eastAsia" w:cs="黑体" w:asciiTheme="minorEastAsia" w:hAnsiTheme="minorEastAsia"/>
                <w:sz w:val="24"/>
              </w:rPr>
              <w:t>符合第四章合同草案的规定。</w:t>
            </w:r>
          </w:p>
        </w:tc>
      </w:tr>
      <w:tr w14:paraId="1D3B4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444" w:type="pct"/>
            <w:vMerge w:val="continue"/>
          </w:tcPr>
          <w:p w14:paraId="4D55E632">
            <w:pPr>
              <w:rPr>
                <w:rFonts w:cs="黑体" w:asciiTheme="minorEastAsia" w:hAnsiTheme="minorEastAsia"/>
                <w:sz w:val="24"/>
              </w:rPr>
            </w:pPr>
          </w:p>
        </w:tc>
        <w:tc>
          <w:tcPr>
            <w:tcW w:w="591" w:type="pct"/>
            <w:vMerge w:val="continue"/>
          </w:tcPr>
          <w:p w14:paraId="0767FEA2">
            <w:pPr>
              <w:rPr>
                <w:rFonts w:cs="黑体" w:asciiTheme="minorEastAsia" w:hAnsiTheme="minorEastAsia"/>
                <w:sz w:val="24"/>
              </w:rPr>
            </w:pPr>
          </w:p>
        </w:tc>
        <w:tc>
          <w:tcPr>
            <w:tcW w:w="797" w:type="pct"/>
            <w:shd w:val="clear" w:color="auto" w:fill="auto"/>
            <w:vAlign w:val="center"/>
          </w:tcPr>
          <w:p w14:paraId="223DD79E">
            <w:pPr>
              <w:jc w:val="center"/>
              <w:rPr>
                <w:rFonts w:cs="黑体" w:asciiTheme="minorEastAsia" w:hAnsiTheme="minorEastAsia"/>
                <w:sz w:val="24"/>
              </w:rPr>
            </w:pPr>
            <w:r>
              <w:rPr>
                <w:rFonts w:hint="eastAsia" w:cs="黑体" w:asciiTheme="minorEastAsia" w:hAnsiTheme="minorEastAsia"/>
                <w:sz w:val="24"/>
              </w:rPr>
              <w:t>对非关键条款的偏差</w:t>
            </w:r>
          </w:p>
        </w:tc>
        <w:tc>
          <w:tcPr>
            <w:tcW w:w="3168" w:type="pct"/>
            <w:shd w:val="clear" w:color="auto" w:fill="auto"/>
            <w:vAlign w:val="center"/>
          </w:tcPr>
          <w:p w14:paraId="5411068A">
            <w:pPr>
              <w:rPr>
                <w:rFonts w:cs="黑体" w:asciiTheme="minorEastAsia" w:hAnsiTheme="minorEastAsia"/>
                <w:sz w:val="24"/>
              </w:rPr>
            </w:pPr>
            <w:r>
              <w:rPr>
                <w:rFonts w:hint="eastAsia" w:cs="黑体" w:asciiTheme="minorEastAsia" w:hAnsiTheme="minorEastAsia"/>
                <w:sz w:val="24"/>
              </w:rPr>
              <w:t>偏差范围和偏差项数符合第二章第1.10.2项的规定。</w:t>
            </w:r>
          </w:p>
        </w:tc>
      </w:tr>
      <w:tr w14:paraId="3F73A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035" w:type="pct"/>
            <w:gridSpan w:val="2"/>
            <w:vAlign w:val="center"/>
          </w:tcPr>
          <w:p w14:paraId="2023B9D1">
            <w:pPr>
              <w:jc w:val="center"/>
              <w:rPr>
                <w:rFonts w:cs="黑体" w:asciiTheme="minorEastAsia" w:hAnsiTheme="minorEastAsia"/>
                <w:sz w:val="24"/>
              </w:rPr>
            </w:pPr>
            <w:r>
              <w:rPr>
                <w:rFonts w:hint="eastAsia" w:cs="黑体" w:asciiTheme="minorEastAsia" w:hAnsiTheme="minorEastAsia"/>
                <w:sz w:val="24"/>
              </w:rPr>
              <w:t>3.1.1</w:t>
            </w:r>
          </w:p>
        </w:tc>
        <w:tc>
          <w:tcPr>
            <w:tcW w:w="797" w:type="pct"/>
            <w:vAlign w:val="center"/>
          </w:tcPr>
          <w:p w14:paraId="23CF7FCA">
            <w:pPr>
              <w:jc w:val="center"/>
              <w:rPr>
                <w:rFonts w:cs="黑体" w:asciiTheme="minorEastAsia" w:hAnsiTheme="minorEastAsia"/>
                <w:sz w:val="24"/>
              </w:rPr>
            </w:pPr>
            <w:r>
              <w:rPr>
                <w:rFonts w:hint="eastAsia" w:cs="黑体" w:asciiTheme="minorEastAsia" w:hAnsiTheme="minorEastAsia"/>
                <w:sz w:val="24"/>
              </w:rPr>
              <w:t>评审价格</w:t>
            </w:r>
          </w:p>
        </w:tc>
        <w:tc>
          <w:tcPr>
            <w:tcW w:w="3168" w:type="pct"/>
            <w:vAlign w:val="center"/>
          </w:tcPr>
          <w:p w14:paraId="36682F8E">
            <w:pPr>
              <w:rPr>
                <w:rFonts w:cs="黑体" w:asciiTheme="minorEastAsia" w:hAnsiTheme="minorEastAsia"/>
                <w:bCs/>
                <w:sz w:val="24"/>
              </w:rPr>
            </w:pPr>
            <w:r>
              <w:rPr>
                <w:rFonts w:hint="eastAsia" w:cs="黑体" w:asciiTheme="minorEastAsia" w:hAnsiTheme="minorEastAsia"/>
                <w:sz w:val="24"/>
              </w:rPr>
              <w:t>（1）评审价格统一以最终报价的大写含税</w:t>
            </w:r>
            <w:r>
              <w:rPr>
                <w:rFonts w:cs="黑体" w:asciiTheme="minorEastAsia" w:hAnsiTheme="minorEastAsia"/>
                <w:sz w:val="24"/>
              </w:rPr>
              <w:t>价格</w:t>
            </w:r>
            <w:r>
              <w:rPr>
                <w:rFonts w:hint="eastAsia" w:cs="黑体" w:asciiTheme="minorEastAsia" w:hAnsiTheme="minorEastAsia"/>
                <w:sz w:val="24"/>
              </w:rPr>
              <w:t>为准。</w:t>
            </w:r>
          </w:p>
          <w:p w14:paraId="0B54E5BE">
            <w:pPr>
              <w:rPr>
                <w:rFonts w:cs="黑体" w:asciiTheme="minorEastAsia" w:hAnsiTheme="minorEastAsia"/>
                <w:bCs/>
                <w:sz w:val="24"/>
              </w:rPr>
            </w:pPr>
            <w:r>
              <w:rPr>
                <w:rFonts w:hint="eastAsia" w:cs="黑体" w:asciiTheme="minorEastAsia" w:hAnsiTheme="minorEastAsia"/>
                <w:sz w:val="24"/>
              </w:rPr>
              <w:t>（2）缺漏项调整。在采购文件需求清晰明确的情况下，如果分项报价中存在缺漏项，且缺漏项内容不属于实质性偏差的，则视为缺漏项内容的价格已包含在其他分项报价之中。</w:t>
            </w:r>
          </w:p>
          <w:p w14:paraId="486A1538">
            <w:pPr>
              <w:rPr>
                <w:rFonts w:cs="黑体" w:asciiTheme="minorEastAsia" w:hAnsiTheme="minorEastAsia"/>
                <w:bCs/>
                <w:sz w:val="24"/>
              </w:rPr>
            </w:pPr>
            <w:r>
              <w:rPr>
                <w:rFonts w:hint="eastAsia" w:cs="黑体" w:asciiTheme="minorEastAsia" w:hAnsiTheme="minorEastAsia"/>
                <w:sz w:val="24"/>
              </w:rPr>
              <w:t>（3）本项目的评审价格应为包含增值税在内的含税价格。</w:t>
            </w:r>
          </w:p>
        </w:tc>
      </w:tr>
    </w:tbl>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1204"/>
        <w:gridCol w:w="6908"/>
      </w:tblGrid>
      <w:tr w14:paraId="45602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5000" w:type="pct"/>
            <w:gridSpan w:val="3"/>
            <w:vAlign w:val="center"/>
          </w:tcPr>
          <w:p w14:paraId="0D2F61EA">
            <w:pPr>
              <w:jc w:val="center"/>
              <w:rPr>
                <w:rFonts w:cs="黑体" w:asciiTheme="minorEastAsia" w:hAnsiTheme="minorEastAsia"/>
                <w:sz w:val="24"/>
              </w:rPr>
            </w:pPr>
            <w:r>
              <w:rPr>
                <w:rFonts w:hint="eastAsia" w:cs="黑体" w:asciiTheme="minorEastAsia" w:hAnsiTheme="minorEastAsia"/>
                <w:b/>
                <w:sz w:val="24"/>
              </w:rPr>
              <w:t>3.2综合评分和排序（综合评分法）</w:t>
            </w:r>
          </w:p>
        </w:tc>
      </w:tr>
      <w:tr w14:paraId="66832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33" w:type="pct"/>
            <w:vAlign w:val="center"/>
          </w:tcPr>
          <w:p w14:paraId="213E261A">
            <w:pPr>
              <w:jc w:val="center"/>
              <w:rPr>
                <w:rFonts w:cs="黑体" w:asciiTheme="minorEastAsia" w:hAnsiTheme="minorEastAsia"/>
                <w:sz w:val="24"/>
              </w:rPr>
            </w:pPr>
            <w:r>
              <w:rPr>
                <w:rFonts w:hint="eastAsia" w:cs="黑体" w:asciiTheme="minorEastAsia" w:hAnsiTheme="minorEastAsia"/>
                <w:sz w:val="24"/>
              </w:rPr>
              <w:t>条款号</w:t>
            </w:r>
          </w:p>
        </w:tc>
        <w:tc>
          <w:tcPr>
            <w:tcW w:w="648" w:type="pct"/>
            <w:vAlign w:val="center"/>
          </w:tcPr>
          <w:p w14:paraId="77F487FC">
            <w:pPr>
              <w:jc w:val="center"/>
              <w:rPr>
                <w:rFonts w:cs="黑体" w:asciiTheme="minorEastAsia" w:hAnsiTheme="minorEastAsia"/>
                <w:sz w:val="24"/>
              </w:rPr>
            </w:pPr>
            <w:r>
              <w:rPr>
                <w:rFonts w:hint="eastAsia" w:cs="黑体" w:asciiTheme="minorEastAsia" w:hAnsiTheme="minorEastAsia"/>
                <w:sz w:val="24"/>
              </w:rPr>
              <w:t>条款内容</w:t>
            </w:r>
          </w:p>
        </w:tc>
        <w:tc>
          <w:tcPr>
            <w:tcW w:w="3718" w:type="pct"/>
            <w:vAlign w:val="center"/>
          </w:tcPr>
          <w:p w14:paraId="478C45A6">
            <w:pPr>
              <w:jc w:val="center"/>
              <w:rPr>
                <w:rFonts w:cs="黑体" w:asciiTheme="minorEastAsia" w:hAnsiTheme="minorEastAsia"/>
                <w:sz w:val="24"/>
              </w:rPr>
            </w:pPr>
            <w:r>
              <w:rPr>
                <w:rFonts w:hint="eastAsia" w:cs="黑体" w:asciiTheme="minorEastAsia" w:hAnsiTheme="minorEastAsia"/>
                <w:sz w:val="24"/>
              </w:rPr>
              <w:t>编列内容</w:t>
            </w:r>
          </w:p>
        </w:tc>
      </w:tr>
      <w:tr w14:paraId="403A4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633" w:type="pct"/>
            <w:vAlign w:val="center"/>
          </w:tcPr>
          <w:p w14:paraId="40E388FC">
            <w:pPr>
              <w:jc w:val="center"/>
              <w:rPr>
                <w:rFonts w:cs="黑体" w:asciiTheme="minorEastAsia" w:hAnsiTheme="minorEastAsia"/>
                <w:sz w:val="24"/>
              </w:rPr>
            </w:pPr>
            <w:r>
              <w:rPr>
                <w:rFonts w:hint="eastAsia" w:cs="黑体" w:asciiTheme="minorEastAsia" w:hAnsiTheme="minorEastAsia"/>
                <w:sz w:val="24"/>
              </w:rPr>
              <w:t>3.2.1</w:t>
            </w:r>
          </w:p>
        </w:tc>
        <w:tc>
          <w:tcPr>
            <w:tcW w:w="648" w:type="pct"/>
            <w:vAlign w:val="center"/>
          </w:tcPr>
          <w:p w14:paraId="478BE686">
            <w:pPr>
              <w:jc w:val="center"/>
              <w:rPr>
                <w:rFonts w:ascii="宋体" w:hAnsi="宋体" w:eastAsia="宋体" w:cs="宋体"/>
                <w:bCs/>
                <w:color w:val="000000" w:themeColor="text1"/>
                <w:sz w:val="24"/>
                <w:lang w:eastAsia="en-US"/>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分值构成</w:t>
            </w:r>
          </w:p>
          <w:p w14:paraId="69B307E5">
            <w:pPr>
              <w:jc w:val="center"/>
              <w:rPr>
                <w:rFonts w:cs="黑体" w:asciiTheme="minorEastAsia" w:hAnsiTheme="minorEastAsia"/>
                <w:bCs/>
                <w:sz w:val="24"/>
                <w:lang w:eastAsia="en-US"/>
              </w:rPr>
            </w:pPr>
            <w:r>
              <w:rPr>
                <w:rFonts w:hint="eastAsia" w:ascii="宋体" w:hAnsi="宋体" w:eastAsia="宋体" w:cs="宋体"/>
                <w:color w:val="000000" w:themeColor="text1"/>
                <w:sz w:val="24"/>
                <w14:textFill>
                  <w14:solidFill>
                    <w14:schemeClr w14:val="tx1"/>
                  </w14:solidFill>
                </w14:textFill>
              </w:rPr>
              <w:t>（总分100）</w:t>
            </w:r>
          </w:p>
        </w:tc>
        <w:tc>
          <w:tcPr>
            <w:tcW w:w="3718" w:type="pct"/>
            <w:vAlign w:val="center"/>
          </w:tcPr>
          <w:p w14:paraId="4FD22F15">
            <w:pPr>
              <w:numPr>
                <w:ilvl w:val="0"/>
                <w:numId w:val="14"/>
              </w:numPr>
              <w:ind w:firstLine="480" w:firstLineChars="200"/>
              <w:rPr>
                <w:rFonts w:ascii="宋体" w:hAnsi="宋体" w:eastAsia="宋体" w:cs="宋体"/>
                <w:bCs/>
                <w:color w:val="000000" w:themeColor="text1"/>
                <w:sz w:val="24"/>
                <w:lang w:eastAsia="en-US"/>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商务部分：</w:t>
            </w:r>
            <w:r>
              <w:rPr>
                <w:rFonts w:hint="eastAsia" w:ascii="宋体" w:hAnsi="宋体" w:eastAsia="宋体" w:cs="宋体"/>
                <w:color w:val="000000" w:themeColor="text1"/>
                <w:sz w:val="24"/>
                <w:u w:val="single"/>
                <w14:textFill>
                  <w14:solidFill>
                    <w14:schemeClr w14:val="tx1"/>
                  </w14:solidFill>
                </w14:textFill>
              </w:rPr>
              <w:t>10</w:t>
            </w:r>
            <w:r>
              <w:rPr>
                <w:rFonts w:hint="eastAsia" w:ascii="宋体" w:hAnsi="宋体" w:eastAsia="宋体" w:cs="宋体"/>
                <w:color w:val="000000" w:themeColor="text1"/>
                <w:sz w:val="24"/>
                <w14:textFill>
                  <w14:solidFill>
                    <w14:schemeClr w14:val="tx1"/>
                  </w14:solidFill>
                </w14:textFill>
              </w:rPr>
              <w:t>分</w:t>
            </w:r>
          </w:p>
          <w:p w14:paraId="13218150">
            <w:pPr>
              <w:numPr>
                <w:ilvl w:val="0"/>
                <w:numId w:val="14"/>
              </w:numPr>
              <w:ind w:firstLine="480" w:firstLineChars="200"/>
              <w:rPr>
                <w:rFonts w:ascii="宋体" w:hAnsi="宋体" w:eastAsia="宋体" w:cs="宋体"/>
                <w:bCs/>
                <w:color w:val="000000" w:themeColor="text1"/>
                <w:sz w:val="24"/>
                <w:lang w:eastAsia="en-US"/>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技术部分：</w:t>
            </w:r>
            <w:r>
              <w:rPr>
                <w:rFonts w:hint="eastAsia" w:ascii="宋体" w:hAnsi="宋体" w:eastAsia="宋体" w:cs="宋体"/>
                <w:color w:val="000000" w:themeColor="text1"/>
                <w:sz w:val="24"/>
                <w:u w:val="single"/>
                <w14:textFill>
                  <w14:solidFill>
                    <w14:schemeClr w14:val="tx1"/>
                  </w14:solidFill>
                </w14:textFill>
              </w:rPr>
              <w:t>40</w:t>
            </w:r>
            <w:r>
              <w:rPr>
                <w:rFonts w:hint="eastAsia" w:ascii="宋体" w:hAnsi="宋体" w:eastAsia="宋体" w:cs="宋体"/>
                <w:color w:val="000000" w:themeColor="text1"/>
                <w:sz w:val="24"/>
                <w14:textFill>
                  <w14:solidFill>
                    <w14:schemeClr w14:val="tx1"/>
                  </w14:solidFill>
                </w14:textFill>
              </w:rPr>
              <w:t>分</w:t>
            </w:r>
          </w:p>
          <w:p w14:paraId="7E104D78">
            <w:pPr>
              <w:numPr>
                <w:ilvl w:val="0"/>
                <w:numId w:val="14"/>
              </w:numPr>
              <w:ind w:firstLine="480" w:firstLineChars="200"/>
              <w:rPr>
                <w:rFonts w:ascii="宋体" w:hAnsi="宋体" w:eastAsia="宋体" w:cs="宋体"/>
                <w:bCs/>
                <w:color w:val="000000" w:themeColor="text1"/>
                <w:sz w:val="24"/>
                <w:lang w:eastAsia="en-US"/>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报价部分： </w:t>
            </w:r>
            <w:r>
              <w:rPr>
                <w:rFonts w:hint="eastAsia" w:ascii="宋体" w:hAnsi="宋体" w:eastAsia="宋体" w:cs="宋体"/>
                <w:color w:val="000000" w:themeColor="text1"/>
                <w:sz w:val="24"/>
                <w:u w:val="single"/>
                <w14:textFill>
                  <w14:solidFill>
                    <w14:schemeClr w14:val="tx1"/>
                  </w14:solidFill>
                </w14:textFill>
              </w:rPr>
              <w:t>50</w:t>
            </w:r>
            <w:r>
              <w:rPr>
                <w:rFonts w:hint="eastAsia" w:ascii="宋体" w:hAnsi="宋体" w:eastAsia="宋体" w:cs="宋体"/>
                <w:color w:val="000000" w:themeColor="text1"/>
                <w:sz w:val="24"/>
                <w14:textFill>
                  <w14:solidFill>
                    <w14:schemeClr w14:val="tx1"/>
                  </w14:solidFill>
                </w14:textFill>
              </w:rPr>
              <w:t>分</w:t>
            </w:r>
          </w:p>
          <w:p w14:paraId="2F19FB9E">
            <w:pPr>
              <w:numPr>
                <w:ilvl w:val="0"/>
                <w:numId w:val="14"/>
              </w:numPr>
              <w:ind w:firstLine="480" w:firstLineChars="200"/>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其他评分因素：</w:t>
            </w:r>
            <w:r>
              <w:rPr>
                <w:rFonts w:hint="eastAsia" w:ascii="宋体" w:hAnsi="宋体" w:eastAsia="宋体" w:cs="宋体"/>
                <w:color w:val="000000" w:themeColor="text1"/>
                <w:sz w:val="24"/>
                <w:u w:val="single"/>
                <w14:textFill>
                  <w14:solidFill>
                    <w14:schemeClr w14:val="tx1"/>
                  </w14:solidFill>
                </w14:textFill>
              </w:rPr>
              <w:t xml:space="preserve">   /  </w:t>
            </w:r>
            <w:r>
              <w:rPr>
                <w:rFonts w:hint="eastAsia" w:ascii="宋体" w:hAnsi="宋体" w:eastAsia="宋体" w:cs="宋体"/>
                <w:color w:val="000000" w:themeColor="text1"/>
                <w:sz w:val="24"/>
                <w14:textFill>
                  <w14:solidFill>
                    <w14:schemeClr w14:val="tx1"/>
                  </w14:solidFill>
                </w14:textFill>
              </w:rPr>
              <w:t>分(如有)</w:t>
            </w:r>
          </w:p>
          <w:p w14:paraId="2900CB44">
            <w:pPr>
              <w:ind w:firstLine="482" w:firstLineChars="200"/>
              <w:rPr>
                <w:rFonts w:cs="黑体" w:asciiTheme="minorEastAsia" w:hAnsiTheme="minorEastAsia"/>
                <w:sz w:val="24"/>
              </w:rPr>
            </w:pPr>
            <w:r>
              <w:rPr>
                <w:rFonts w:hint="eastAsia"/>
                <w:b/>
                <w:bCs/>
                <w:sz w:val="24"/>
              </w:rPr>
              <w:t>注：供应商的商务部分及技术部分合计得分低于评审条款规定的商务部分及技术部分合计分值的60%，不得被推荐为候选成交供应商。</w:t>
            </w:r>
          </w:p>
        </w:tc>
      </w:tr>
      <w:tr w14:paraId="69EE4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33" w:type="pct"/>
            <w:vAlign w:val="center"/>
          </w:tcPr>
          <w:p w14:paraId="7B81328A">
            <w:pPr>
              <w:jc w:val="center"/>
              <w:rPr>
                <w:rFonts w:cs="黑体" w:asciiTheme="minorEastAsia" w:hAnsiTheme="minorEastAsia"/>
                <w:sz w:val="24"/>
              </w:rPr>
            </w:pPr>
            <w:r>
              <w:rPr>
                <w:rFonts w:hint="eastAsia" w:cs="黑体" w:asciiTheme="minorEastAsia" w:hAnsiTheme="minorEastAsia"/>
                <w:sz w:val="24"/>
              </w:rPr>
              <w:t>3.2.2</w:t>
            </w:r>
          </w:p>
          <w:p w14:paraId="72573709">
            <w:pPr>
              <w:jc w:val="center"/>
              <w:rPr>
                <w:rFonts w:cs="黑体" w:asciiTheme="minorEastAsia" w:hAnsiTheme="minorEastAsia"/>
                <w:sz w:val="24"/>
              </w:rPr>
            </w:pPr>
            <w:r>
              <w:rPr>
                <w:rFonts w:hint="eastAsia" w:cs="黑体" w:asciiTheme="minorEastAsia" w:hAnsiTheme="minorEastAsia"/>
                <w:sz w:val="24"/>
              </w:rPr>
              <w:t>（2）</w:t>
            </w:r>
          </w:p>
        </w:tc>
        <w:tc>
          <w:tcPr>
            <w:tcW w:w="648" w:type="pct"/>
            <w:vAlign w:val="center"/>
          </w:tcPr>
          <w:p w14:paraId="3D021B43">
            <w:pPr>
              <w:jc w:val="center"/>
              <w:rPr>
                <w:rFonts w:cs="黑体" w:asciiTheme="minorEastAsia" w:hAnsiTheme="minorEastAsia"/>
                <w:sz w:val="24"/>
              </w:rPr>
            </w:pPr>
            <w:r>
              <w:rPr>
                <w:rFonts w:hint="eastAsia" w:ascii="宋体" w:hAnsi="宋体" w:eastAsia="宋体" w:cs="宋体"/>
                <w:color w:val="000000" w:themeColor="text1"/>
                <w:sz w:val="24"/>
                <w14:textFill>
                  <w14:solidFill>
                    <w14:schemeClr w14:val="tx1"/>
                  </w14:solidFill>
                </w14:textFill>
              </w:rPr>
              <w:t>评审基准价计算方法</w:t>
            </w:r>
          </w:p>
        </w:tc>
        <w:tc>
          <w:tcPr>
            <w:tcW w:w="3718" w:type="pct"/>
            <w:vAlign w:val="center"/>
          </w:tcPr>
          <w:p w14:paraId="4D34B0F6">
            <w:pPr>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评审基准价=</w:t>
            </w:r>
            <w:r>
              <w:rPr>
                <w:rFonts w:cs="黑体" w:asciiTheme="minorEastAsia" w:hAnsiTheme="minorEastAsia"/>
                <w:sz w:val="24"/>
              </w:rPr>
              <w:t>提交最终报价的所有供应商的</w:t>
            </w:r>
            <w:r>
              <w:rPr>
                <w:rFonts w:hint="eastAsia" w:cs="黑体" w:asciiTheme="minorEastAsia" w:hAnsiTheme="minorEastAsia"/>
                <w:b/>
                <w:bCs/>
                <w:sz w:val="24"/>
                <w:lang w:eastAsia="zh-CN"/>
              </w:rPr>
              <w:t>平均值</w:t>
            </w:r>
            <w:r>
              <w:rPr>
                <w:rFonts w:hint="eastAsia" w:ascii="宋体" w:hAnsi="宋体" w:eastAsia="宋体" w:cs="宋体"/>
                <w:b/>
                <w:bCs/>
                <w:color w:val="000000" w:themeColor="text1"/>
                <w:sz w:val="24"/>
                <w14:textFill>
                  <w14:solidFill>
                    <w14:schemeClr w14:val="tx1"/>
                  </w14:solidFill>
                </w14:textFill>
              </w:rPr>
              <w:t>。</w:t>
            </w:r>
          </w:p>
          <w:p w14:paraId="66D7A098">
            <w:pPr>
              <w:ind w:firstLine="482" w:firstLineChars="200"/>
            </w:pPr>
            <w:r>
              <w:rPr>
                <w:rFonts w:hint="eastAsia" w:cs="黑体" w:asciiTheme="minorEastAsia" w:hAnsiTheme="minorEastAsia"/>
                <w:b/>
                <w:bCs/>
                <w:sz w:val="24"/>
              </w:rPr>
              <w:t>注：当供应商的最终报价超出所有最终报价平均值±30%及以上的，则剔除该价格后再计算评审基准价；当所有最终报价均超出平均值±30%及以上的，则剔除正偏差率最大的最终报价后，再计算评审基准价。</w:t>
            </w:r>
          </w:p>
        </w:tc>
      </w:tr>
      <w:tr w14:paraId="5D473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33" w:type="pct"/>
            <w:vAlign w:val="center"/>
          </w:tcPr>
          <w:p w14:paraId="4DFB3E7C">
            <w:pPr>
              <w:jc w:val="center"/>
              <w:rPr>
                <w:rFonts w:cs="黑体" w:asciiTheme="minorEastAsia" w:hAnsiTheme="minorEastAsia"/>
                <w:sz w:val="24"/>
              </w:rPr>
            </w:pPr>
            <w:r>
              <w:rPr>
                <w:rFonts w:hint="eastAsia" w:cs="黑体" w:asciiTheme="minorEastAsia" w:hAnsiTheme="minorEastAsia"/>
                <w:sz w:val="24"/>
              </w:rPr>
              <w:t>3.2.3</w:t>
            </w:r>
          </w:p>
          <w:p w14:paraId="04BC8DEE">
            <w:pPr>
              <w:jc w:val="center"/>
              <w:rPr>
                <w:rFonts w:cs="黑体" w:asciiTheme="minorEastAsia" w:hAnsiTheme="minorEastAsia"/>
                <w:sz w:val="24"/>
              </w:rPr>
            </w:pPr>
            <w:r>
              <w:rPr>
                <w:rFonts w:hint="eastAsia" w:cs="黑体" w:asciiTheme="minorEastAsia" w:hAnsiTheme="minorEastAsia"/>
                <w:sz w:val="24"/>
              </w:rPr>
              <w:t>（3）</w:t>
            </w:r>
          </w:p>
        </w:tc>
        <w:tc>
          <w:tcPr>
            <w:tcW w:w="648" w:type="pct"/>
            <w:vAlign w:val="center"/>
          </w:tcPr>
          <w:p w14:paraId="39A31732">
            <w:pPr>
              <w:jc w:val="center"/>
              <w:rPr>
                <w:rFonts w:cs="黑体" w:asciiTheme="minorEastAsia" w:hAnsiTheme="minorEastAsia"/>
                <w:sz w:val="24"/>
                <w:szCs w:val="24"/>
              </w:rPr>
            </w:pPr>
            <w:r>
              <w:rPr>
                <w:rFonts w:hint="eastAsia" w:ascii="宋体" w:hAnsi="宋体" w:eastAsia="宋体" w:cs="宋体"/>
                <w:sz w:val="24"/>
                <w:szCs w:val="24"/>
              </w:rPr>
              <w:t>报价评分标准</w:t>
            </w:r>
          </w:p>
        </w:tc>
        <w:tc>
          <w:tcPr>
            <w:tcW w:w="3718" w:type="pct"/>
            <w:vAlign w:val="center"/>
          </w:tcPr>
          <w:p w14:paraId="5E2C46A0">
            <w:pPr>
              <w:rPr>
                <w:rFonts w:hint="eastAsia" w:asciiTheme="minorHAnsi" w:hAnsiTheme="minorHAnsi" w:eastAsiaTheme="minorEastAsia" w:cstheme="minorBidi"/>
                <w:bCs w:val="0"/>
                <w:kern w:val="2"/>
                <w:sz w:val="24"/>
                <w:szCs w:val="24"/>
              </w:rPr>
            </w:pPr>
            <w:r>
              <w:rPr>
                <w:rFonts w:hint="eastAsia" w:asciiTheme="minorHAnsi" w:hAnsiTheme="minorHAnsi" w:eastAsiaTheme="minorEastAsia" w:cstheme="minorBidi"/>
                <w:bCs w:val="0"/>
                <w:kern w:val="2"/>
                <w:sz w:val="24"/>
                <w:szCs w:val="24"/>
              </w:rPr>
              <w:t>偏差率= (提交最终报价的供应商评审价格-评审基准价)/评审基准价100%。</w:t>
            </w:r>
          </w:p>
          <w:p w14:paraId="554AF0E3">
            <w:pPr>
              <w:rPr>
                <w:rFonts w:hint="eastAsia" w:asciiTheme="minorHAnsi" w:hAnsiTheme="minorHAnsi" w:eastAsiaTheme="minorEastAsia" w:cstheme="minorBidi"/>
                <w:bCs w:val="0"/>
                <w:kern w:val="2"/>
                <w:sz w:val="24"/>
                <w:szCs w:val="24"/>
              </w:rPr>
            </w:pPr>
            <w:r>
              <w:rPr>
                <w:rFonts w:hint="eastAsia" w:asciiTheme="minorHAnsi" w:hAnsiTheme="minorHAnsi" w:eastAsiaTheme="minorEastAsia" w:cstheme="minorBidi"/>
                <w:bCs w:val="0"/>
                <w:kern w:val="2"/>
                <w:sz w:val="24"/>
                <w:szCs w:val="24"/>
              </w:rPr>
              <w:t>提交最终报价的供应商评审价格</w:t>
            </w:r>
            <w:r>
              <w:rPr>
                <w:rFonts w:hint="eastAsia" w:asciiTheme="minorHAnsi" w:hAnsiTheme="minorHAnsi" w:eastAsiaTheme="minorEastAsia" w:cstheme="minorBidi"/>
                <w:b w:val="0"/>
                <w:bCs w:val="0"/>
                <w:kern w:val="2"/>
                <w:sz w:val="24"/>
                <w:szCs w:val="24"/>
              </w:rPr>
              <w:t>等于</w:t>
            </w:r>
            <w:r>
              <w:rPr>
                <w:rFonts w:hint="eastAsia" w:asciiTheme="minorHAnsi" w:hAnsiTheme="minorHAnsi" w:eastAsiaTheme="minorEastAsia" w:cstheme="minorBidi"/>
                <w:bCs w:val="0"/>
                <w:kern w:val="2"/>
                <w:sz w:val="24"/>
                <w:szCs w:val="24"/>
              </w:rPr>
              <w:t>评审基准价时</w:t>
            </w:r>
            <w:r>
              <w:rPr>
                <w:rFonts w:hint="eastAsia" w:asciiTheme="minorHAnsi" w:hAnsiTheme="minorHAnsi" w:eastAsiaTheme="minorEastAsia" w:cstheme="minorBidi"/>
                <w:b w:val="0"/>
                <w:bCs w:val="0"/>
                <w:kern w:val="2"/>
                <w:sz w:val="24"/>
                <w:szCs w:val="24"/>
              </w:rPr>
              <w:t>得</w:t>
            </w:r>
            <w:r>
              <w:rPr>
                <w:rFonts w:hint="eastAsia" w:asciiTheme="minorHAnsi" w:hAnsiTheme="minorHAnsi" w:eastAsiaTheme="minorEastAsia" w:cstheme="minorBidi"/>
                <w:b w:val="0"/>
                <w:bCs w:val="0"/>
                <w:sz w:val="24"/>
                <w:szCs w:val="24"/>
                <w:u w:val="none"/>
              </w:rPr>
              <w:t>满分</w:t>
            </w:r>
            <w:r>
              <w:rPr>
                <w:rFonts w:hint="eastAsia" w:asciiTheme="minorHAnsi" w:hAnsiTheme="minorHAnsi" w:eastAsiaTheme="minorEastAsia" w:cstheme="minorBidi"/>
                <w:bCs w:val="0"/>
                <w:kern w:val="2"/>
                <w:sz w:val="24"/>
                <w:szCs w:val="24"/>
              </w:rPr>
              <w:t>；</w:t>
            </w:r>
          </w:p>
          <w:p w14:paraId="68319A14">
            <w:pPr>
              <w:rPr>
                <w:rFonts w:hint="eastAsia" w:asciiTheme="minorHAnsi" w:hAnsiTheme="minorHAnsi" w:eastAsiaTheme="minorEastAsia" w:cstheme="minorBidi"/>
                <w:bCs w:val="0"/>
                <w:kern w:val="2"/>
                <w:sz w:val="24"/>
                <w:szCs w:val="24"/>
              </w:rPr>
            </w:pPr>
            <w:r>
              <w:rPr>
                <w:rFonts w:hint="eastAsia" w:asciiTheme="minorHAnsi" w:hAnsiTheme="minorHAnsi" w:eastAsiaTheme="minorEastAsia" w:cstheme="minorBidi"/>
                <w:bCs w:val="0"/>
                <w:kern w:val="2"/>
                <w:sz w:val="24"/>
                <w:szCs w:val="24"/>
              </w:rPr>
              <w:t>提交最终报价的供应商评审价格</w:t>
            </w:r>
            <w:r>
              <w:rPr>
                <w:rFonts w:hint="eastAsia" w:asciiTheme="minorHAnsi" w:hAnsiTheme="minorHAnsi" w:eastAsiaTheme="minorEastAsia" w:cstheme="minorBidi"/>
                <w:b w:val="0"/>
                <w:kern w:val="2"/>
                <w:sz w:val="24"/>
                <w:szCs w:val="24"/>
              </w:rPr>
              <w:t>大于</w:t>
            </w:r>
            <w:r>
              <w:rPr>
                <w:rFonts w:hint="eastAsia" w:asciiTheme="minorHAnsi" w:hAnsiTheme="minorHAnsi" w:eastAsiaTheme="minorEastAsia" w:cstheme="minorBidi"/>
                <w:bCs w:val="0"/>
                <w:kern w:val="2"/>
                <w:sz w:val="24"/>
                <w:szCs w:val="24"/>
              </w:rPr>
              <w:t>评审基准价时，每偏差1%减1分；</w:t>
            </w:r>
          </w:p>
          <w:p w14:paraId="18F3B060">
            <w:pPr>
              <w:rPr>
                <w:rFonts w:hint="eastAsia"/>
                <w:bCs w:val="0"/>
                <w:sz w:val="24"/>
                <w:szCs w:val="24"/>
                <w:lang w:eastAsia="zh-CN"/>
              </w:rPr>
            </w:pPr>
            <w:r>
              <w:rPr>
                <w:rFonts w:hint="eastAsia"/>
                <w:bCs w:val="0"/>
                <w:sz w:val="24"/>
                <w:szCs w:val="24"/>
                <w:lang w:eastAsia="zh-CN"/>
              </w:rPr>
              <w:t>提交最终报价的供应商评审价格</w:t>
            </w:r>
            <w:r>
              <w:rPr>
                <w:rFonts w:hint="eastAsia"/>
                <w:b w:val="0"/>
                <w:sz w:val="24"/>
                <w:szCs w:val="24"/>
                <w:lang w:eastAsia="zh-CN"/>
              </w:rPr>
              <w:t>小于</w:t>
            </w:r>
            <w:r>
              <w:rPr>
                <w:rFonts w:hint="eastAsia"/>
                <w:bCs w:val="0"/>
                <w:sz w:val="24"/>
                <w:szCs w:val="24"/>
                <w:lang w:eastAsia="zh-CN"/>
              </w:rPr>
              <w:t>评审基准价时，每偏差1%减0.5分。</w:t>
            </w:r>
          </w:p>
          <w:p w14:paraId="57DA0FC2">
            <w:pPr>
              <w:pStyle w:val="35"/>
              <w:spacing w:line="300" w:lineRule="auto"/>
              <w:ind w:firstLine="480" w:firstLineChars="200"/>
              <w:rPr>
                <w:rFonts w:cs="黑体" w:asciiTheme="minorEastAsia" w:hAnsiTheme="minorEastAsia"/>
                <w:bCs/>
                <w:sz w:val="24"/>
                <w:szCs w:val="24"/>
                <w:lang w:eastAsia="zh-CN"/>
              </w:rPr>
            </w:pPr>
            <w:r>
              <w:rPr>
                <w:rFonts w:hint="eastAsia"/>
                <w:b w:val="0"/>
                <w:sz w:val="24"/>
                <w:szCs w:val="24"/>
                <w:lang w:eastAsia="zh-CN"/>
              </w:rPr>
              <w:t>注：不足1%按插值法进行计算，小数点后保留两位。</w:t>
            </w:r>
          </w:p>
        </w:tc>
      </w:tr>
      <w:tr w14:paraId="24DC9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633" w:type="pct"/>
            <w:vAlign w:val="center"/>
          </w:tcPr>
          <w:p w14:paraId="664857BC">
            <w:pPr>
              <w:jc w:val="center"/>
              <w:rPr>
                <w:rFonts w:cs="黑体" w:asciiTheme="minorEastAsia" w:hAnsiTheme="minorEastAsia"/>
                <w:sz w:val="24"/>
              </w:rPr>
            </w:pPr>
            <w:r>
              <w:rPr>
                <w:rFonts w:hint="eastAsia" w:cs="黑体" w:asciiTheme="minorEastAsia" w:hAnsiTheme="minorEastAsia"/>
                <w:sz w:val="24"/>
              </w:rPr>
              <w:t>条款号</w:t>
            </w:r>
          </w:p>
        </w:tc>
        <w:tc>
          <w:tcPr>
            <w:tcW w:w="648" w:type="pct"/>
            <w:vAlign w:val="center"/>
          </w:tcPr>
          <w:p w14:paraId="576D0B3A">
            <w:pPr>
              <w:jc w:val="center"/>
              <w:rPr>
                <w:rFonts w:cs="黑体" w:asciiTheme="minorEastAsia" w:hAnsiTheme="minorEastAsia"/>
                <w:sz w:val="24"/>
              </w:rPr>
            </w:pPr>
            <w:r>
              <w:rPr>
                <w:rFonts w:hint="eastAsia" w:cs="黑体" w:asciiTheme="minorEastAsia" w:hAnsiTheme="minorEastAsia"/>
                <w:sz w:val="24"/>
              </w:rPr>
              <w:t>评分因素</w:t>
            </w:r>
          </w:p>
        </w:tc>
        <w:tc>
          <w:tcPr>
            <w:tcW w:w="3718" w:type="pct"/>
            <w:vAlign w:val="center"/>
          </w:tcPr>
          <w:p w14:paraId="3FE7763B">
            <w:pPr>
              <w:jc w:val="center"/>
              <w:rPr>
                <w:rFonts w:cs="黑体" w:asciiTheme="minorEastAsia" w:hAnsiTheme="minorEastAsia"/>
                <w:sz w:val="24"/>
              </w:rPr>
            </w:pPr>
            <w:r>
              <w:rPr>
                <w:rFonts w:hint="eastAsia" w:cs="黑体" w:asciiTheme="minorEastAsia" w:hAnsiTheme="minorEastAsia"/>
                <w:sz w:val="24"/>
              </w:rPr>
              <w:t>评分标准</w:t>
            </w:r>
          </w:p>
        </w:tc>
      </w:tr>
    </w:tbl>
    <w:p w14:paraId="091C1152"/>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1204"/>
        <w:gridCol w:w="1767"/>
        <w:gridCol w:w="5141"/>
      </w:tblGrid>
      <w:tr w14:paraId="3A824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633" w:type="pct"/>
            <w:vMerge w:val="restart"/>
            <w:vAlign w:val="center"/>
          </w:tcPr>
          <w:p w14:paraId="4A8EB349">
            <w:pPr>
              <w:jc w:val="center"/>
              <w:rPr>
                <w:rFonts w:cs="黑体" w:asciiTheme="minorEastAsia" w:hAnsiTheme="minorEastAsia"/>
                <w:sz w:val="24"/>
              </w:rPr>
            </w:pPr>
            <w:r>
              <w:rPr>
                <w:rFonts w:hint="eastAsia" w:cs="黑体" w:asciiTheme="minorEastAsia" w:hAnsiTheme="minorEastAsia"/>
                <w:sz w:val="24"/>
              </w:rPr>
              <w:t>3.2.3</w:t>
            </w:r>
          </w:p>
          <w:p w14:paraId="32A8DD11">
            <w:pPr>
              <w:jc w:val="center"/>
              <w:rPr>
                <w:rFonts w:cs="黑体" w:asciiTheme="minorEastAsia" w:hAnsiTheme="minorEastAsia"/>
                <w:sz w:val="24"/>
              </w:rPr>
            </w:pPr>
            <w:r>
              <w:rPr>
                <w:rFonts w:hint="eastAsia" w:cs="黑体" w:asciiTheme="minorEastAsia" w:hAnsiTheme="minorEastAsia"/>
                <w:sz w:val="24"/>
              </w:rPr>
              <w:t>（1）</w:t>
            </w:r>
          </w:p>
        </w:tc>
        <w:tc>
          <w:tcPr>
            <w:tcW w:w="648" w:type="pct"/>
            <w:vMerge w:val="restart"/>
            <w:vAlign w:val="center"/>
          </w:tcPr>
          <w:p w14:paraId="7C2D91FA">
            <w:pPr>
              <w:jc w:val="center"/>
              <w:rPr>
                <w:rFonts w:ascii="宋体" w:hAnsi="宋体" w:eastAsia="宋体" w:cs="宋体"/>
                <w:sz w:val="24"/>
              </w:rPr>
            </w:pPr>
            <w:r>
              <w:rPr>
                <w:rFonts w:hint="eastAsia" w:ascii="宋体" w:hAnsi="宋体" w:eastAsia="宋体" w:cs="宋体"/>
                <w:sz w:val="24"/>
              </w:rPr>
              <w:t>商务评分标准</w:t>
            </w:r>
          </w:p>
        </w:tc>
        <w:tc>
          <w:tcPr>
            <w:tcW w:w="951" w:type="pct"/>
            <w:vAlign w:val="center"/>
          </w:tcPr>
          <w:p w14:paraId="0D08B6A1">
            <w:pPr>
              <w:jc w:val="center"/>
              <w:rPr>
                <w:rFonts w:ascii="宋体" w:hAnsi="宋体" w:eastAsia="宋体" w:cs="宋体"/>
                <w:sz w:val="24"/>
              </w:rPr>
            </w:pPr>
            <w:r>
              <w:rPr>
                <w:rFonts w:hint="eastAsia" w:ascii="宋体" w:hAnsi="宋体" w:eastAsia="宋体" w:cs="宋体"/>
                <w:sz w:val="24"/>
              </w:rPr>
              <w:t>类似业绩</w:t>
            </w:r>
          </w:p>
          <w:p w14:paraId="5B0049C1">
            <w:pPr>
              <w:jc w:val="center"/>
              <w:rPr>
                <w:rFonts w:ascii="宋体" w:hAnsi="宋体" w:eastAsia="宋体" w:cs="宋体"/>
                <w:sz w:val="24"/>
              </w:rPr>
            </w:pPr>
            <w:r>
              <w:rPr>
                <w:rFonts w:hint="eastAsia" w:ascii="宋体" w:hAnsi="宋体" w:eastAsia="宋体" w:cs="宋体"/>
                <w:sz w:val="24"/>
              </w:rPr>
              <w:t>(3分）</w:t>
            </w:r>
          </w:p>
        </w:tc>
        <w:tc>
          <w:tcPr>
            <w:tcW w:w="2767" w:type="pct"/>
            <w:vAlign w:val="center"/>
          </w:tcPr>
          <w:p w14:paraId="41803099">
            <w:pPr>
              <w:rPr>
                <w:rFonts w:ascii="宋体" w:hAnsi="宋体" w:eastAsia="宋体" w:cs="宋体"/>
                <w:sz w:val="24"/>
              </w:rPr>
            </w:pPr>
            <w:r>
              <w:rPr>
                <w:rFonts w:hint="eastAsia" w:ascii="宋体" w:hAnsi="宋体" w:eastAsia="宋体" w:cs="宋体"/>
                <w:sz w:val="24"/>
              </w:rPr>
              <w:t>供应商应提供2023年1月1日至今已签订的软件开发合同（PDM类或PLM类或图文档管理类）金额 10 万元及以上产品供货合同复印件。合同内容应能体现甲乙双方盖章页、金额页（框架合同若无金额页，需同时提供满足金额要求的合同相关订单或发票）、合同签订或生效时间、标的物名称（如有必要提供技术协议或技术附件或供货清单）等主要内容。每提供一份业绩得1分，最高得3分。未按上述要求提供的业绩证明均不予认可。</w:t>
            </w:r>
          </w:p>
          <w:p w14:paraId="539A1D44">
            <w:pPr>
              <w:pStyle w:val="35"/>
              <w:spacing w:before="40"/>
              <w:ind w:right="57"/>
              <w:jc w:val="both"/>
              <w:rPr>
                <w:sz w:val="24"/>
                <w:szCs w:val="24"/>
                <w:lang w:eastAsia="zh-CN"/>
              </w:rPr>
            </w:pPr>
            <w:r>
              <w:rPr>
                <w:rFonts w:hint="eastAsia"/>
                <w:sz w:val="24"/>
                <w:szCs w:val="24"/>
                <w:lang w:eastAsia="zh-CN"/>
              </w:rPr>
              <w:t>注：上述要求提供的业绩证明除合同形式外，也可为协议或任务书等其它具有法律约束力的契约文件。</w:t>
            </w:r>
          </w:p>
        </w:tc>
      </w:tr>
      <w:tr w14:paraId="7D7E8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633" w:type="pct"/>
            <w:vMerge w:val="continue"/>
            <w:vAlign w:val="center"/>
          </w:tcPr>
          <w:p w14:paraId="6782DA4F">
            <w:pPr>
              <w:jc w:val="center"/>
              <w:rPr>
                <w:rFonts w:cs="黑体" w:asciiTheme="minorEastAsia" w:hAnsiTheme="minorEastAsia"/>
                <w:sz w:val="24"/>
              </w:rPr>
            </w:pPr>
          </w:p>
        </w:tc>
        <w:tc>
          <w:tcPr>
            <w:tcW w:w="648" w:type="pct"/>
            <w:vMerge w:val="continue"/>
            <w:vAlign w:val="center"/>
          </w:tcPr>
          <w:p w14:paraId="40A8A644">
            <w:pPr>
              <w:jc w:val="center"/>
              <w:rPr>
                <w:rFonts w:ascii="宋体" w:hAnsi="宋体" w:eastAsia="宋体" w:cs="宋体"/>
                <w:sz w:val="24"/>
              </w:rPr>
            </w:pPr>
          </w:p>
        </w:tc>
        <w:tc>
          <w:tcPr>
            <w:tcW w:w="951" w:type="pct"/>
            <w:vAlign w:val="center"/>
          </w:tcPr>
          <w:p w14:paraId="24C8AD5D">
            <w:pPr>
              <w:jc w:val="center"/>
              <w:rPr>
                <w:rFonts w:ascii="宋体" w:hAnsi="宋体" w:eastAsia="宋体" w:cs="宋体"/>
                <w:sz w:val="24"/>
              </w:rPr>
            </w:pPr>
            <w:r>
              <w:rPr>
                <w:rFonts w:hint="eastAsia" w:ascii="宋体" w:hAnsi="宋体" w:eastAsia="宋体" w:cs="宋体"/>
                <w:sz w:val="24"/>
              </w:rPr>
              <w:t>团队配置</w:t>
            </w:r>
          </w:p>
          <w:p w14:paraId="714B20EB">
            <w:pPr>
              <w:jc w:val="center"/>
              <w:rPr>
                <w:rFonts w:ascii="宋体" w:hAnsi="宋体" w:eastAsia="宋体" w:cs="宋体"/>
                <w:sz w:val="24"/>
              </w:rPr>
            </w:pPr>
            <w:r>
              <w:rPr>
                <w:rFonts w:hint="eastAsia" w:ascii="宋体" w:hAnsi="宋体" w:eastAsia="宋体" w:cs="宋体"/>
                <w:sz w:val="24"/>
              </w:rPr>
              <w:t>(5分）</w:t>
            </w:r>
          </w:p>
        </w:tc>
        <w:tc>
          <w:tcPr>
            <w:tcW w:w="2767" w:type="pct"/>
            <w:vAlign w:val="center"/>
          </w:tcPr>
          <w:p w14:paraId="70BFC7CC">
            <w:pPr>
              <w:rPr>
                <w:rFonts w:ascii="宋体" w:hAnsi="宋体" w:eastAsia="宋体" w:cs="宋体"/>
                <w:sz w:val="24"/>
              </w:rPr>
            </w:pPr>
            <w:r>
              <w:rPr>
                <w:rFonts w:hint="eastAsia" w:ascii="宋体" w:hAnsi="宋体" w:eastAsia="宋体" w:cs="宋体"/>
                <w:sz w:val="24"/>
              </w:rPr>
              <w:t>1）本项目配置项目负责人具有8年及以上企业信息化项目开发经验，且具备本科及以上学历。得1分。</w:t>
            </w:r>
          </w:p>
          <w:p w14:paraId="1AC496F5">
            <w:pPr>
              <w:rPr>
                <w:rFonts w:ascii="宋体" w:hAnsi="宋体" w:eastAsia="宋体" w:cs="宋体"/>
                <w:sz w:val="24"/>
              </w:rPr>
            </w:pPr>
            <w:r>
              <w:rPr>
                <w:rFonts w:hint="eastAsia" w:ascii="宋体" w:hAnsi="宋体" w:eastAsia="宋体" w:cs="宋体"/>
                <w:sz w:val="24"/>
              </w:rPr>
              <w:t>2）本项目配置开发团队成员（不包含项目负责人）具有5年及以上企业信息化项目开发经验，且具备本科及以上学历，在满足2人条件的基础上，每多配置1人得1分，最高得4分。</w:t>
            </w:r>
          </w:p>
          <w:p w14:paraId="4B749B2C">
            <w:pPr>
              <w:rPr>
                <w:rFonts w:ascii="宋体" w:hAnsi="宋体" w:eastAsia="宋体" w:cs="宋体"/>
                <w:sz w:val="24"/>
              </w:rPr>
            </w:pPr>
          </w:p>
          <w:p w14:paraId="5ED68F40">
            <w:pPr>
              <w:rPr>
                <w:rFonts w:ascii="宋体" w:hAnsi="宋体" w:eastAsia="宋体" w:cs="宋体"/>
                <w:sz w:val="24"/>
              </w:rPr>
            </w:pPr>
            <w:r>
              <w:rPr>
                <w:rFonts w:hint="eastAsia" w:ascii="宋体" w:hAnsi="宋体" w:eastAsia="宋体" w:cs="宋体"/>
                <w:sz w:val="24"/>
              </w:rPr>
              <w:t>注：（1）供应商为企业单位的应提供供应商或供应商委托的代缴公司（须提供委托证明）为项目负责人在最近 6 个月连续缴纳的社保证明（须由国家社保部门出具），从应答截止时间的当月或上一个月或上上个月起算，往前推6个月的连续、不间断的缴费证明，企业设立不足6个月的可少于6个月；供应商为事业单位，不能提供社保缴纳证明的，可提供在职证明（在职证明材料具体形式不限，但应体现时间因素为应答截止时间前6个月中任意时间，该人员为本校、本单位人员的在职证明材料）；</w:t>
            </w:r>
          </w:p>
          <w:p w14:paraId="21A69904">
            <w:pPr>
              <w:rPr>
                <w:rFonts w:ascii="宋体" w:hAnsi="宋体" w:eastAsia="宋体" w:cs="宋体"/>
                <w:sz w:val="24"/>
              </w:rPr>
            </w:pPr>
            <w:r>
              <w:rPr>
                <w:rFonts w:hint="eastAsia" w:ascii="宋体" w:hAnsi="宋体" w:eastAsia="宋体" w:cs="宋体"/>
                <w:sz w:val="24"/>
              </w:rPr>
              <w:t>（2）供应商为企业单位的应提供供应商或供应商委托的代缴公司（须提供委托证明）为团队成员（除项目负责人）在最近 6 个月中任意3个月的社保证明（须由国家社保部门出具），从应答截止时间的当月或上一个月或上上个月起算，往前推6个月中任意3个月的缴费证明，企业设立不足3个月的可少于3个月；供应商为事业单位，不能提供社保缴纳证明的，可提供在职证明（在职证明材料具体形式不限，但应体现时间因素为应答截止时间前6个月中任意时间，该人员为本校、本单位人员的在职证明材料）；</w:t>
            </w:r>
          </w:p>
          <w:p w14:paraId="49A1096C">
            <w:pPr>
              <w:pStyle w:val="35"/>
              <w:spacing w:before="40"/>
              <w:ind w:right="57"/>
              <w:jc w:val="both"/>
              <w:rPr>
                <w:sz w:val="24"/>
                <w:szCs w:val="24"/>
                <w:lang w:eastAsia="zh-CN"/>
              </w:rPr>
            </w:pPr>
            <w:r>
              <w:rPr>
                <w:rFonts w:hint="eastAsia"/>
                <w:sz w:val="24"/>
                <w:szCs w:val="24"/>
                <w:lang w:eastAsia="zh-CN"/>
              </w:rPr>
              <w:t>（3）须提供上述提及的工作经验证明材料、学历（学位）证书或相关证书复印件等，同一人不累计得分，未按上述要求提供的证明均不得分。</w:t>
            </w:r>
          </w:p>
        </w:tc>
      </w:tr>
      <w:tr w14:paraId="7B461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633" w:type="pct"/>
            <w:vMerge w:val="continue"/>
            <w:vAlign w:val="center"/>
          </w:tcPr>
          <w:p w14:paraId="2B732A9F">
            <w:pPr>
              <w:jc w:val="center"/>
              <w:rPr>
                <w:rFonts w:cs="黑体" w:asciiTheme="minorEastAsia" w:hAnsiTheme="minorEastAsia"/>
                <w:sz w:val="24"/>
              </w:rPr>
            </w:pPr>
          </w:p>
        </w:tc>
        <w:tc>
          <w:tcPr>
            <w:tcW w:w="648" w:type="pct"/>
            <w:vMerge w:val="continue"/>
            <w:vAlign w:val="center"/>
          </w:tcPr>
          <w:p w14:paraId="64DFE879">
            <w:pPr>
              <w:jc w:val="center"/>
              <w:rPr>
                <w:rFonts w:ascii="宋体" w:hAnsi="宋体" w:eastAsia="宋体" w:cs="宋体"/>
                <w:sz w:val="24"/>
              </w:rPr>
            </w:pPr>
          </w:p>
        </w:tc>
        <w:tc>
          <w:tcPr>
            <w:tcW w:w="951" w:type="pct"/>
            <w:vAlign w:val="center"/>
          </w:tcPr>
          <w:p w14:paraId="5925E7D6">
            <w:pPr>
              <w:jc w:val="center"/>
              <w:rPr>
                <w:rFonts w:ascii="宋体" w:hAnsi="宋体" w:eastAsia="宋体" w:cs="宋体"/>
                <w:sz w:val="24"/>
              </w:rPr>
            </w:pPr>
            <w:r>
              <w:rPr>
                <w:rFonts w:hint="eastAsia" w:ascii="宋体" w:hAnsi="宋体" w:eastAsia="宋体" w:cs="宋体"/>
                <w:sz w:val="24"/>
              </w:rPr>
              <w:t>实施保障及售后服务</w:t>
            </w:r>
          </w:p>
          <w:p w14:paraId="0A147A06">
            <w:pPr>
              <w:jc w:val="center"/>
              <w:rPr>
                <w:rFonts w:ascii="宋体" w:hAnsi="宋体" w:eastAsia="宋体" w:cs="宋体"/>
                <w:sz w:val="24"/>
              </w:rPr>
            </w:pPr>
            <w:r>
              <w:rPr>
                <w:rFonts w:hint="eastAsia" w:ascii="宋体" w:hAnsi="宋体" w:eastAsia="宋体" w:cs="宋体"/>
                <w:sz w:val="24"/>
              </w:rPr>
              <w:t>(2分）</w:t>
            </w:r>
          </w:p>
        </w:tc>
        <w:tc>
          <w:tcPr>
            <w:tcW w:w="2767" w:type="pct"/>
            <w:vAlign w:val="center"/>
          </w:tcPr>
          <w:p w14:paraId="65CFD9F9">
            <w:pPr>
              <w:pStyle w:val="35"/>
              <w:spacing w:before="40"/>
              <w:ind w:right="57"/>
              <w:jc w:val="both"/>
              <w:rPr>
                <w:sz w:val="24"/>
                <w:szCs w:val="24"/>
                <w:lang w:eastAsia="zh-CN"/>
              </w:rPr>
            </w:pPr>
            <w:r>
              <w:rPr>
                <w:rFonts w:hint="eastAsia"/>
                <w:sz w:val="24"/>
                <w:szCs w:val="24"/>
                <w:lang w:eastAsia="zh-CN"/>
              </w:rPr>
              <w:t>供应商制定详细的售后服务方案，包括但不限于质保期、售后响应时间、售后服务流程、培训方案、售后团队，根据供应商方案的合理性、可行性进行综合比较，得[0，2]分。</w:t>
            </w:r>
          </w:p>
        </w:tc>
      </w:tr>
      <w:tr w14:paraId="4C6AD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633" w:type="pct"/>
            <w:vMerge w:val="restart"/>
            <w:vAlign w:val="center"/>
          </w:tcPr>
          <w:p w14:paraId="1322E918">
            <w:pPr>
              <w:jc w:val="center"/>
              <w:rPr>
                <w:rFonts w:cs="黑体" w:asciiTheme="minorEastAsia" w:hAnsiTheme="minorEastAsia"/>
                <w:sz w:val="24"/>
              </w:rPr>
            </w:pPr>
            <w:r>
              <w:rPr>
                <w:rFonts w:hint="eastAsia" w:cs="黑体" w:asciiTheme="minorEastAsia" w:hAnsiTheme="minorEastAsia"/>
                <w:sz w:val="24"/>
              </w:rPr>
              <w:t>3.2.3</w:t>
            </w:r>
          </w:p>
          <w:p w14:paraId="46245189">
            <w:pPr>
              <w:jc w:val="center"/>
              <w:rPr>
                <w:rFonts w:cs="黑体" w:asciiTheme="minorEastAsia" w:hAnsiTheme="minorEastAsia"/>
                <w:sz w:val="24"/>
              </w:rPr>
            </w:pPr>
            <w:r>
              <w:rPr>
                <w:rFonts w:hint="eastAsia" w:cs="黑体" w:asciiTheme="minorEastAsia" w:hAnsiTheme="minorEastAsia"/>
                <w:sz w:val="24"/>
              </w:rPr>
              <w:t>(2)</w:t>
            </w:r>
          </w:p>
          <w:p w14:paraId="0289A40C">
            <w:pPr>
              <w:pStyle w:val="2"/>
              <w:ind w:firstLine="0" w:firstLineChars="0"/>
              <w:rPr>
                <w:lang w:eastAsia="zh-CN"/>
              </w:rPr>
            </w:pPr>
            <w:r>
              <w:rPr>
                <w:rFonts w:hint="eastAsia"/>
                <w:color w:val="000000"/>
                <w:sz w:val="24"/>
                <w:lang w:eastAsia="zh-CN"/>
              </w:rPr>
              <w:t>注：“(，)”表示不包含本数，“[，]”表示包含本数。</w:t>
            </w:r>
          </w:p>
        </w:tc>
        <w:tc>
          <w:tcPr>
            <w:tcW w:w="648" w:type="pct"/>
            <w:vMerge w:val="restart"/>
            <w:vAlign w:val="center"/>
          </w:tcPr>
          <w:p w14:paraId="4D19721B">
            <w:pPr>
              <w:jc w:val="center"/>
              <w:rPr>
                <w:rFonts w:cs="黑体" w:asciiTheme="minorEastAsia" w:hAnsiTheme="minorEastAsia"/>
                <w:sz w:val="24"/>
              </w:rPr>
            </w:pPr>
            <w:r>
              <w:rPr>
                <w:rFonts w:hint="eastAsia" w:cs="黑体" w:asciiTheme="minorEastAsia" w:hAnsiTheme="minorEastAsia"/>
                <w:sz w:val="24"/>
              </w:rPr>
              <w:t>技术评分标准</w:t>
            </w:r>
          </w:p>
        </w:tc>
        <w:tc>
          <w:tcPr>
            <w:tcW w:w="951" w:type="pct"/>
            <w:vAlign w:val="center"/>
          </w:tcPr>
          <w:p w14:paraId="4E76EFC2">
            <w:pPr>
              <w:jc w:val="center"/>
              <w:rPr>
                <w:rFonts w:cs="黑体" w:asciiTheme="minorEastAsia" w:hAnsiTheme="minorEastAsia"/>
                <w:sz w:val="24"/>
              </w:rPr>
            </w:pPr>
            <w:r>
              <w:rPr>
                <w:rFonts w:hint="eastAsia" w:cs="黑体" w:asciiTheme="minorEastAsia" w:hAnsiTheme="minorEastAsia"/>
                <w:sz w:val="24"/>
              </w:rPr>
              <w:t>技术方案</w:t>
            </w:r>
          </w:p>
          <w:p w14:paraId="2CB1024E">
            <w:pPr>
              <w:jc w:val="center"/>
              <w:rPr>
                <w:rFonts w:cs="黑体" w:asciiTheme="minorEastAsia" w:hAnsiTheme="minorEastAsia"/>
                <w:sz w:val="24"/>
              </w:rPr>
            </w:pPr>
            <w:r>
              <w:rPr>
                <w:rFonts w:hint="eastAsia" w:ascii="宋体" w:hAnsi="宋体" w:eastAsia="宋体" w:cs="宋体"/>
                <w:sz w:val="24"/>
              </w:rPr>
              <w:t>(35分）</w:t>
            </w:r>
          </w:p>
        </w:tc>
        <w:tc>
          <w:tcPr>
            <w:tcW w:w="2767" w:type="pct"/>
          </w:tcPr>
          <w:p w14:paraId="7C62FDD6">
            <w:pPr>
              <w:pStyle w:val="35"/>
              <w:spacing w:before="40"/>
              <w:ind w:right="57"/>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按照技术规格书要求，制定技术方案，应阐述清楚、合理可行，内容全面、详细、深入、合理，充分响应研究内容、技术指标和成果要求，主要包括：</w:t>
            </w:r>
          </w:p>
          <w:p w14:paraId="26E1AE54">
            <w:pPr>
              <w:pStyle w:val="35"/>
              <w:spacing w:before="40"/>
              <w:ind w:right="57"/>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供应商在充分理解采购文件要求的基础上，根据图文档管理系统实施服务技术规格书的要求，提供产品文档数据管理的技术方案：包括但不限于总体的技术路线、架构、重点模块设计等。对照技术规格书要求，根据方案的符合性、完整性及合理性进行评分，优得(6，8]分，良得(4，6]分，一般得（0, 4]分。</w:t>
            </w:r>
          </w:p>
          <w:p w14:paraId="1DAC84E3">
            <w:pPr>
              <w:pStyle w:val="35"/>
              <w:spacing w:before="40"/>
              <w:ind w:right="57"/>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供应商在充分理解采购文件要求的基础上，根据图文档管理系统实施服务技术规格书的要求，提供编码管理的技术方案：包括但不限于总体的技术路线、架构、重点模块设计等。对照技术规格书要求，根据方案的符合性、完整性及合理性进行评分，优得(4，5]分，良得(2，4]分，一般得（0，2]分。</w:t>
            </w:r>
          </w:p>
          <w:p w14:paraId="3E4FF743">
            <w:pPr>
              <w:pStyle w:val="35"/>
              <w:spacing w:before="40"/>
              <w:ind w:right="57"/>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供应商在充分理解采购文件要求的基础上，根据图文档管理系统实施服务技术规格书的要求，提供二、三维设计工具集成的技术方案：包括但不限于总体的技术路线、架构、模块设计等。对照技术规格书要求，根据方案的符合性、完整性及合理性进行评分，优得(4，6]分，良得(2，4]分，一般得（0，2]分。</w:t>
            </w:r>
          </w:p>
          <w:p w14:paraId="7D1079EF">
            <w:pPr>
              <w:pStyle w:val="35"/>
              <w:spacing w:before="40"/>
              <w:ind w:right="57"/>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4）供应商在充分理解采购文件要求的基础上，根据图文档管理系统实施服务技术规格书的要求，提供设计协同的技术方案：包括但不限于总体的技术路线、模块设计等。对照技术规格书要求，根据方案的符合性、完整性及合理性进行评分，优得(4，6]分，良得（2，4]分，一般得（0，2]分。</w:t>
            </w:r>
          </w:p>
          <w:p w14:paraId="4A655F0E">
            <w:pPr>
              <w:pStyle w:val="35"/>
              <w:spacing w:before="40"/>
              <w:ind w:right="57"/>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5）供应商在充分理解采购文件要求的基础上，根据图文档管理系统实施服务技术规格书的要求，提供变更管理的技术方案：包括但不限于总体的技术路线、架构、重点模块设计等。对照技术规格书要求，根据方案的符合性、完整性及合理性进行评分，优得(4，6]分，良得（2，4]分，一般得（0，2]分。</w:t>
            </w:r>
          </w:p>
          <w:p w14:paraId="724498EC">
            <w:pPr>
              <w:pStyle w:val="35"/>
              <w:spacing w:before="40"/>
              <w:ind w:right="57"/>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6）供应商在充分理解采购文件要求的基础上，根据图文档管理系统实施服务技术规格书的要求，提供达索VPM平台数据迁移的实施方案：包括但不限于总体的实施路线、迁移方案设计等。对照技术规格书要求，根据方案的符合性、完整性及合理性进行评分，优得(3，4]分，良得（2，3]分，一般得（0，2]分</w:t>
            </w:r>
          </w:p>
        </w:tc>
      </w:tr>
      <w:tr w14:paraId="31108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633" w:type="pct"/>
            <w:vMerge w:val="continue"/>
            <w:vAlign w:val="center"/>
          </w:tcPr>
          <w:p w14:paraId="404F67BB">
            <w:pPr>
              <w:pStyle w:val="2"/>
              <w:ind w:firstLine="0" w:firstLineChars="0"/>
              <w:rPr>
                <w:color w:val="000000"/>
                <w:sz w:val="24"/>
                <w:lang w:eastAsia="zh-CN"/>
              </w:rPr>
            </w:pPr>
          </w:p>
        </w:tc>
        <w:tc>
          <w:tcPr>
            <w:tcW w:w="648" w:type="pct"/>
            <w:vMerge w:val="continue"/>
            <w:vAlign w:val="center"/>
          </w:tcPr>
          <w:p w14:paraId="74FB3987">
            <w:pPr>
              <w:jc w:val="center"/>
              <w:rPr>
                <w:rFonts w:cs="黑体" w:asciiTheme="minorEastAsia" w:hAnsiTheme="minorEastAsia"/>
                <w:sz w:val="24"/>
              </w:rPr>
            </w:pPr>
          </w:p>
        </w:tc>
        <w:tc>
          <w:tcPr>
            <w:tcW w:w="951" w:type="pct"/>
            <w:vAlign w:val="center"/>
          </w:tcPr>
          <w:p w14:paraId="4C72D6E6">
            <w:pPr>
              <w:jc w:val="center"/>
              <w:rPr>
                <w:rFonts w:ascii="宋体" w:hAnsi="宋体" w:eastAsia="宋体" w:cs="宋体"/>
                <w:sz w:val="24"/>
              </w:rPr>
            </w:pPr>
            <w:r>
              <w:rPr>
                <w:rFonts w:hint="eastAsia" w:ascii="宋体" w:hAnsi="宋体" w:eastAsia="宋体" w:cs="宋体"/>
                <w:sz w:val="24"/>
              </w:rPr>
              <w:t>工作进度</w:t>
            </w:r>
          </w:p>
          <w:p w14:paraId="3B1E3FF6">
            <w:pPr>
              <w:jc w:val="center"/>
              <w:rPr>
                <w:rFonts w:ascii="宋体" w:hAnsi="宋体" w:eastAsia="宋体" w:cs="宋体"/>
                <w:sz w:val="24"/>
              </w:rPr>
            </w:pPr>
            <w:r>
              <w:rPr>
                <w:rFonts w:hint="eastAsia" w:ascii="宋体" w:hAnsi="宋体" w:eastAsia="宋体" w:cs="宋体"/>
                <w:sz w:val="24"/>
              </w:rPr>
              <w:t>（5分）</w:t>
            </w:r>
          </w:p>
        </w:tc>
        <w:tc>
          <w:tcPr>
            <w:tcW w:w="2767" w:type="pct"/>
          </w:tcPr>
          <w:p w14:paraId="6F77EF49">
            <w:pPr>
              <w:pStyle w:val="35"/>
              <w:spacing w:before="40"/>
              <w:ind w:right="57"/>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依据采购方的服务进度要求，供应商制定详细的进度计划安排或交付计划，分析项目可能存在风险，给出应对的风险控制措施。对进度安排的合理性和应对措施的有效性进行综合评价，优得(4，5]分，良得(2，4]分，一般得(0，2]分。</w:t>
            </w:r>
          </w:p>
        </w:tc>
      </w:tr>
      <w:tr w14:paraId="0590F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633" w:type="pct"/>
            <w:vAlign w:val="center"/>
          </w:tcPr>
          <w:p w14:paraId="498DDFE3">
            <w:pPr>
              <w:jc w:val="center"/>
              <w:rPr>
                <w:rFonts w:cs="黑体" w:asciiTheme="minorEastAsia" w:hAnsiTheme="minorEastAsia"/>
                <w:sz w:val="24"/>
              </w:rPr>
            </w:pPr>
            <w:r>
              <w:rPr>
                <w:rFonts w:hint="eastAsia" w:cs="黑体" w:asciiTheme="minorEastAsia" w:hAnsiTheme="minorEastAsia"/>
                <w:sz w:val="24"/>
              </w:rPr>
              <w:t>3.2.3（4）</w:t>
            </w:r>
          </w:p>
        </w:tc>
        <w:tc>
          <w:tcPr>
            <w:tcW w:w="648" w:type="pct"/>
            <w:vAlign w:val="center"/>
          </w:tcPr>
          <w:p w14:paraId="65F4B420">
            <w:pPr>
              <w:rPr>
                <w:rFonts w:cs="黑体" w:asciiTheme="minorEastAsia" w:hAnsiTheme="minorEastAsia"/>
                <w:sz w:val="24"/>
              </w:rPr>
            </w:pPr>
            <w:r>
              <w:rPr>
                <w:rFonts w:hint="eastAsia" w:cs="黑体" w:asciiTheme="minorEastAsia" w:hAnsiTheme="minorEastAsia"/>
                <w:sz w:val="24"/>
              </w:rPr>
              <w:t>其他因素</w:t>
            </w:r>
          </w:p>
          <w:p w14:paraId="34C85C51">
            <w:pPr>
              <w:rPr>
                <w:rFonts w:cs="黑体" w:asciiTheme="minorEastAsia" w:hAnsiTheme="minorEastAsia"/>
                <w:sz w:val="24"/>
              </w:rPr>
            </w:pPr>
            <w:r>
              <w:rPr>
                <w:rFonts w:hint="eastAsia" w:cs="黑体" w:asciiTheme="minorEastAsia" w:hAnsiTheme="minorEastAsia"/>
                <w:sz w:val="24"/>
              </w:rPr>
              <w:t>评分标准</w:t>
            </w:r>
          </w:p>
        </w:tc>
        <w:tc>
          <w:tcPr>
            <w:tcW w:w="951" w:type="pct"/>
            <w:vAlign w:val="center"/>
          </w:tcPr>
          <w:p w14:paraId="52C5DF4E">
            <w:pPr>
              <w:rPr>
                <w:rFonts w:cs="黑体" w:asciiTheme="minorEastAsia" w:hAnsiTheme="minorEastAsia"/>
                <w:sz w:val="24"/>
              </w:rPr>
            </w:pPr>
            <w:r>
              <w:rPr>
                <w:rFonts w:hint="eastAsia" w:cs="黑体" w:asciiTheme="minorEastAsia" w:hAnsiTheme="minorEastAsia"/>
                <w:sz w:val="24"/>
              </w:rPr>
              <w:t>/</w:t>
            </w:r>
          </w:p>
        </w:tc>
        <w:tc>
          <w:tcPr>
            <w:tcW w:w="2767" w:type="pct"/>
            <w:vAlign w:val="center"/>
          </w:tcPr>
          <w:p w14:paraId="69D13C23">
            <w:pPr>
              <w:rPr>
                <w:rFonts w:cs="黑体" w:asciiTheme="minorEastAsia" w:hAnsiTheme="minorEastAsia"/>
                <w:sz w:val="24"/>
              </w:rPr>
            </w:pPr>
            <w:r>
              <w:rPr>
                <w:rFonts w:hint="eastAsia" w:cs="黑体" w:asciiTheme="minorEastAsia" w:hAnsiTheme="minorEastAsia"/>
                <w:sz w:val="24"/>
              </w:rPr>
              <w:t>/</w:t>
            </w:r>
          </w:p>
        </w:tc>
      </w:tr>
      <w:bookmarkEnd w:id="12"/>
    </w:tbl>
    <w:p w14:paraId="0A61736F">
      <w:pPr>
        <w:widowControl/>
        <w:ind w:firstLine="482" w:firstLineChars="200"/>
        <w:jc w:val="left"/>
        <w:rPr>
          <w:rFonts w:cs="黑体" w:asciiTheme="minorEastAsia" w:hAnsiTheme="minorEastAsia"/>
          <w:b/>
          <w:bCs/>
          <w:sz w:val="24"/>
        </w:rPr>
      </w:pPr>
      <w:r>
        <w:rPr>
          <w:rFonts w:cs="黑体" w:asciiTheme="minorEastAsia" w:hAnsiTheme="minorEastAsia"/>
          <w:b/>
          <w:bCs/>
          <w:sz w:val="24"/>
        </w:rPr>
        <w:br w:type="page"/>
      </w:r>
    </w:p>
    <w:p w14:paraId="4B783791">
      <w:pPr>
        <w:spacing w:line="360" w:lineRule="auto"/>
        <w:ind w:firstLine="482" w:firstLineChars="200"/>
        <w:rPr>
          <w:rFonts w:cs="黑体" w:asciiTheme="minorEastAsia" w:hAnsiTheme="minorEastAsia"/>
          <w:b/>
          <w:bCs/>
          <w:sz w:val="24"/>
        </w:rPr>
      </w:pPr>
      <w:bookmarkStart w:id="13" w:name="_Hlk181104104"/>
      <w:r>
        <w:rPr>
          <w:rFonts w:cs="黑体" w:asciiTheme="minorEastAsia" w:hAnsiTheme="minorEastAsia"/>
          <w:b/>
          <w:bCs/>
          <w:sz w:val="24"/>
        </w:rPr>
        <w:t>1.评审方法(综合评分法)</w:t>
      </w:r>
    </w:p>
    <w:p w14:paraId="3F81A828">
      <w:pPr>
        <w:spacing w:line="360" w:lineRule="auto"/>
        <w:ind w:firstLine="480" w:firstLineChars="200"/>
        <w:rPr>
          <w:rFonts w:cs="黑体" w:asciiTheme="minorEastAsia" w:hAnsiTheme="minorEastAsia"/>
          <w:sz w:val="24"/>
        </w:rPr>
      </w:pPr>
      <w:r>
        <w:rPr>
          <w:rFonts w:cs="黑体" w:asciiTheme="minorEastAsia" w:hAnsiTheme="minorEastAsia"/>
          <w:sz w:val="24"/>
        </w:rPr>
        <w:t>本次评审采用综合评分法。谈判小组对满足采购文件实质性要求的响应文件，按照本章第3</w:t>
      </w:r>
      <w:r>
        <w:rPr>
          <w:rFonts w:hint="eastAsia" w:cs="黑体" w:asciiTheme="minorEastAsia" w:hAnsiTheme="minorEastAsia"/>
          <w:sz w:val="24"/>
        </w:rPr>
        <w:t>.</w:t>
      </w:r>
      <w:r>
        <w:rPr>
          <w:rFonts w:cs="黑体" w:asciiTheme="minorEastAsia" w:hAnsiTheme="minorEastAsia"/>
          <w:sz w:val="24"/>
        </w:rPr>
        <w:t>2款规定的评分标准进行打分，并按得分由高到低的顺序推荐候选成交供应商。</w:t>
      </w:r>
      <w:r>
        <w:rPr>
          <w:rFonts w:hint="eastAsia" w:cs="黑体" w:asciiTheme="minorEastAsia" w:hAnsiTheme="minorEastAsia"/>
          <w:sz w:val="24"/>
        </w:rPr>
        <w:t>但最终报价低于其成本的除外。综合评分相等时，以最终报价低的优先；最终报价也相等的，以技术得分高的优先；如果技术得分也相等，</w:t>
      </w:r>
      <w:bookmarkStart w:id="14" w:name="_Hlk179656206"/>
      <w:r>
        <w:rPr>
          <w:rFonts w:asciiTheme="minorEastAsia" w:hAnsiTheme="minorEastAsia"/>
          <w:sz w:val="24"/>
        </w:rPr>
        <w:t>按照评</w:t>
      </w:r>
      <w:r>
        <w:rPr>
          <w:rFonts w:hint="eastAsia" w:asciiTheme="minorEastAsia" w:hAnsiTheme="minorEastAsia"/>
          <w:sz w:val="24"/>
        </w:rPr>
        <w:t>审</w:t>
      </w:r>
      <w:r>
        <w:rPr>
          <w:rFonts w:asciiTheme="minorEastAsia" w:hAnsiTheme="minorEastAsia"/>
          <w:sz w:val="24"/>
        </w:rPr>
        <w:t>办法前附表的规定确定候选</w:t>
      </w:r>
      <w:r>
        <w:rPr>
          <w:rFonts w:hint="eastAsia" w:asciiTheme="minorEastAsia" w:hAnsiTheme="minorEastAsia"/>
          <w:sz w:val="24"/>
        </w:rPr>
        <w:t>成交供应商</w:t>
      </w:r>
      <w:r>
        <w:rPr>
          <w:rFonts w:asciiTheme="minorEastAsia" w:hAnsiTheme="minorEastAsia"/>
          <w:sz w:val="24"/>
        </w:rPr>
        <w:t>顺序</w:t>
      </w:r>
      <w:r>
        <w:rPr>
          <w:rFonts w:hint="eastAsia" w:cs="黑体" w:asciiTheme="minorEastAsia" w:hAnsiTheme="minorEastAsia"/>
          <w:sz w:val="24"/>
        </w:rPr>
        <w:t>。</w:t>
      </w:r>
    </w:p>
    <w:bookmarkEnd w:id="14"/>
    <w:p w14:paraId="478CD733">
      <w:pPr>
        <w:spacing w:line="360" w:lineRule="auto"/>
        <w:ind w:firstLine="482" w:firstLineChars="200"/>
        <w:rPr>
          <w:rFonts w:cs="黑体" w:asciiTheme="minorEastAsia" w:hAnsiTheme="minorEastAsia"/>
          <w:b/>
          <w:bCs/>
          <w:sz w:val="24"/>
        </w:rPr>
      </w:pPr>
      <w:r>
        <w:rPr>
          <w:rFonts w:cs="黑体" w:asciiTheme="minorEastAsia" w:hAnsiTheme="minorEastAsia"/>
          <w:b/>
          <w:bCs/>
          <w:sz w:val="24"/>
        </w:rPr>
        <w:t>2.初步评审标准和程序</w:t>
      </w:r>
    </w:p>
    <w:p w14:paraId="14FDE677">
      <w:pPr>
        <w:spacing w:line="360" w:lineRule="auto"/>
        <w:ind w:firstLine="480" w:firstLineChars="200"/>
        <w:rPr>
          <w:rFonts w:cs="黑体" w:asciiTheme="minorEastAsia" w:hAnsiTheme="minorEastAsia"/>
          <w:sz w:val="24"/>
        </w:rPr>
      </w:pPr>
      <w:r>
        <w:rPr>
          <w:rFonts w:cs="黑体" w:asciiTheme="minorEastAsia" w:hAnsiTheme="minorEastAsia"/>
          <w:sz w:val="24"/>
        </w:rPr>
        <w:t>2.1初步评审标准</w:t>
      </w:r>
    </w:p>
    <w:p w14:paraId="6827F79D">
      <w:pPr>
        <w:spacing w:line="360" w:lineRule="auto"/>
        <w:ind w:firstLine="480" w:firstLineChars="200"/>
        <w:rPr>
          <w:rFonts w:cs="黑体" w:asciiTheme="minorEastAsia" w:hAnsiTheme="minorEastAsia"/>
          <w:sz w:val="24"/>
        </w:rPr>
      </w:pPr>
      <w:r>
        <w:rPr>
          <w:rFonts w:cs="黑体" w:asciiTheme="minorEastAsia" w:hAnsiTheme="minorEastAsia"/>
          <w:sz w:val="24"/>
        </w:rPr>
        <w:t>2.1.1形式评审标准</w:t>
      </w:r>
      <w:r>
        <w:rPr>
          <w:rFonts w:hint="eastAsia" w:cs="黑体" w:asciiTheme="minorEastAsia" w:hAnsiTheme="minorEastAsia"/>
          <w:sz w:val="24"/>
        </w:rPr>
        <w:t>：</w:t>
      </w:r>
      <w:r>
        <w:rPr>
          <w:rFonts w:cs="黑体" w:asciiTheme="minorEastAsia" w:hAnsiTheme="minorEastAsia"/>
          <w:sz w:val="24"/>
        </w:rPr>
        <w:t>见评审办法前附表。</w:t>
      </w:r>
    </w:p>
    <w:p w14:paraId="26348F49">
      <w:pPr>
        <w:spacing w:line="360" w:lineRule="auto"/>
        <w:ind w:firstLine="480" w:firstLineChars="200"/>
        <w:rPr>
          <w:rFonts w:cs="黑体" w:asciiTheme="minorEastAsia" w:hAnsiTheme="minorEastAsia"/>
          <w:sz w:val="24"/>
        </w:rPr>
      </w:pPr>
      <w:r>
        <w:rPr>
          <w:rFonts w:cs="黑体" w:asciiTheme="minorEastAsia" w:hAnsiTheme="minorEastAsia"/>
          <w:sz w:val="24"/>
        </w:rPr>
        <w:t>2.1.2资格评审标准</w:t>
      </w:r>
      <w:r>
        <w:rPr>
          <w:rFonts w:hint="eastAsia" w:cs="黑体" w:asciiTheme="minorEastAsia" w:hAnsiTheme="minorEastAsia"/>
          <w:sz w:val="24"/>
        </w:rPr>
        <w:t>：</w:t>
      </w:r>
      <w:r>
        <w:rPr>
          <w:rFonts w:cs="黑体" w:asciiTheme="minorEastAsia" w:hAnsiTheme="minorEastAsia"/>
          <w:sz w:val="24"/>
        </w:rPr>
        <w:t>见评审办法前附表。</w:t>
      </w:r>
    </w:p>
    <w:p w14:paraId="1CE6DC82">
      <w:pPr>
        <w:spacing w:line="360" w:lineRule="auto"/>
        <w:ind w:firstLine="480" w:firstLineChars="200"/>
        <w:rPr>
          <w:rFonts w:cs="黑体" w:asciiTheme="minorEastAsia" w:hAnsiTheme="minorEastAsia"/>
          <w:sz w:val="24"/>
        </w:rPr>
      </w:pPr>
      <w:r>
        <w:rPr>
          <w:rFonts w:cs="黑体" w:asciiTheme="minorEastAsia" w:hAnsiTheme="minorEastAsia"/>
          <w:sz w:val="24"/>
        </w:rPr>
        <w:t>2.1.3响应性评审标准</w:t>
      </w:r>
      <w:r>
        <w:rPr>
          <w:rFonts w:hint="eastAsia" w:cs="黑体" w:asciiTheme="minorEastAsia" w:hAnsiTheme="minorEastAsia"/>
          <w:sz w:val="24"/>
        </w:rPr>
        <w:t>：</w:t>
      </w:r>
      <w:r>
        <w:rPr>
          <w:rFonts w:cs="黑体" w:asciiTheme="minorEastAsia" w:hAnsiTheme="minorEastAsia"/>
          <w:sz w:val="24"/>
        </w:rPr>
        <w:t>见评审办法前附表。</w:t>
      </w:r>
    </w:p>
    <w:p w14:paraId="31515292">
      <w:pPr>
        <w:spacing w:line="360" w:lineRule="auto"/>
        <w:ind w:firstLine="480" w:firstLineChars="200"/>
        <w:rPr>
          <w:rFonts w:cs="黑体" w:asciiTheme="minorEastAsia" w:hAnsiTheme="minorEastAsia"/>
          <w:sz w:val="24"/>
        </w:rPr>
      </w:pPr>
      <w:r>
        <w:rPr>
          <w:rFonts w:cs="黑体" w:asciiTheme="minorEastAsia" w:hAnsiTheme="minorEastAsia"/>
          <w:sz w:val="24"/>
        </w:rPr>
        <w:t>2.2初步评审程序</w:t>
      </w:r>
    </w:p>
    <w:p w14:paraId="02CFA063">
      <w:pPr>
        <w:spacing w:line="360" w:lineRule="auto"/>
        <w:ind w:firstLine="480" w:firstLineChars="200"/>
        <w:rPr>
          <w:rFonts w:cs="黑体" w:asciiTheme="minorEastAsia" w:hAnsiTheme="minorEastAsia"/>
          <w:sz w:val="24"/>
        </w:rPr>
      </w:pPr>
      <w:r>
        <w:rPr>
          <w:rFonts w:cs="黑体" w:asciiTheme="minorEastAsia" w:hAnsiTheme="minorEastAsia"/>
          <w:sz w:val="24"/>
        </w:rPr>
        <w:t>2.2.1谈判小组依据本章第2.1款规定的标准对供应商提交的</w:t>
      </w:r>
      <w:r>
        <w:rPr>
          <w:rFonts w:hint="eastAsia" w:cs="黑体" w:asciiTheme="minorEastAsia" w:hAnsiTheme="minorEastAsia"/>
          <w:sz w:val="24"/>
        </w:rPr>
        <w:t>应答文件</w:t>
      </w:r>
      <w:r>
        <w:rPr>
          <w:rFonts w:cs="黑体" w:asciiTheme="minorEastAsia" w:hAnsiTheme="minorEastAsia"/>
          <w:sz w:val="24"/>
        </w:rPr>
        <w:t>进行初步评审，判断</w:t>
      </w:r>
      <w:r>
        <w:rPr>
          <w:rFonts w:hint="eastAsia" w:cs="黑体" w:asciiTheme="minorEastAsia" w:hAnsiTheme="minorEastAsia"/>
          <w:sz w:val="24"/>
        </w:rPr>
        <w:t>应答文件</w:t>
      </w:r>
      <w:r>
        <w:rPr>
          <w:rFonts w:cs="黑体" w:asciiTheme="minorEastAsia" w:hAnsiTheme="minorEastAsia"/>
          <w:sz w:val="24"/>
        </w:rPr>
        <w:t>的形式是否符合要求、供应商是否符合资格条件、</w:t>
      </w:r>
      <w:r>
        <w:rPr>
          <w:rFonts w:hint="eastAsia" w:cs="黑体" w:asciiTheme="minorEastAsia" w:hAnsiTheme="minorEastAsia"/>
          <w:sz w:val="24"/>
        </w:rPr>
        <w:t>应答文件</w:t>
      </w:r>
      <w:r>
        <w:rPr>
          <w:rFonts w:cs="黑体" w:asciiTheme="minorEastAsia" w:hAnsiTheme="minorEastAsia"/>
          <w:sz w:val="24"/>
        </w:rPr>
        <w:t>是否实质性响应采购文件的要求。只有以上评审合格的</w:t>
      </w:r>
      <w:r>
        <w:rPr>
          <w:rFonts w:hint="eastAsia" w:cs="黑体" w:asciiTheme="minorEastAsia" w:hAnsiTheme="minorEastAsia"/>
          <w:sz w:val="24"/>
        </w:rPr>
        <w:t>应答文件</w:t>
      </w:r>
      <w:r>
        <w:rPr>
          <w:rFonts w:cs="黑体" w:asciiTheme="minorEastAsia" w:hAnsiTheme="minorEastAsia"/>
          <w:sz w:val="24"/>
        </w:rPr>
        <w:t>才可通过初步评审。</w:t>
      </w:r>
    </w:p>
    <w:p w14:paraId="3B3F8A1C">
      <w:pPr>
        <w:spacing w:line="360" w:lineRule="auto"/>
        <w:ind w:firstLine="480" w:firstLineChars="200"/>
        <w:rPr>
          <w:rFonts w:cs="黑体" w:asciiTheme="minorEastAsia" w:hAnsiTheme="minorEastAsia"/>
          <w:sz w:val="24"/>
        </w:rPr>
      </w:pPr>
      <w:r>
        <w:rPr>
          <w:rFonts w:cs="黑体" w:asciiTheme="minorEastAsia" w:hAnsiTheme="minorEastAsia"/>
          <w:sz w:val="24"/>
        </w:rPr>
        <w:t>2.2.2</w:t>
      </w:r>
      <w:r>
        <w:rPr>
          <w:rFonts w:hint="eastAsia" w:cs="黑体" w:asciiTheme="minorEastAsia" w:hAnsiTheme="minorEastAsia"/>
          <w:sz w:val="24"/>
        </w:rPr>
        <w:t>应答文件</w:t>
      </w:r>
      <w:r>
        <w:rPr>
          <w:rFonts w:cs="黑体" w:asciiTheme="minorEastAsia" w:hAnsiTheme="minorEastAsia"/>
          <w:sz w:val="24"/>
        </w:rPr>
        <w:t>的形式或供应商资格不符合采购文件的要求、</w:t>
      </w:r>
      <w:r>
        <w:rPr>
          <w:rFonts w:hint="eastAsia" w:cs="黑体" w:asciiTheme="minorEastAsia" w:hAnsiTheme="minorEastAsia"/>
          <w:sz w:val="24"/>
        </w:rPr>
        <w:t>应答文件</w:t>
      </w:r>
      <w:r>
        <w:rPr>
          <w:rFonts w:cs="黑体" w:asciiTheme="minorEastAsia" w:hAnsiTheme="minorEastAsia"/>
          <w:sz w:val="24"/>
        </w:rPr>
        <w:t>未实质性响应采购文件的要求，或</w:t>
      </w:r>
      <w:r>
        <w:rPr>
          <w:rFonts w:hint="eastAsia" w:cs="黑体" w:asciiTheme="minorEastAsia" w:hAnsiTheme="minorEastAsia"/>
          <w:sz w:val="24"/>
        </w:rPr>
        <w:t>应答文件</w:t>
      </w:r>
      <w:r>
        <w:rPr>
          <w:rFonts w:cs="黑体" w:asciiTheme="minorEastAsia" w:hAnsiTheme="minorEastAsia"/>
          <w:sz w:val="24"/>
        </w:rPr>
        <w:t>中有含义不明确、同类问题表述不一致或有明显文字和计算错误的内容，谈判小组应要求供应商在规定时间内进行澄清、说明和补正。供应商澄清、说明和补正的内容应由法定代表人(单位负责人)或其授权的代理人签字或加盖公章。澄清、说明和补正的内容作为</w:t>
      </w:r>
      <w:r>
        <w:rPr>
          <w:rFonts w:hint="eastAsia" w:cs="黑体" w:asciiTheme="minorEastAsia" w:hAnsiTheme="minorEastAsia"/>
          <w:sz w:val="24"/>
        </w:rPr>
        <w:t>应答文件</w:t>
      </w:r>
      <w:r>
        <w:rPr>
          <w:rFonts w:cs="黑体" w:asciiTheme="minorEastAsia" w:hAnsiTheme="minorEastAsia"/>
          <w:sz w:val="24"/>
        </w:rPr>
        <w:t>的组成部分。</w:t>
      </w:r>
    </w:p>
    <w:p w14:paraId="187085FA">
      <w:pPr>
        <w:spacing w:line="360" w:lineRule="auto"/>
        <w:ind w:firstLine="480" w:firstLineChars="200"/>
      </w:pPr>
      <w:r>
        <w:rPr>
          <w:rFonts w:cs="黑体" w:asciiTheme="minorEastAsia" w:hAnsiTheme="minorEastAsia"/>
          <w:sz w:val="24"/>
        </w:rPr>
        <w:t>2.2.3经供应商澄清、说明和补正后仍不满足初步评审要求的</w:t>
      </w:r>
      <w:r>
        <w:rPr>
          <w:rFonts w:hint="eastAsia" w:cs="黑体" w:asciiTheme="minorEastAsia" w:hAnsiTheme="minorEastAsia"/>
          <w:sz w:val="24"/>
        </w:rPr>
        <w:t>应答文件</w:t>
      </w:r>
      <w:r>
        <w:rPr>
          <w:rFonts w:cs="黑体" w:asciiTheme="minorEastAsia" w:hAnsiTheme="minorEastAsia"/>
          <w:sz w:val="24"/>
        </w:rPr>
        <w:t>(即</w:t>
      </w:r>
      <w:r>
        <w:rPr>
          <w:rFonts w:hint="eastAsia" w:cs="黑体" w:asciiTheme="minorEastAsia" w:hAnsiTheme="minorEastAsia"/>
          <w:sz w:val="24"/>
        </w:rPr>
        <w:t>应答文件</w:t>
      </w:r>
      <w:r>
        <w:rPr>
          <w:rFonts w:cs="黑体" w:asciiTheme="minorEastAsia" w:hAnsiTheme="minorEastAsia"/>
          <w:sz w:val="24"/>
        </w:rPr>
        <w:t>不满足本章第2.1款规定的任一项标准)，或供应商有串通、弄虚作假、行贿等违法行为的，其</w:t>
      </w:r>
      <w:r>
        <w:rPr>
          <w:rFonts w:hint="eastAsia" w:cs="黑体" w:asciiTheme="minorEastAsia" w:hAnsiTheme="minorEastAsia"/>
          <w:sz w:val="24"/>
        </w:rPr>
        <w:t>应答文件</w:t>
      </w:r>
      <w:r>
        <w:rPr>
          <w:rFonts w:cs="黑体" w:asciiTheme="minorEastAsia" w:hAnsiTheme="minorEastAsia"/>
          <w:sz w:val="24"/>
        </w:rPr>
        <w:t>将被视为无效，谈判小组应告知有关供应商。</w:t>
      </w:r>
    </w:p>
    <w:p w14:paraId="1075C899">
      <w:pPr>
        <w:spacing w:line="360" w:lineRule="auto"/>
        <w:ind w:firstLine="482" w:firstLineChars="200"/>
        <w:rPr>
          <w:rFonts w:cs="黑体" w:asciiTheme="minorEastAsia" w:hAnsiTheme="minorEastAsia"/>
          <w:b/>
          <w:bCs/>
          <w:sz w:val="24"/>
        </w:rPr>
      </w:pPr>
      <w:r>
        <w:rPr>
          <w:rFonts w:cs="黑体" w:asciiTheme="minorEastAsia" w:hAnsiTheme="minorEastAsia"/>
          <w:b/>
          <w:bCs/>
          <w:sz w:val="24"/>
        </w:rPr>
        <w:t>3.详细评审标准和程序</w:t>
      </w:r>
    </w:p>
    <w:p w14:paraId="5FA818CD">
      <w:pPr>
        <w:spacing w:line="360" w:lineRule="auto"/>
        <w:ind w:firstLine="480" w:firstLineChars="200"/>
        <w:rPr>
          <w:rFonts w:cs="黑体" w:asciiTheme="minorEastAsia" w:hAnsiTheme="minorEastAsia"/>
          <w:sz w:val="24"/>
        </w:rPr>
      </w:pPr>
      <w:r>
        <w:rPr>
          <w:rFonts w:cs="黑体" w:asciiTheme="minorEastAsia" w:hAnsiTheme="minorEastAsia"/>
          <w:sz w:val="24"/>
        </w:rPr>
        <w:t>3.1评审价格确定</w:t>
      </w:r>
    </w:p>
    <w:p w14:paraId="6CF97A86">
      <w:pPr>
        <w:spacing w:line="360" w:lineRule="auto"/>
        <w:ind w:firstLine="480" w:firstLineChars="200"/>
        <w:rPr>
          <w:rFonts w:cs="黑体" w:asciiTheme="minorEastAsia" w:hAnsiTheme="minorEastAsia"/>
          <w:sz w:val="24"/>
        </w:rPr>
      </w:pPr>
      <w:r>
        <w:rPr>
          <w:rFonts w:cs="黑体" w:asciiTheme="minorEastAsia" w:hAnsiTheme="minorEastAsia"/>
          <w:sz w:val="24"/>
        </w:rPr>
        <w:t>3.1.1谈判小组按照如下方法确定供应商最终报价的评审价格，并要求供应商书面确认。供应商拒绝确认的，其</w:t>
      </w:r>
      <w:r>
        <w:rPr>
          <w:rFonts w:hint="eastAsia" w:cs="黑体" w:asciiTheme="minorEastAsia" w:hAnsiTheme="minorEastAsia"/>
          <w:sz w:val="24"/>
        </w:rPr>
        <w:t>应答文件</w:t>
      </w:r>
      <w:r>
        <w:rPr>
          <w:rFonts w:cs="黑体" w:asciiTheme="minorEastAsia" w:hAnsiTheme="minorEastAsia"/>
          <w:sz w:val="24"/>
        </w:rPr>
        <w:t>将被视为无效</w:t>
      </w:r>
      <w:r>
        <w:rPr>
          <w:rFonts w:hint="eastAsia" w:cs="黑体" w:asciiTheme="minorEastAsia" w:hAnsiTheme="minorEastAsia"/>
          <w:sz w:val="24"/>
        </w:rPr>
        <w:t>：</w:t>
      </w:r>
    </w:p>
    <w:p w14:paraId="6D464424">
      <w:pPr>
        <w:spacing w:line="360" w:lineRule="auto"/>
        <w:ind w:firstLine="480" w:firstLineChars="200"/>
        <w:rPr>
          <w:rFonts w:cs="黑体" w:asciiTheme="minorEastAsia" w:hAnsiTheme="minorEastAsia"/>
          <w:sz w:val="24"/>
        </w:rPr>
      </w:pPr>
      <w:r>
        <w:rPr>
          <w:rFonts w:cs="黑体" w:asciiTheme="minorEastAsia" w:hAnsiTheme="minorEastAsia"/>
          <w:sz w:val="24"/>
        </w:rPr>
        <w:t>(1)除评审办法前附表另有规定外,评审价格统</w:t>
      </w:r>
      <w:r>
        <w:rPr>
          <w:rFonts w:hint="eastAsia" w:cs="黑体" w:asciiTheme="minorEastAsia" w:hAnsiTheme="minorEastAsia"/>
          <w:sz w:val="24"/>
        </w:rPr>
        <w:t>一</w:t>
      </w:r>
      <w:r>
        <w:rPr>
          <w:rFonts w:cs="黑体" w:asciiTheme="minorEastAsia" w:hAnsiTheme="minorEastAsia"/>
          <w:sz w:val="24"/>
        </w:rPr>
        <w:t>以最终报价的大写总价为准。</w:t>
      </w:r>
    </w:p>
    <w:p w14:paraId="4D35B683">
      <w:pPr>
        <w:spacing w:line="360" w:lineRule="auto"/>
        <w:ind w:firstLine="480" w:firstLineChars="200"/>
        <w:rPr>
          <w:rFonts w:cs="黑体" w:asciiTheme="minorEastAsia" w:hAnsiTheme="minorEastAsia"/>
          <w:sz w:val="24"/>
        </w:rPr>
      </w:pPr>
      <w:r>
        <w:rPr>
          <w:rFonts w:cs="黑体" w:asciiTheme="minorEastAsia" w:hAnsiTheme="minorEastAsia"/>
          <w:sz w:val="24"/>
        </w:rPr>
        <w:t>(2)缺漏项调整。在采购文件需求清晰明确的情况下，如果分项报价中存在缺漏项，且缺漏项内容不属于实质性偏差的，则视为缺漏项内容的价格已包含在其他分项报价之中。</w:t>
      </w:r>
    </w:p>
    <w:p w14:paraId="7958127E">
      <w:pPr>
        <w:spacing w:line="360" w:lineRule="auto"/>
        <w:ind w:firstLine="480" w:firstLineChars="200"/>
        <w:rPr>
          <w:rFonts w:cs="黑体" w:asciiTheme="minorEastAsia" w:hAnsiTheme="minorEastAsia"/>
          <w:sz w:val="24"/>
        </w:rPr>
      </w:pPr>
      <w:r>
        <w:rPr>
          <w:rFonts w:cs="黑体" w:asciiTheme="minorEastAsia" w:hAnsiTheme="minorEastAsia"/>
          <w:sz w:val="24"/>
        </w:rPr>
        <w:t>(3)增值税处理。除评审办法前附表另有规定外，本项目的评审价格应为包含增值税在内的含税价格。</w:t>
      </w:r>
    </w:p>
    <w:p w14:paraId="650147BC">
      <w:pPr>
        <w:spacing w:line="360" w:lineRule="auto"/>
        <w:ind w:firstLine="480" w:firstLineChars="200"/>
        <w:rPr>
          <w:rFonts w:cs="黑体" w:asciiTheme="minorEastAsia" w:hAnsiTheme="minorEastAsia"/>
          <w:sz w:val="24"/>
        </w:rPr>
      </w:pPr>
      <w:r>
        <w:rPr>
          <w:rFonts w:cs="黑体" w:asciiTheme="minorEastAsia" w:hAnsiTheme="minorEastAsia"/>
          <w:sz w:val="24"/>
        </w:rPr>
        <w:t>3.1.2谈判小组经过对供应商的报价进行比较或基于专业经验认为某一供应商的报价过低，可能对其履约造成影响时，应当要求该供应商作出书面说明并提供相应的证明材料。供应商不能合理说明或者不能提供相应证明材料的，其</w:t>
      </w:r>
      <w:r>
        <w:rPr>
          <w:rFonts w:hint="eastAsia" w:cs="黑体" w:asciiTheme="minorEastAsia" w:hAnsiTheme="minorEastAsia"/>
          <w:sz w:val="24"/>
        </w:rPr>
        <w:t>应答文件</w:t>
      </w:r>
      <w:r>
        <w:rPr>
          <w:rFonts w:cs="黑体" w:asciiTheme="minorEastAsia" w:hAnsiTheme="minorEastAsia"/>
          <w:sz w:val="24"/>
        </w:rPr>
        <w:t>将被视为无效。</w:t>
      </w:r>
    </w:p>
    <w:p w14:paraId="046CCD1F">
      <w:pPr>
        <w:spacing w:line="360" w:lineRule="auto"/>
        <w:ind w:firstLine="480" w:firstLineChars="200"/>
        <w:rPr>
          <w:rFonts w:cs="黑体" w:asciiTheme="minorEastAsia" w:hAnsiTheme="minorEastAsia"/>
          <w:bCs/>
          <w:sz w:val="24"/>
        </w:rPr>
      </w:pPr>
      <w:r>
        <w:rPr>
          <w:rFonts w:cs="黑体" w:asciiTheme="minorEastAsia" w:hAnsiTheme="minorEastAsia"/>
          <w:bCs/>
          <w:sz w:val="24"/>
        </w:rPr>
        <w:t>3.2综合评分和排序</w:t>
      </w:r>
    </w:p>
    <w:p w14:paraId="01204CB8">
      <w:pPr>
        <w:spacing w:line="360" w:lineRule="auto"/>
        <w:ind w:firstLine="480" w:firstLineChars="200"/>
        <w:rPr>
          <w:rFonts w:cs="黑体" w:asciiTheme="minorEastAsia" w:hAnsiTheme="minorEastAsia"/>
          <w:sz w:val="24"/>
        </w:rPr>
      </w:pPr>
      <w:r>
        <w:rPr>
          <w:rFonts w:cs="黑体" w:asciiTheme="minorEastAsia" w:hAnsiTheme="minorEastAsia"/>
          <w:sz w:val="24"/>
        </w:rPr>
        <w:t>3.2.1分值构成</w:t>
      </w:r>
    </w:p>
    <w:p w14:paraId="57F15911">
      <w:pPr>
        <w:spacing w:line="360" w:lineRule="auto"/>
        <w:ind w:firstLine="480" w:firstLineChars="200"/>
        <w:rPr>
          <w:rFonts w:cs="黑体" w:asciiTheme="minorEastAsia" w:hAnsiTheme="minorEastAsia"/>
          <w:sz w:val="24"/>
        </w:rPr>
      </w:pPr>
      <w:r>
        <w:rPr>
          <w:rFonts w:cs="黑体" w:asciiTheme="minorEastAsia" w:hAnsiTheme="minorEastAsia"/>
          <w:sz w:val="24"/>
        </w:rPr>
        <w:t>(1)商务部分</w:t>
      </w:r>
      <w:r>
        <w:rPr>
          <w:rFonts w:hint="eastAsia" w:cs="黑体" w:asciiTheme="minorEastAsia" w:hAnsiTheme="minorEastAsia"/>
          <w:sz w:val="24"/>
        </w:rPr>
        <w:t>：</w:t>
      </w:r>
      <w:r>
        <w:rPr>
          <w:rFonts w:cs="黑体" w:asciiTheme="minorEastAsia" w:hAnsiTheme="minorEastAsia"/>
          <w:sz w:val="24"/>
        </w:rPr>
        <w:t>见评审办法前附表</w:t>
      </w:r>
      <w:r>
        <w:rPr>
          <w:rFonts w:hint="eastAsia" w:cs="黑体" w:asciiTheme="minorEastAsia" w:hAnsiTheme="minorEastAsia"/>
          <w:sz w:val="24"/>
        </w:rPr>
        <w:t>；</w:t>
      </w:r>
    </w:p>
    <w:p w14:paraId="74F1FFAC">
      <w:pPr>
        <w:spacing w:line="360" w:lineRule="auto"/>
        <w:ind w:firstLine="480" w:firstLineChars="200"/>
        <w:rPr>
          <w:rFonts w:cs="黑体" w:asciiTheme="minorEastAsia" w:hAnsiTheme="minorEastAsia"/>
          <w:sz w:val="24"/>
        </w:rPr>
      </w:pPr>
      <w:r>
        <w:rPr>
          <w:rFonts w:cs="黑体" w:asciiTheme="minorEastAsia" w:hAnsiTheme="minorEastAsia"/>
          <w:sz w:val="24"/>
        </w:rPr>
        <w:t>(2)技术部分</w:t>
      </w:r>
      <w:r>
        <w:rPr>
          <w:rFonts w:hint="eastAsia" w:cs="黑体" w:asciiTheme="minorEastAsia" w:hAnsiTheme="minorEastAsia"/>
          <w:sz w:val="24"/>
        </w:rPr>
        <w:t>：</w:t>
      </w:r>
      <w:r>
        <w:rPr>
          <w:rFonts w:cs="黑体" w:asciiTheme="minorEastAsia" w:hAnsiTheme="minorEastAsia"/>
          <w:sz w:val="24"/>
        </w:rPr>
        <w:t>见评审办法前附表</w:t>
      </w:r>
      <w:r>
        <w:rPr>
          <w:rFonts w:hint="eastAsia" w:cs="黑体" w:asciiTheme="minorEastAsia" w:hAnsiTheme="minorEastAsia"/>
          <w:sz w:val="24"/>
        </w:rPr>
        <w:t>；</w:t>
      </w:r>
    </w:p>
    <w:p w14:paraId="65D1BDB9">
      <w:pPr>
        <w:spacing w:line="360" w:lineRule="auto"/>
        <w:ind w:firstLine="480" w:firstLineChars="200"/>
        <w:rPr>
          <w:rFonts w:cs="黑体" w:asciiTheme="minorEastAsia" w:hAnsiTheme="minorEastAsia"/>
          <w:sz w:val="24"/>
        </w:rPr>
      </w:pPr>
      <w:r>
        <w:rPr>
          <w:rFonts w:cs="黑体" w:asciiTheme="minorEastAsia" w:hAnsiTheme="minorEastAsia"/>
          <w:sz w:val="24"/>
        </w:rPr>
        <w:t>(3)报价</w:t>
      </w:r>
      <w:r>
        <w:rPr>
          <w:rFonts w:hint="eastAsia" w:cs="黑体" w:asciiTheme="minorEastAsia" w:hAnsiTheme="minorEastAsia"/>
          <w:sz w:val="24"/>
        </w:rPr>
        <w:t>部分：</w:t>
      </w:r>
      <w:r>
        <w:rPr>
          <w:rFonts w:cs="黑体" w:asciiTheme="minorEastAsia" w:hAnsiTheme="minorEastAsia"/>
          <w:sz w:val="24"/>
        </w:rPr>
        <w:t>见评审办法前附表</w:t>
      </w:r>
      <w:r>
        <w:rPr>
          <w:rFonts w:hint="eastAsia" w:cs="黑体" w:asciiTheme="minorEastAsia" w:hAnsiTheme="minorEastAsia"/>
          <w:sz w:val="24"/>
        </w:rPr>
        <w:t>；</w:t>
      </w:r>
    </w:p>
    <w:p w14:paraId="53FECF59">
      <w:pPr>
        <w:spacing w:line="360" w:lineRule="auto"/>
        <w:ind w:firstLine="480" w:firstLineChars="200"/>
        <w:rPr>
          <w:rFonts w:cs="黑体" w:asciiTheme="minorEastAsia" w:hAnsiTheme="minorEastAsia"/>
          <w:sz w:val="24"/>
        </w:rPr>
      </w:pPr>
      <w:r>
        <w:rPr>
          <w:rFonts w:cs="黑体" w:asciiTheme="minorEastAsia" w:hAnsiTheme="minorEastAsia"/>
          <w:sz w:val="24"/>
        </w:rPr>
        <w:t>(4)其他评分因素</w:t>
      </w:r>
      <w:r>
        <w:rPr>
          <w:rFonts w:hint="eastAsia" w:cs="黑体" w:asciiTheme="minorEastAsia" w:hAnsiTheme="minorEastAsia"/>
          <w:sz w:val="24"/>
        </w:rPr>
        <w:t>：</w:t>
      </w:r>
      <w:r>
        <w:rPr>
          <w:rFonts w:cs="黑体" w:asciiTheme="minorEastAsia" w:hAnsiTheme="minorEastAsia"/>
          <w:sz w:val="24"/>
        </w:rPr>
        <w:t>见评审办法前附表。</w:t>
      </w:r>
    </w:p>
    <w:p w14:paraId="00D139D9">
      <w:pPr>
        <w:spacing w:line="360" w:lineRule="auto"/>
        <w:ind w:firstLine="480" w:firstLineChars="200"/>
        <w:rPr>
          <w:rFonts w:cs="黑体" w:asciiTheme="minorEastAsia" w:hAnsiTheme="minorEastAsia"/>
          <w:sz w:val="24"/>
        </w:rPr>
      </w:pPr>
      <w:r>
        <w:rPr>
          <w:rFonts w:cs="黑体" w:asciiTheme="minorEastAsia" w:hAnsiTheme="minorEastAsia"/>
          <w:sz w:val="24"/>
        </w:rPr>
        <w:t>3.2.2评审基准价计算</w:t>
      </w:r>
    </w:p>
    <w:p w14:paraId="37B8BA08">
      <w:pPr>
        <w:spacing w:line="360" w:lineRule="auto"/>
        <w:ind w:firstLine="480" w:firstLineChars="200"/>
        <w:rPr>
          <w:rFonts w:cs="黑体" w:asciiTheme="minorEastAsia" w:hAnsiTheme="minorEastAsia"/>
          <w:sz w:val="24"/>
        </w:rPr>
      </w:pPr>
      <w:r>
        <w:rPr>
          <w:rFonts w:cs="黑体" w:asciiTheme="minorEastAsia" w:hAnsiTheme="minorEastAsia"/>
          <w:sz w:val="24"/>
        </w:rPr>
        <w:t>(1)评审价格</w:t>
      </w:r>
      <w:r>
        <w:rPr>
          <w:rFonts w:hint="eastAsia" w:cs="黑体" w:asciiTheme="minorEastAsia" w:hAnsiTheme="minorEastAsia"/>
          <w:sz w:val="24"/>
        </w:rPr>
        <w:t>：</w:t>
      </w:r>
      <w:r>
        <w:rPr>
          <w:rFonts w:cs="黑体" w:asciiTheme="minorEastAsia" w:hAnsiTheme="minorEastAsia"/>
          <w:sz w:val="24"/>
        </w:rPr>
        <w:t>评审价格为按照本章第3.1.1 项确定的价格。</w:t>
      </w:r>
    </w:p>
    <w:p w14:paraId="089EA9D1">
      <w:pPr>
        <w:spacing w:line="360" w:lineRule="auto"/>
        <w:ind w:firstLine="480" w:firstLineChars="200"/>
        <w:rPr>
          <w:rFonts w:cs="黑体" w:asciiTheme="minorEastAsia" w:hAnsiTheme="minorEastAsia"/>
          <w:sz w:val="24"/>
        </w:rPr>
      </w:pPr>
      <w:r>
        <w:rPr>
          <w:rFonts w:cs="黑体" w:asciiTheme="minorEastAsia" w:hAnsiTheme="minorEastAsia"/>
          <w:sz w:val="24"/>
        </w:rPr>
        <w:t>(2)评审基准价计算方法</w:t>
      </w:r>
      <w:r>
        <w:rPr>
          <w:rFonts w:hint="eastAsia" w:cs="黑体" w:asciiTheme="minorEastAsia" w:hAnsiTheme="minorEastAsia"/>
          <w:sz w:val="24"/>
        </w:rPr>
        <w:t>：</w:t>
      </w:r>
      <w:r>
        <w:rPr>
          <w:rFonts w:cs="黑体" w:asciiTheme="minorEastAsia" w:hAnsiTheme="minorEastAsia"/>
          <w:sz w:val="24"/>
        </w:rPr>
        <w:t>见评审办法前附表。</w:t>
      </w:r>
    </w:p>
    <w:p w14:paraId="0E253BA6">
      <w:pPr>
        <w:spacing w:line="360" w:lineRule="auto"/>
        <w:ind w:firstLine="480" w:firstLineChars="200"/>
        <w:rPr>
          <w:rFonts w:cs="黑体" w:asciiTheme="minorEastAsia" w:hAnsiTheme="minorEastAsia"/>
          <w:sz w:val="24"/>
        </w:rPr>
      </w:pPr>
      <w:r>
        <w:rPr>
          <w:rFonts w:cs="黑体" w:asciiTheme="minorEastAsia" w:hAnsiTheme="minorEastAsia"/>
          <w:sz w:val="24"/>
        </w:rPr>
        <w:t>3.2.3评分标准</w:t>
      </w:r>
    </w:p>
    <w:p w14:paraId="4E0528B7">
      <w:pPr>
        <w:spacing w:line="360" w:lineRule="auto"/>
        <w:ind w:firstLine="480" w:firstLineChars="200"/>
        <w:rPr>
          <w:rFonts w:cs="黑体" w:asciiTheme="minorEastAsia" w:hAnsiTheme="minorEastAsia"/>
          <w:sz w:val="24"/>
        </w:rPr>
      </w:pPr>
      <w:r>
        <w:rPr>
          <w:rFonts w:cs="黑体" w:asciiTheme="minorEastAsia" w:hAnsiTheme="minorEastAsia"/>
          <w:sz w:val="24"/>
        </w:rPr>
        <w:t>(1)商务评分标准</w:t>
      </w:r>
      <w:r>
        <w:rPr>
          <w:rFonts w:hint="eastAsia" w:cs="黑体" w:asciiTheme="minorEastAsia" w:hAnsiTheme="minorEastAsia"/>
          <w:sz w:val="24"/>
        </w:rPr>
        <w:t>：</w:t>
      </w:r>
      <w:r>
        <w:rPr>
          <w:rFonts w:cs="黑体" w:asciiTheme="minorEastAsia" w:hAnsiTheme="minorEastAsia"/>
          <w:sz w:val="24"/>
        </w:rPr>
        <w:t>见评审办法前附表</w:t>
      </w:r>
      <w:r>
        <w:rPr>
          <w:rFonts w:hint="eastAsia" w:cs="黑体" w:asciiTheme="minorEastAsia" w:hAnsiTheme="minorEastAsia"/>
          <w:sz w:val="24"/>
        </w:rPr>
        <w:t>；</w:t>
      </w:r>
    </w:p>
    <w:p w14:paraId="1891C1E6">
      <w:pPr>
        <w:spacing w:line="360" w:lineRule="auto"/>
        <w:ind w:firstLine="480" w:firstLineChars="200"/>
        <w:rPr>
          <w:rFonts w:cs="黑体" w:asciiTheme="minorEastAsia" w:hAnsiTheme="minorEastAsia"/>
          <w:sz w:val="24"/>
        </w:rPr>
      </w:pPr>
      <w:r>
        <w:rPr>
          <w:rFonts w:cs="黑体" w:asciiTheme="minorEastAsia" w:hAnsiTheme="minorEastAsia"/>
          <w:sz w:val="24"/>
        </w:rPr>
        <w:t>(2)技术评分标准</w:t>
      </w:r>
      <w:r>
        <w:rPr>
          <w:rFonts w:hint="eastAsia" w:cs="黑体" w:asciiTheme="minorEastAsia" w:hAnsiTheme="minorEastAsia"/>
          <w:sz w:val="24"/>
        </w:rPr>
        <w:t>：</w:t>
      </w:r>
      <w:r>
        <w:rPr>
          <w:rFonts w:cs="黑体" w:asciiTheme="minorEastAsia" w:hAnsiTheme="minorEastAsia"/>
          <w:sz w:val="24"/>
        </w:rPr>
        <w:t>见评审办法前附表</w:t>
      </w:r>
      <w:r>
        <w:rPr>
          <w:rFonts w:hint="eastAsia" w:cs="黑体" w:asciiTheme="minorEastAsia" w:hAnsiTheme="minorEastAsia"/>
          <w:sz w:val="24"/>
        </w:rPr>
        <w:t>；</w:t>
      </w:r>
    </w:p>
    <w:p w14:paraId="487EF06C">
      <w:pPr>
        <w:spacing w:line="360" w:lineRule="auto"/>
        <w:ind w:firstLine="480" w:firstLineChars="200"/>
        <w:rPr>
          <w:rFonts w:cs="黑体" w:asciiTheme="minorEastAsia" w:hAnsiTheme="minorEastAsia"/>
          <w:sz w:val="24"/>
        </w:rPr>
      </w:pPr>
      <w:r>
        <w:rPr>
          <w:rFonts w:cs="黑体" w:asciiTheme="minorEastAsia" w:hAnsiTheme="minorEastAsia"/>
          <w:sz w:val="24"/>
        </w:rPr>
        <w:t>(3)报价评分标准</w:t>
      </w:r>
      <w:r>
        <w:rPr>
          <w:rFonts w:hint="eastAsia" w:cs="黑体" w:asciiTheme="minorEastAsia" w:hAnsiTheme="minorEastAsia"/>
          <w:sz w:val="24"/>
        </w:rPr>
        <w:t>：</w:t>
      </w:r>
      <w:r>
        <w:rPr>
          <w:rFonts w:cs="黑体" w:asciiTheme="minorEastAsia" w:hAnsiTheme="minorEastAsia"/>
          <w:sz w:val="24"/>
        </w:rPr>
        <w:t>见评审办法前附表。</w:t>
      </w:r>
    </w:p>
    <w:p w14:paraId="73A28A12">
      <w:pPr>
        <w:spacing w:line="360" w:lineRule="auto"/>
        <w:ind w:firstLine="480" w:firstLineChars="200"/>
        <w:rPr>
          <w:rFonts w:cs="黑体" w:asciiTheme="minorEastAsia" w:hAnsiTheme="minorEastAsia"/>
          <w:sz w:val="24"/>
        </w:rPr>
      </w:pPr>
      <w:r>
        <w:rPr>
          <w:rFonts w:cs="黑体" w:asciiTheme="minorEastAsia" w:hAnsiTheme="minorEastAsia"/>
          <w:sz w:val="24"/>
        </w:rPr>
        <w:t>(4)其他评分因素</w:t>
      </w:r>
      <w:r>
        <w:rPr>
          <w:rFonts w:hint="eastAsia" w:cs="黑体" w:asciiTheme="minorEastAsia" w:hAnsiTheme="minorEastAsia"/>
          <w:sz w:val="24"/>
        </w:rPr>
        <w:t>：</w:t>
      </w:r>
      <w:r>
        <w:rPr>
          <w:rFonts w:cs="黑体" w:asciiTheme="minorEastAsia" w:hAnsiTheme="minorEastAsia"/>
          <w:sz w:val="24"/>
        </w:rPr>
        <w:t>见评审办法前附表。</w:t>
      </w:r>
    </w:p>
    <w:p w14:paraId="4DDF43CC">
      <w:pPr>
        <w:spacing w:line="360" w:lineRule="auto"/>
        <w:ind w:firstLine="480" w:firstLineChars="200"/>
        <w:rPr>
          <w:rFonts w:cs="黑体" w:asciiTheme="minorEastAsia" w:hAnsiTheme="minorEastAsia"/>
          <w:sz w:val="24"/>
        </w:rPr>
      </w:pPr>
      <w:r>
        <w:rPr>
          <w:rFonts w:cs="黑体" w:asciiTheme="minorEastAsia" w:hAnsiTheme="minorEastAsia"/>
          <w:sz w:val="24"/>
        </w:rPr>
        <w:t>3.2.4评分。谈判小组成员按照评分标准独立对供应商的商务、技术和其他因素进行评分。报价评分由谈判小组统一计算。各项得分汇总后为该成员给供应商的评分</w:t>
      </w:r>
      <w:r>
        <w:rPr>
          <w:rFonts w:hint="eastAsia" w:cs="黑体" w:asciiTheme="minorEastAsia" w:hAnsiTheme="minorEastAsia"/>
          <w:sz w:val="24"/>
        </w:rPr>
        <w:t>总</w:t>
      </w:r>
      <w:r>
        <w:rPr>
          <w:rFonts w:cs="黑体" w:asciiTheme="minorEastAsia" w:hAnsiTheme="minorEastAsia"/>
          <w:sz w:val="24"/>
        </w:rPr>
        <w:t>分。评分分值计算保留小数点后两位，小数点后第三位“四舍五入”</w:t>
      </w:r>
      <w:r>
        <w:rPr>
          <w:rFonts w:hint="eastAsia" w:cs="黑体" w:asciiTheme="minorEastAsia" w:hAnsiTheme="minorEastAsia"/>
          <w:sz w:val="24"/>
        </w:rPr>
        <w:t>。</w:t>
      </w:r>
    </w:p>
    <w:p w14:paraId="4F90F33D">
      <w:pPr>
        <w:spacing w:line="360" w:lineRule="auto"/>
        <w:ind w:firstLine="480" w:firstLineChars="200"/>
        <w:rPr>
          <w:rFonts w:cs="黑体" w:asciiTheme="minorEastAsia" w:hAnsiTheme="minorEastAsia"/>
          <w:sz w:val="24"/>
        </w:rPr>
      </w:pPr>
      <w:r>
        <w:rPr>
          <w:rFonts w:cs="黑体" w:asciiTheme="minorEastAsia" w:hAnsiTheme="minorEastAsia"/>
          <w:sz w:val="24"/>
        </w:rPr>
        <w:t>3.2.5汇总。谈判小组汇总每个成员对供应商的评分总分，每个供应商的评分总分的算术平均值为供应商最终得分。</w:t>
      </w:r>
    </w:p>
    <w:p w14:paraId="163E1891">
      <w:pPr>
        <w:spacing w:line="360" w:lineRule="auto"/>
        <w:ind w:firstLine="482" w:firstLineChars="200"/>
        <w:rPr>
          <w:rFonts w:cs="黑体" w:asciiTheme="minorEastAsia" w:hAnsiTheme="minorEastAsia"/>
          <w:b/>
          <w:bCs/>
          <w:sz w:val="24"/>
        </w:rPr>
      </w:pPr>
      <w:r>
        <w:rPr>
          <w:rFonts w:cs="黑体" w:asciiTheme="minorEastAsia" w:hAnsiTheme="minorEastAsia"/>
          <w:b/>
          <w:bCs/>
          <w:sz w:val="24"/>
        </w:rPr>
        <w:t>4.评审结果</w:t>
      </w:r>
    </w:p>
    <w:p w14:paraId="3A0CCB5E">
      <w:pPr>
        <w:spacing w:line="360" w:lineRule="auto"/>
        <w:ind w:firstLine="480" w:firstLineChars="200"/>
        <w:rPr>
          <w:rFonts w:cs="黑体" w:asciiTheme="minorEastAsia" w:hAnsiTheme="minorEastAsia"/>
          <w:sz w:val="24"/>
        </w:rPr>
      </w:pPr>
      <w:r>
        <w:rPr>
          <w:rFonts w:cs="黑体" w:asciiTheme="minorEastAsia" w:hAnsiTheme="minorEastAsia"/>
          <w:sz w:val="24"/>
        </w:rPr>
        <w:t>4.1谈判小组完成评审后，应当向</w:t>
      </w:r>
      <w:r>
        <w:rPr>
          <w:rFonts w:hint="eastAsia" w:cs="黑体" w:asciiTheme="minorEastAsia" w:hAnsiTheme="minorEastAsia"/>
          <w:sz w:val="24"/>
        </w:rPr>
        <w:t>采购单位</w:t>
      </w:r>
      <w:r>
        <w:rPr>
          <w:rFonts w:cs="黑体" w:asciiTheme="minorEastAsia" w:hAnsiTheme="minorEastAsia"/>
          <w:sz w:val="24"/>
        </w:rPr>
        <w:t>提交书面评审报告。</w:t>
      </w:r>
    </w:p>
    <w:p w14:paraId="62B4BC71">
      <w:pPr>
        <w:spacing w:line="360" w:lineRule="auto"/>
        <w:ind w:firstLine="480" w:firstLineChars="200"/>
        <w:rPr>
          <w:rFonts w:cs="黑体" w:asciiTheme="minorEastAsia" w:hAnsiTheme="minorEastAsia"/>
          <w:sz w:val="24"/>
        </w:rPr>
      </w:pPr>
      <w:r>
        <w:rPr>
          <w:rFonts w:cs="黑体" w:asciiTheme="minorEastAsia" w:hAnsiTheme="minorEastAsia"/>
          <w:sz w:val="24"/>
        </w:rPr>
        <w:t>4.2谈判小组应在书面评审报告中按照供应商排列的优先顺序向</w:t>
      </w:r>
      <w:r>
        <w:rPr>
          <w:rFonts w:hint="eastAsia" w:cs="黑体" w:asciiTheme="minorEastAsia" w:hAnsiTheme="minorEastAsia"/>
          <w:sz w:val="24"/>
        </w:rPr>
        <w:t>采购单位</w:t>
      </w:r>
      <w:r>
        <w:rPr>
          <w:rFonts w:cs="黑体" w:asciiTheme="minorEastAsia" w:hAnsiTheme="minorEastAsia"/>
          <w:sz w:val="24"/>
        </w:rPr>
        <w:t>推荐候选成交供应商。候选成交供应商的数量见第二章供应商须知前附表。</w:t>
      </w:r>
    </w:p>
    <w:bookmarkEnd w:id="13"/>
    <w:p w14:paraId="76646F37">
      <w:pPr>
        <w:widowControl/>
        <w:ind w:firstLine="420" w:firstLineChars="200"/>
        <w:jc w:val="left"/>
        <w:rPr>
          <w:rFonts w:asciiTheme="minorEastAsia" w:hAnsiTheme="minorEastAsia"/>
        </w:rPr>
      </w:pPr>
      <w:r>
        <w:rPr>
          <w:rFonts w:asciiTheme="minorEastAsia" w:hAnsiTheme="minorEastAsia"/>
        </w:rPr>
        <w:br w:type="page"/>
      </w:r>
    </w:p>
    <w:p w14:paraId="7225FE27">
      <w:pPr>
        <w:pStyle w:val="5"/>
        <w:adjustRightInd w:val="0"/>
        <w:snapToGrid w:val="0"/>
        <w:ind w:firstLine="880" w:firstLineChars="200"/>
        <w:rPr>
          <w:rFonts w:asciiTheme="minorEastAsia" w:hAnsiTheme="minorEastAsia" w:eastAsiaTheme="minorEastAsia"/>
          <w:lang w:eastAsia="zh-CN"/>
        </w:rPr>
      </w:pPr>
      <w:bookmarkStart w:id="15" w:name="_Toc181123614"/>
      <w:r>
        <w:rPr>
          <w:rFonts w:asciiTheme="minorEastAsia" w:hAnsiTheme="minorEastAsia" w:eastAsiaTheme="minorEastAsia"/>
          <w:lang w:eastAsia="zh-CN"/>
        </w:rPr>
        <w:t>第四章合同草案</w:t>
      </w:r>
      <w:bookmarkEnd w:id="15"/>
    </w:p>
    <w:tbl>
      <w:tblPr>
        <w:tblStyle w:val="22"/>
        <w:tblW w:w="8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1"/>
      </w:tblGrid>
      <w:tr w14:paraId="5D1AC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0" w:hRule="atLeast"/>
          <w:jc w:val="center"/>
        </w:trPr>
        <w:tc>
          <w:tcPr>
            <w:tcW w:w="8721" w:type="dxa"/>
            <w:tcBorders>
              <w:top w:val="single" w:color="auto" w:sz="4" w:space="0"/>
              <w:left w:val="single" w:color="auto" w:sz="4" w:space="0"/>
              <w:bottom w:val="single" w:color="auto" w:sz="4" w:space="0"/>
              <w:right w:val="single" w:color="auto" w:sz="4" w:space="0"/>
            </w:tcBorders>
            <w:noWrap/>
          </w:tcPr>
          <w:p w14:paraId="42268C89">
            <w:pPr>
              <w:spacing w:line="500" w:lineRule="exact"/>
              <w:rPr>
                <w:rFonts w:ascii="黑体" w:hAnsi="Times New Roman" w:eastAsia="黑体" w:cs="Times New Roman"/>
                <w:szCs w:val="21"/>
              </w:rPr>
            </w:pPr>
            <w:r>
              <w:rPr>
                <w:rFonts w:hint="eastAsia" w:ascii="黑体" w:hAnsi="Times New Roman" w:eastAsia="黑体" w:cs="Times New Roman"/>
                <w:szCs w:val="21"/>
              </w:rPr>
              <w:t>密级：</w:t>
            </w:r>
            <w:r>
              <w:rPr>
                <w:rFonts w:hint="eastAsia" w:ascii="黑体" w:hAnsi="Times New Roman" w:eastAsia="黑体" w:cs="Times New Roman"/>
                <w:color w:val="FF0000"/>
                <w:szCs w:val="21"/>
              </w:rPr>
              <w:t>非密</w:t>
            </w:r>
          </w:p>
          <w:p w14:paraId="0DE1B8A4">
            <w:pPr>
              <w:spacing w:line="500" w:lineRule="exact"/>
              <w:rPr>
                <w:rFonts w:ascii="Times New Roman" w:hAnsi="Times New Roman" w:eastAsia="宋体" w:cs="Times New Roman"/>
              </w:rPr>
            </w:pPr>
          </w:p>
          <w:p w14:paraId="78056A8D">
            <w:pPr>
              <w:spacing w:line="360" w:lineRule="auto"/>
              <w:rPr>
                <w:rFonts w:ascii="Times New Roman" w:hAnsi="Times New Roman" w:eastAsia="宋体" w:cs="Times New Roman"/>
              </w:rPr>
            </w:pPr>
          </w:p>
          <w:tbl>
            <w:tblPr>
              <w:tblStyle w:val="22"/>
              <w:tblW w:w="8100"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0"/>
            </w:tblGrid>
            <w:tr w14:paraId="24B9C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00" w:type="dxa"/>
                  <w:tcBorders>
                    <w:top w:val="thinThickSmallGap" w:color="auto" w:sz="24" w:space="0"/>
                    <w:left w:val="nil"/>
                    <w:bottom w:val="thickThinSmallGap" w:color="auto" w:sz="24" w:space="0"/>
                    <w:right w:val="nil"/>
                  </w:tcBorders>
                  <w:noWrap/>
                </w:tcPr>
                <w:p w14:paraId="0BD5F7D1">
                  <w:pPr>
                    <w:spacing w:line="360" w:lineRule="auto"/>
                    <w:jc w:val="center"/>
                    <w:rPr>
                      <w:rFonts w:ascii="黑体" w:hAnsi="华文中宋" w:eastAsia="黑体" w:cs="Times New Roman"/>
                      <w:bCs/>
                      <w:sz w:val="52"/>
                      <w:szCs w:val="52"/>
                    </w:rPr>
                  </w:pPr>
                  <w:r>
                    <w:rPr>
                      <w:rFonts w:hint="eastAsia" w:ascii="黑体" w:hAnsi="华文中宋" w:eastAsia="黑体" w:cs="Times New Roman"/>
                      <w:bCs/>
                      <w:sz w:val="52"/>
                      <w:szCs w:val="52"/>
                    </w:rPr>
                    <w:t>中国核动力研究设计院</w:t>
                  </w:r>
                </w:p>
                <w:p w14:paraId="5504AAC5">
                  <w:pPr>
                    <w:spacing w:line="360" w:lineRule="auto"/>
                    <w:jc w:val="center"/>
                    <w:rPr>
                      <w:rFonts w:ascii="Times New Roman" w:hAnsi="Times New Roman" w:eastAsia="宋体" w:cs="Times New Roman"/>
                      <w:sz w:val="52"/>
                      <w:szCs w:val="52"/>
                    </w:rPr>
                  </w:pPr>
                  <w:r>
                    <w:rPr>
                      <w:rFonts w:hint="eastAsia" w:ascii="Times New Roman" w:hAnsi="Times New Roman" w:eastAsia="黑体" w:cs="Times New Roman"/>
                      <w:sz w:val="52"/>
                      <w:szCs w:val="52"/>
                    </w:rPr>
                    <w:t>采购合同书</w:t>
                  </w:r>
                </w:p>
              </w:tc>
            </w:tr>
          </w:tbl>
          <w:p w14:paraId="55CDFA61">
            <w:pPr>
              <w:spacing w:line="360" w:lineRule="auto"/>
              <w:rPr>
                <w:rFonts w:ascii="Times New Roman" w:hAnsi="Times New Roman" w:eastAsia="宋体" w:cs="Times New Roman"/>
              </w:rPr>
            </w:pPr>
          </w:p>
          <w:p w14:paraId="286F2937">
            <w:pPr>
              <w:spacing w:line="360" w:lineRule="auto"/>
              <w:ind w:firstLine="5250" w:firstLineChars="2500"/>
              <w:rPr>
                <w:rFonts w:ascii="黑体" w:hAnsi="Times New Roman" w:eastAsia="黑体" w:cs="Times New Roman"/>
                <w:u w:val="single"/>
              </w:rPr>
            </w:pPr>
          </w:p>
          <w:p w14:paraId="733EBD18">
            <w:pPr>
              <w:spacing w:line="360" w:lineRule="auto"/>
              <w:rPr>
                <w:rFonts w:ascii="Times New Roman" w:hAnsi="Times New Roman" w:eastAsia="宋体" w:cs="Times New Roman"/>
              </w:rPr>
            </w:pPr>
          </w:p>
          <w:p w14:paraId="378DB0F6">
            <w:pPr>
              <w:spacing w:line="360" w:lineRule="auto"/>
              <w:rPr>
                <w:rFonts w:ascii="Times New Roman" w:hAnsi="Times New Roman" w:eastAsia="宋体" w:cs="Times New Roman"/>
              </w:rPr>
            </w:pPr>
          </w:p>
          <w:p w14:paraId="198C5D3C">
            <w:pPr>
              <w:spacing w:line="360" w:lineRule="auto"/>
              <w:rPr>
                <w:rFonts w:ascii="Times New Roman" w:hAnsi="Times New Roman" w:eastAsia="宋体" w:cs="Times New Roman"/>
              </w:rPr>
            </w:pPr>
          </w:p>
          <w:p w14:paraId="2921C4F0">
            <w:pPr>
              <w:spacing w:line="360" w:lineRule="auto"/>
              <w:rPr>
                <w:rFonts w:ascii="Times New Roman" w:hAnsi="Times New Roman" w:eastAsia="宋体" w:cs="Times New Roman"/>
              </w:rPr>
            </w:pPr>
          </w:p>
          <w:p w14:paraId="2ECF9F73">
            <w:pPr>
              <w:spacing w:line="360" w:lineRule="auto"/>
              <w:rPr>
                <w:rFonts w:ascii="Times New Roman" w:hAnsi="Times New Roman" w:eastAsia="宋体" w:cs="Times New Roman"/>
              </w:rPr>
            </w:pPr>
          </w:p>
          <w:p w14:paraId="4F8ED414">
            <w:pPr>
              <w:spacing w:line="360" w:lineRule="auto"/>
              <w:rPr>
                <w:rFonts w:ascii="Times New Roman" w:hAnsi="Times New Roman" w:eastAsia="宋体" w:cs="Times New Roman"/>
              </w:rPr>
            </w:pPr>
          </w:p>
          <w:p w14:paraId="34EDAA02">
            <w:pPr>
              <w:spacing w:line="360" w:lineRule="auto"/>
              <w:rPr>
                <w:rFonts w:ascii="Times New Roman" w:hAnsi="Times New Roman" w:eastAsia="宋体" w:cs="Times New Roman"/>
              </w:rPr>
            </w:pPr>
          </w:p>
          <w:p w14:paraId="71FA3AB4">
            <w:pPr>
              <w:spacing w:line="360" w:lineRule="auto"/>
              <w:rPr>
                <w:rFonts w:ascii="Times New Roman" w:hAnsi="Times New Roman" w:eastAsia="宋体" w:cs="Times New Roman"/>
              </w:rPr>
            </w:pPr>
          </w:p>
          <w:tbl>
            <w:tblPr>
              <w:tblStyle w:val="22"/>
              <w:tblW w:w="6480" w:type="dxa"/>
              <w:tblInd w:w="1188" w:type="dxa"/>
              <w:tblLayout w:type="fixed"/>
              <w:tblCellMar>
                <w:top w:w="0" w:type="dxa"/>
                <w:left w:w="108" w:type="dxa"/>
                <w:bottom w:w="0" w:type="dxa"/>
                <w:right w:w="108" w:type="dxa"/>
              </w:tblCellMar>
            </w:tblPr>
            <w:tblGrid>
              <w:gridCol w:w="1620"/>
              <w:gridCol w:w="4860"/>
            </w:tblGrid>
            <w:tr w14:paraId="55A5EFCC">
              <w:tblPrEx>
                <w:tblCellMar>
                  <w:top w:w="0" w:type="dxa"/>
                  <w:left w:w="108" w:type="dxa"/>
                  <w:bottom w:w="0" w:type="dxa"/>
                  <w:right w:w="108" w:type="dxa"/>
                </w:tblCellMar>
              </w:tblPrEx>
              <w:trPr>
                <w:trHeight w:val="567" w:hRule="exact"/>
              </w:trPr>
              <w:tc>
                <w:tcPr>
                  <w:tcW w:w="1620" w:type="dxa"/>
                  <w:noWrap/>
                  <w:vAlign w:val="bottom"/>
                </w:tcPr>
                <w:p w14:paraId="3ED1188D">
                  <w:pPr>
                    <w:spacing w:line="360" w:lineRule="auto"/>
                    <w:jc w:val="center"/>
                    <w:rPr>
                      <w:rFonts w:ascii="Times New Roman" w:hAnsi="宋体" w:eastAsia="宋体" w:cs="Times New Roman"/>
                      <w:bCs/>
                      <w:sz w:val="28"/>
                      <w:szCs w:val="22"/>
                    </w:rPr>
                  </w:pPr>
                  <w:r>
                    <w:rPr>
                      <w:rFonts w:ascii="Times New Roman" w:hAnsi="宋体" w:eastAsia="宋体" w:cs="Times New Roman"/>
                      <w:bCs/>
                      <w:sz w:val="28"/>
                      <w:szCs w:val="22"/>
                    </w:rPr>
                    <w:t>合同名称：</w:t>
                  </w:r>
                </w:p>
              </w:tc>
              <w:tc>
                <w:tcPr>
                  <w:tcW w:w="4860" w:type="dxa"/>
                  <w:tcBorders>
                    <w:top w:val="nil"/>
                    <w:left w:val="nil"/>
                    <w:bottom w:val="single" w:color="auto" w:sz="4" w:space="0"/>
                    <w:right w:val="nil"/>
                  </w:tcBorders>
                  <w:noWrap/>
                  <w:vAlign w:val="bottom"/>
                </w:tcPr>
                <w:p w14:paraId="68A985A4">
                  <w:pPr>
                    <w:spacing w:line="360" w:lineRule="auto"/>
                    <w:ind w:firstLine="1680" w:firstLineChars="600"/>
                    <w:rPr>
                      <w:rFonts w:ascii="Times New Roman" w:hAnsi="宋体" w:eastAsia="宋体" w:cs="Times New Roman"/>
                      <w:bCs/>
                      <w:color w:val="FF0000"/>
                      <w:sz w:val="28"/>
                      <w:szCs w:val="22"/>
                    </w:rPr>
                  </w:pPr>
                  <w:r>
                    <w:rPr>
                      <w:rFonts w:hint="eastAsia" w:ascii="Times New Roman" w:hAnsi="宋体" w:eastAsia="宋体" w:cs="Times New Roman"/>
                      <w:bCs/>
                      <w:color w:val="FF0000"/>
                      <w:sz w:val="28"/>
                      <w:szCs w:val="22"/>
                    </w:rPr>
                    <w:t>XXX</w:t>
                  </w:r>
                </w:p>
              </w:tc>
            </w:tr>
            <w:tr w14:paraId="1BE81762">
              <w:tblPrEx>
                <w:tblCellMar>
                  <w:top w:w="0" w:type="dxa"/>
                  <w:left w:w="108" w:type="dxa"/>
                  <w:bottom w:w="0" w:type="dxa"/>
                  <w:right w:w="108" w:type="dxa"/>
                </w:tblCellMar>
              </w:tblPrEx>
              <w:trPr>
                <w:trHeight w:val="567" w:hRule="exact"/>
              </w:trPr>
              <w:tc>
                <w:tcPr>
                  <w:tcW w:w="1620" w:type="dxa"/>
                  <w:noWrap/>
                  <w:vAlign w:val="bottom"/>
                </w:tcPr>
                <w:p w14:paraId="5CE0136D">
                  <w:pPr>
                    <w:spacing w:line="360" w:lineRule="auto"/>
                    <w:jc w:val="center"/>
                    <w:rPr>
                      <w:rFonts w:ascii="Times New Roman" w:hAnsi="宋体" w:eastAsia="宋体" w:cs="Times New Roman"/>
                      <w:bCs/>
                      <w:sz w:val="28"/>
                      <w:szCs w:val="22"/>
                    </w:rPr>
                  </w:pPr>
                  <w:r>
                    <w:rPr>
                      <w:rFonts w:ascii="Times New Roman" w:hAnsi="宋体" w:eastAsia="宋体" w:cs="Times New Roman"/>
                      <w:bCs/>
                      <w:sz w:val="28"/>
                      <w:szCs w:val="22"/>
                    </w:rPr>
                    <w:t>合同编号：</w:t>
                  </w:r>
                </w:p>
              </w:tc>
              <w:tc>
                <w:tcPr>
                  <w:tcW w:w="4860" w:type="dxa"/>
                  <w:tcBorders>
                    <w:top w:val="single" w:color="auto" w:sz="4" w:space="0"/>
                    <w:left w:val="nil"/>
                    <w:bottom w:val="single" w:color="auto" w:sz="4" w:space="0"/>
                    <w:right w:val="nil"/>
                  </w:tcBorders>
                  <w:noWrap/>
                  <w:vAlign w:val="bottom"/>
                </w:tcPr>
                <w:p w14:paraId="5ECD8370">
                  <w:pPr>
                    <w:spacing w:line="360" w:lineRule="auto"/>
                    <w:ind w:firstLine="1680" w:firstLineChars="600"/>
                    <w:rPr>
                      <w:rFonts w:ascii="Times New Roman" w:hAnsi="宋体" w:eastAsia="宋体" w:cs="Times New Roman"/>
                      <w:bCs/>
                      <w:color w:val="FF0000"/>
                      <w:sz w:val="28"/>
                      <w:szCs w:val="22"/>
                    </w:rPr>
                  </w:pPr>
                  <w:r>
                    <w:rPr>
                      <w:rFonts w:hint="eastAsia" w:ascii="Times New Roman" w:hAnsi="宋体" w:eastAsia="宋体" w:cs="Times New Roman"/>
                      <w:bCs/>
                      <w:color w:val="FF0000"/>
                      <w:sz w:val="28"/>
                      <w:szCs w:val="22"/>
                    </w:rPr>
                    <w:t>XXX</w:t>
                  </w:r>
                </w:p>
              </w:tc>
            </w:tr>
            <w:tr w14:paraId="43EAC2FE">
              <w:tblPrEx>
                <w:tblCellMar>
                  <w:top w:w="0" w:type="dxa"/>
                  <w:left w:w="108" w:type="dxa"/>
                  <w:bottom w:w="0" w:type="dxa"/>
                  <w:right w:w="108" w:type="dxa"/>
                </w:tblCellMar>
              </w:tblPrEx>
              <w:trPr>
                <w:trHeight w:val="567" w:hRule="exact"/>
              </w:trPr>
              <w:tc>
                <w:tcPr>
                  <w:tcW w:w="1620" w:type="dxa"/>
                  <w:noWrap/>
                  <w:vAlign w:val="bottom"/>
                </w:tcPr>
                <w:p w14:paraId="53F91C0C">
                  <w:pPr>
                    <w:spacing w:line="360" w:lineRule="auto"/>
                    <w:jc w:val="center"/>
                    <w:rPr>
                      <w:rFonts w:ascii="Times New Roman" w:hAnsi="宋体" w:eastAsia="宋体" w:cs="Times New Roman"/>
                      <w:bCs/>
                      <w:sz w:val="28"/>
                      <w:szCs w:val="22"/>
                    </w:rPr>
                  </w:pPr>
                  <w:r>
                    <w:rPr>
                      <w:rFonts w:ascii="Times New Roman" w:hAnsi="宋体" w:eastAsia="宋体" w:cs="Times New Roman"/>
                      <w:bCs/>
                      <w:sz w:val="28"/>
                      <w:szCs w:val="22"/>
                    </w:rPr>
                    <w:t>合同甲方：</w:t>
                  </w:r>
                </w:p>
              </w:tc>
              <w:tc>
                <w:tcPr>
                  <w:tcW w:w="4860" w:type="dxa"/>
                  <w:tcBorders>
                    <w:top w:val="single" w:color="auto" w:sz="4" w:space="0"/>
                    <w:left w:val="nil"/>
                    <w:bottom w:val="single" w:color="auto" w:sz="4" w:space="0"/>
                    <w:right w:val="nil"/>
                  </w:tcBorders>
                  <w:noWrap/>
                  <w:vAlign w:val="bottom"/>
                </w:tcPr>
                <w:p w14:paraId="0EC04AC4">
                  <w:pPr>
                    <w:spacing w:line="360" w:lineRule="auto"/>
                    <w:ind w:firstLine="700" w:firstLineChars="250"/>
                    <w:rPr>
                      <w:rFonts w:ascii="Times New Roman" w:hAnsi="宋体" w:eastAsia="宋体" w:cs="Times New Roman"/>
                      <w:bCs/>
                      <w:sz w:val="28"/>
                      <w:szCs w:val="22"/>
                    </w:rPr>
                  </w:pPr>
                  <w:r>
                    <w:rPr>
                      <w:rFonts w:hint="eastAsia" w:ascii="Times New Roman" w:hAnsi="宋体" w:eastAsia="宋体" w:cs="Times New Roman"/>
                      <w:bCs/>
                      <w:sz w:val="28"/>
                      <w:szCs w:val="22"/>
                    </w:rPr>
                    <w:t>中国核动力研究设计院</w:t>
                  </w:r>
                </w:p>
              </w:tc>
            </w:tr>
            <w:tr w14:paraId="6BD1DF9E">
              <w:tblPrEx>
                <w:tblCellMar>
                  <w:top w:w="0" w:type="dxa"/>
                  <w:left w:w="108" w:type="dxa"/>
                  <w:bottom w:w="0" w:type="dxa"/>
                  <w:right w:w="108" w:type="dxa"/>
                </w:tblCellMar>
              </w:tblPrEx>
              <w:trPr>
                <w:trHeight w:val="567" w:hRule="exact"/>
              </w:trPr>
              <w:tc>
                <w:tcPr>
                  <w:tcW w:w="1620" w:type="dxa"/>
                  <w:noWrap/>
                  <w:vAlign w:val="bottom"/>
                </w:tcPr>
                <w:p w14:paraId="3404956E">
                  <w:pPr>
                    <w:spacing w:line="360" w:lineRule="auto"/>
                    <w:jc w:val="center"/>
                    <w:rPr>
                      <w:rFonts w:ascii="Times New Roman" w:hAnsi="宋体" w:eastAsia="宋体" w:cs="Times New Roman"/>
                      <w:bCs/>
                      <w:sz w:val="28"/>
                      <w:szCs w:val="22"/>
                    </w:rPr>
                  </w:pPr>
                  <w:r>
                    <w:rPr>
                      <w:rFonts w:ascii="Times New Roman" w:hAnsi="宋体" w:eastAsia="宋体" w:cs="Times New Roman"/>
                      <w:bCs/>
                      <w:sz w:val="28"/>
                      <w:szCs w:val="22"/>
                    </w:rPr>
                    <w:t>合同乙方：</w:t>
                  </w:r>
                </w:p>
              </w:tc>
              <w:tc>
                <w:tcPr>
                  <w:tcW w:w="4860" w:type="dxa"/>
                  <w:tcBorders>
                    <w:top w:val="single" w:color="auto" w:sz="4" w:space="0"/>
                    <w:left w:val="nil"/>
                    <w:bottom w:val="single" w:color="auto" w:sz="4" w:space="0"/>
                    <w:right w:val="nil"/>
                  </w:tcBorders>
                  <w:noWrap/>
                  <w:vAlign w:val="bottom"/>
                </w:tcPr>
                <w:p w14:paraId="24ED2092">
                  <w:pPr>
                    <w:spacing w:line="360" w:lineRule="auto"/>
                    <w:ind w:firstLine="1680" w:firstLineChars="600"/>
                    <w:rPr>
                      <w:rFonts w:ascii="Times New Roman" w:hAnsi="宋体" w:eastAsia="宋体" w:cs="Times New Roman"/>
                      <w:bCs/>
                      <w:color w:val="FF0000"/>
                      <w:sz w:val="28"/>
                      <w:szCs w:val="22"/>
                    </w:rPr>
                  </w:pPr>
                  <w:r>
                    <w:rPr>
                      <w:rFonts w:hint="eastAsia" w:ascii="Times New Roman" w:hAnsi="宋体" w:eastAsia="宋体" w:cs="Times New Roman"/>
                      <w:bCs/>
                      <w:color w:val="FF0000"/>
                      <w:sz w:val="28"/>
                      <w:szCs w:val="22"/>
                    </w:rPr>
                    <w:t>XXX</w:t>
                  </w:r>
                </w:p>
              </w:tc>
            </w:tr>
            <w:tr w14:paraId="476AC012">
              <w:tblPrEx>
                <w:tblCellMar>
                  <w:top w:w="0" w:type="dxa"/>
                  <w:left w:w="108" w:type="dxa"/>
                  <w:bottom w:w="0" w:type="dxa"/>
                  <w:right w:w="108" w:type="dxa"/>
                </w:tblCellMar>
              </w:tblPrEx>
              <w:trPr>
                <w:trHeight w:val="567" w:hRule="exact"/>
              </w:trPr>
              <w:tc>
                <w:tcPr>
                  <w:tcW w:w="1620" w:type="dxa"/>
                  <w:noWrap/>
                  <w:vAlign w:val="bottom"/>
                </w:tcPr>
                <w:p w14:paraId="320F0261">
                  <w:pPr>
                    <w:spacing w:line="360" w:lineRule="auto"/>
                    <w:jc w:val="center"/>
                    <w:rPr>
                      <w:rFonts w:ascii="Times New Roman" w:hAnsi="宋体" w:eastAsia="宋体" w:cs="Times New Roman"/>
                      <w:bCs/>
                      <w:sz w:val="28"/>
                      <w:szCs w:val="22"/>
                    </w:rPr>
                  </w:pPr>
                </w:p>
              </w:tc>
              <w:tc>
                <w:tcPr>
                  <w:tcW w:w="4860" w:type="dxa"/>
                  <w:tcBorders>
                    <w:top w:val="single" w:color="auto" w:sz="4" w:space="0"/>
                    <w:left w:val="nil"/>
                    <w:right w:val="nil"/>
                  </w:tcBorders>
                  <w:noWrap/>
                  <w:vAlign w:val="bottom"/>
                </w:tcPr>
                <w:p w14:paraId="65EBA635">
                  <w:pPr>
                    <w:spacing w:line="360" w:lineRule="auto"/>
                    <w:jc w:val="center"/>
                    <w:rPr>
                      <w:rFonts w:ascii="Times New Roman" w:hAnsi="宋体" w:eastAsia="宋体" w:cs="Times New Roman"/>
                      <w:bCs/>
                      <w:sz w:val="28"/>
                      <w:szCs w:val="22"/>
                    </w:rPr>
                  </w:pPr>
                </w:p>
                <w:p w14:paraId="75A6BDDE">
                  <w:pPr>
                    <w:spacing w:line="360" w:lineRule="auto"/>
                    <w:jc w:val="center"/>
                    <w:rPr>
                      <w:rFonts w:ascii="Times New Roman" w:hAnsi="宋体" w:eastAsia="宋体" w:cs="Times New Roman"/>
                      <w:bCs/>
                      <w:sz w:val="28"/>
                      <w:szCs w:val="22"/>
                    </w:rPr>
                  </w:pPr>
                </w:p>
                <w:p w14:paraId="583A18E1">
                  <w:pPr>
                    <w:spacing w:line="360" w:lineRule="auto"/>
                    <w:jc w:val="center"/>
                    <w:rPr>
                      <w:rFonts w:ascii="Times New Roman" w:hAnsi="宋体" w:eastAsia="宋体" w:cs="Times New Roman"/>
                      <w:bCs/>
                      <w:sz w:val="28"/>
                      <w:szCs w:val="22"/>
                    </w:rPr>
                  </w:pPr>
                </w:p>
              </w:tc>
            </w:tr>
          </w:tbl>
          <w:p w14:paraId="4E99A92F">
            <w:pPr>
              <w:spacing w:line="500" w:lineRule="exact"/>
              <w:rPr>
                <w:rFonts w:ascii="黑体" w:hAnsi="Times New Roman" w:eastAsia="黑体" w:cs="Times New Roman"/>
                <w:sz w:val="28"/>
                <w:szCs w:val="28"/>
              </w:rPr>
            </w:pPr>
          </w:p>
        </w:tc>
      </w:tr>
    </w:tbl>
    <w:p w14:paraId="74B718DC">
      <w:pPr>
        <w:spacing w:line="360" w:lineRule="auto"/>
        <w:jc w:val="center"/>
        <w:rPr>
          <w:rFonts w:ascii="黑体" w:hAnsi="黑体" w:eastAsia="黑体" w:cs="Times New Roman"/>
          <w:b/>
          <w:sz w:val="28"/>
          <w:szCs w:val="28"/>
        </w:rPr>
      </w:pPr>
      <w:r>
        <w:rPr>
          <w:rFonts w:ascii="Times New Roman" w:hAnsi="Times New Roman" w:eastAsia="黑体" w:cs="Times New Roman"/>
          <w:sz w:val="28"/>
        </w:rPr>
        <w:br w:type="page"/>
      </w:r>
      <w:bookmarkStart w:id="16" w:name="_Hlt15317474"/>
      <w:bookmarkEnd w:id="16"/>
      <w:bookmarkStart w:id="17" w:name="_Toc15317493"/>
      <w:bookmarkStart w:id="18" w:name="_Toc466394040"/>
      <w:bookmarkStart w:id="19" w:name="_Toc466394432"/>
      <w:bookmarkStart w:id="20" w:name="_Hlt15317572"/>
      <w:r>
        <w:rPr>
          <w:rFonts w:hint="eastAsia" w:ascii="黑体" w:hAnsi="黑体" w:eastAsia="黑体" w:cs="Times New Roman"/>
          <w:b/>
          <w:sz w:val="28"/>
          <w:szCs w:val="28"/>
        </w:rPr>
        <w:t>第一部分  通用合同条款</w:t>
      </w:r>
      <w:bookmarkEnd w:id="17"/>
      <w:bookmarkEnd w:id="18"/>
      <w:bookmarkEnd w:id="19"/>
    </w:p>
    <w:bookmarkEnd w:id="20"/>
    <w:p w14:paraId="3C1B1D92">
      <w:pPr>
        <w:keepNext/>
        <w:keepLines/>
        <w:tabs>
          <w:tab w:val="left" w:pos="465"/>
        </w:tabs>
        <w:spacing w:line="360" w:lineRule="auto"/>
        <w:jc w:val="left"/>
        <w:outlineLvl w:val="1"/>
        <w:rPr>
          <w:rFonts w:ascii="黑体" w:hAnsi="黑体" w:eastAsia="黑体" w:cs="Times New Roman"/>
          <w:b/>
          <w:bCs/>
          <w:sz w:val="24"/>
        </w:rPr>
      </w:pPr>
      <w:bookmarkStart w:id="21" w:name="_Toc466394433"/>
      <w:bookmarkStart w:id="22" w:name="_Toc359396382"/>
      <w:bookmarkStart w:id="23" w:name="_Toc466394041"/>
      <w:bookmarkStart w:id="24" w:name="_Toc15317494"/>
      <w:bookmarkStart w:id="25" w:name="_Ref216691205"/>
      <w:r>
        <w:rPr>
          <w:rFonts w:hint="eastAsia" w:ascii="黑体" w:hAnsi="黑体" w:eastAsia="黑体" w:cs="Times New Roman"/>
          <w:b/>
          <w:bCs/>
          <w:sz w:val="24"/>
        </w:rPr>
        <w:t>1.</w:t>
      </w:r>
      <w:r>
        <w:rPr>
          <w:rFonts w:ascii="黑体" w:hAnsi="黑体" w:eastAsia="黑体" w:cs="Times New Roman"/>
          <w:b/>
          <w:bCs/>
          <w:sz w:val="24"/>
        </w:rPr>
        <w:t>定义</w:t>
      </w:r>
      <w:bookmarkEnd w:id="21"/>
      <w:bookmarkEnd w:id="22"/>
      <w:bookmarkEnd w:id="23"/>
      <w:bookmarkEnd w:id="24"/>
    </w:p>
    <w:bookmarkEnd w:id="25"/>
    <w:p w14:paraId="2E8DB2F5">
      <w:pPr>
        <w:widowControl/>
        <w:spacing w:line="360" w:lineRule="auto"/>
        <w:ind w:left="480" w:hanging="480" w:hangingChars="200"/>
        <w:contextualSpacing/>
        <w:rPr>
          <w:rFonts w:ascii="Times New Roman" w:hAnsi="Times New Roman" w:eastAsia="宋体" w:cs="Calibri"/>
          <w:sz w:val="24"/>
        </w:rPr>
      </w:pPr>
      <w:r>
        <w:rPr>
          <w:rFonts w:ascii="Times New Roman" w:hAnsi="Times New Roman" w:eastAsia="宋体" w:cs="Calibri"/>
          <w:sz w:val="24"/>
        </w:rPr>
        <w:t>1.1在本合同中，除专用合同条款另有约定外，下列术语具有以下特定含义：</w:t>
      </w:r>
    </w:p>
    <w:p w14:paraId="39434EF0">
      <w:pPr>
        <w:widowControl/>
        <w:spacing w:line="360" w:lineRule="auto"/>
        <w:ind w:left="480" w:hanging="480" w:hangingChars="200"/>
        <w:contextualSpacing/>
        <w:rPr>
          <w:rFonts w:ascii="Times New Roman" w:hAnsi="Times New Roman" w:eastAsia="宋体" w:cs="Calibri"/>
          <w:sz w:val="24"/>
        </w:rPr>
      </w:pPr>
      <w:r>
        <w:rPr>
          <w:rFonts w:ascii="Times New Roman" w:hAnsi="Times New Roman" w:eastAsia="宋体" w:cs="Calibri"/>
          <w:sz w:val="24"/>
        </w:rPr>
        <w:t>1.2合同：指甲方和乙方之间签订的有约束力的法律文件，包括通用合同条款、专用合同条款、合同附件及其中提到的或收录的所有其它文件。</w:t>
      </w:r>
    </w:p>
    <w:p w14:paraId="7A838A6C">
      <w:pPr>
        <w:widowControl/>
        <w:spacing w:line="360" w:lineRule="auto"/>
        <w:ind w:left="480" w:hanging="480" w:hangingChars="200"/>
        <w:contextualSpacing/>
        <w:rPr>
          <w:rFonts w:ascii="Times New Roman" w:hAnsi="Times New Roman" w:eastAsia="宋体" w:cs="Calibri"/>
          <w:sz w:val="24"/>
        </w:rPr>
      </w:pPr>
      <w:r>
        <w:rPr>
          <w:rFonts w:ascii="Times New Roman" w:hAnsi="Times New Roman" w:eastAsia="宋体" w:cs="Calibri"/>
          <w:sz w:val="24"/>
        </w:rPr>
        <w:t>1.3双方：指甲方和乙方。</w:t>
      </w:r>
    </w:p>
    <w:p w14:paraId="450E86F4">
      <w:pPr>
        <w:widowControl/>
        <w:spacing w:line="360" w:lineRule="auto"/>
        <w:ind w:left="480" w:hanging="480" w:hangingChars="200"/>
        <w:contextualSpacing/>
        <w:rPr>
          <w:rFonts w:ascii="Times New Roman" w:hAnsi="Times New Roman" w:eastAsia="宋体" w:cs="Calibri"/>
          <w:sz w:val="24"/>
        </w:rPr>
      </w:pPr>
      <w:r>
        <w:rPr>
          <w:rFonts w:ascii="Times New Roman" w:hAnsi="Times New Roman" w:eastAsia="宋体" w:cs="Calibri"/>
          <w:sz w:val="24"/>
        </w:rPr>
        <w:t>1.4一方：指甲方或乙方。</w:t>
      </w:r>
    </w:p>
    <w:p w14:paraId="375DE755">
      <w:pPr>
        <w:widowControl/>
        <w:spacing w:line="360" w:lineRule="auto"/>
        <w:ind w:left="480" w:hanging="480" w:hangingChars="200"/>
        <w:contextualSpacing/>
        <w:rPr>
          <w:rFonts w:ascii="Times New Roman" w:hAnsi="Times New Roman" w:eastAsia="宋体" w:cs="Calibri"/>
          <w:sz w:val="24"/>
        </w:rPr>
      </w:pPr>
      <w:r>
        <w:rPr>
          <w:rFonts w:ascii="Times New Roman" w:hAnsi="Times New Roman" w:eastAsia="宋体" w:cs="Calibri"/>
          <w:sz w:val="24"/>
        </w:rPr>
        <w:t>1.5合同当事人：指甲方和（或）乙方。</w:t>
      </w:r>
    </w:p>
    <w:p w14:paraId="7F9371AF">
      <w:pPr>
        <w:widowControl/>
        <w:spacing w:line="360" w:lineRule="auto"/>
        <w:ind w:left="480" w:hanging="480" w:hangingChars="200"/>
        <w:contextualSpacing/>
        <w:rPr>
          <w:rFonts w:ascii="Times New Roman" w:hAnsi="Times New Roman" w:eastAsia="宋体" w:cs="Calibri"/>
          <w:sz w:val="24"/>
        </w:rPr>
      </w:pPr>
      <w:r>
        <w:rPr>
          <w:rFonts w:ascii="Times New Roman" w:hAnsi="Times New Roman" w:eastAsia="宋体" w:cs="Calibri"/>
          <w:sz w:val="24"/>
        </w:rPr>
        <w:t>1.6分包方：指乙方按照本合同约定将合同的一部分分包于第三方。</w:t>
      </w:r>
    </w:p>
    <w:p w14:paraId="7D2E01D1">
      <w:pPr>
        <w:widowControl/>
        <w:spacing w:line="360" w:lineRule="auto"/>
        <w:ind w:left="480" w:hanging="480" w:hangingChars="200"/>
        <w:contextualSpacing/>
        <w:rPr>
          <w:rFonts w:ascii="Times New Roman" w:hAnsi="Times New Roman" w:eastAsia="宋体" w:cs="Calibri"/>
          <w:sz w:val="24"/>
        </w:rPr>
      </w:pPr>
      <w:r>
        <w:rPr>
          <w:rFonts w:ascii="Times New Roman" w:hAnsi="Times New Roman" w:eastAsia="宋体" w:cs="Calibri"/>
          <w:sz w:val="24"/>
        </w:rPr>
        <w:t>1.7第三方：指除甲方和乙方之外的其他法人、组织或个人。</w:t>
      </w:r>
    </w:p>
    <w:p w14:paraId="0AA69C04">
      <w:pPr>
        <w:widowControl/>
        <w:spacing w:line="360" w:lineRule="auto"/>
        <w:ind w:left="480" w:hanging="480" w:hangingChars="200"/>
        <w:contextualSpacing/>
        <w:rPr>
          <w:rFonts w:ascii="Times New Roman" w:hAnsi="Times New Roman" w:eastAsia="宋体" w:cs="Calibri"/>
          <w:sz w:val="24"/>
        </w:rPr>
      </w:pPr>
      <w:r>
        <w:rPr>
          <w:rFonts w:ascii="Times New Roman" w:hAnsi="Times New Roman" w:eastAsia="宋体" w:cs="Calibri"/>
          <w:sz w:val="24"/>
        </w:rPr>
        <w:t>1.8文件：指按照合同规定提供的图纸、材料、手册、目录、软件、大纲、程序、数据、规格、代码、X光片、电子文档及其它技术资料。</w:t>
      </w:r>
    </w:p>
    <w:p w14:paraId="5EACE81C">
      <w:pPr>
        <w:widowControl/>
        <w:spacing w:line="360" w:lineRule="auto"/>
        <w:ind w:left="480" w:hanging="480" w:hangingChars="200"/>
        <w:contextualSpacing/>
        <w:rPr>
          <w:rFonts w:ascii="Times New Roman" w:hAnsi="Times New Roman" w:eastAsia="宋体" w:cs="Calibri"/>
          <w:sz w:val="24"/>
        </w:rPr>
      </w:pPr>
      <w:r>
        <w:rPr>
          <w:rFonts w:ascii="Times New Roman" w:hAnsi="Times New Roman" w:eastAsia="宋体" w:cs="Calibri"/>
          <w:sz w:val="24"/>
        </w:rPr>
        <w:t>1.9甲方现场：除非特别指明，指中国核动力研究设计院控制的区域。</w:t>
      </w:r>
    </w:p>
    <w:p w14:paraId="2ABDD77A">
      <w:pPr>
        <w:widowControl/>
        <w:spacing w:line="360" w:lineRule="auto"/>
        <w:ind w:left="480" w:hanging="480" w:hangingChars="200"/>
        <w:contextualSpacing/>
        <w:rPr>
          <w:rFonts w:ascii="Times New Roman" w:hAnsi="Times New Roman" w:eastAsia="宋体" w:cs="Calibri"/>
          <w:sz w:val="24"/>
        </w:rPr>
      </w:pPr>
      <w:r>
        <w:rPr>
          <w:rFonts w:ascii="Times New Roman" w:hAnsi="Times New Roman" w:eastAsia="宋体" w:cs="Calibri"/>
          <w:sz w:val="24"/>
        </w:rPr>
        <w:t>1.10备品备件：指设备中的任何替换部件、零件、部件组合，但不包括消耗材料。</w:t>
      </w:r>
    </w:p>
    <w:p w14:paraId="383BDFF9">
      <w:pPr>
        <w:widowControl/>
        <w:spacing w:line="360" w:lineRule="auto"/>
        <w:ind w:left="480" w:hanging="480" w:hangingChars="200"/>
        <w:contextualSpacing/>
        <w:rPr>
          <w:rFonts w:ascii="Times New Roman" w:hAnsi="Times New Roman" w:eastAsia="宋体" w:cs="Calibri"/>
          <w:sz w:val="24"/>
        </w:rPr>
      </w:pPr>
      <w:r>
        <w:rPr>
          <w:rFonts w:ascii="Times New Roman" w:hAnsi="Times New Roman" w:eastAsia="宋体" w:cs="Calibri"/>
          <w:sz w:val="24"/>
        </w:rPr>
        <w:t>1.11日或天：一般指日历天，除非合同中有特别说明。合同中按天计算时间的，开始当天不计入，从次日开始计算。合同约定的期间的最后一天是星期六、星期日或其他法定休假日的，以休假日的次日为期间的最后一天。</w:t>
      </w:r>
    </w:p>
    <w:p w14:paraId="43FD6D9D">
      <w:pPr>
        <w:widowControl/>
        <w:spacing w:line="360" w:lineRule="auto"/>
        <w:ind w:left="480" w:hanging="480" w:hangingChars="200"/>
        <w:contextualSpacing/>
        <w:rPr>
          <w:rFonts w:ascii="Times New Roman" w:hAnsi="Times New Roman" w:eastAsia="宋体" w:cs="Calibri"/>
          <w:sz w:val="24"/>
        </w:rPr>
      </w:pPr>
      <w:r>
        <w:rPr>
          <w:rFonts w:ascii="Times New Roman" w:hAnsi="Times New Roman" w:eastAsia="宋体" w:cs="Calibri"/>
          <w:sz w:val="24"/>
        </w:rPr>
        <w:t>1.12月：按照公历月计算，合同中按月计算时间的，开始当天不计入，从次日开始计算。合同约定的期间的最后一天是星期六、星期日或其他法定休假日的，以休假日的次日为期间的最后一天。</w:t>
      </w:r>
    </w:p>
    <w:p w14:paraId="33790920">
      <w:pPr>
        <w:widowControl/>
        <w:spacing w:line="360" w:lineRule="auto"/>
        <w:ind w:left="480" w:hanging="480" w:hangingChars="200"/>
        <w:contextualSpacing/>
        <w:rPr>
          <w:rFonts w:ascii="Times New Roman" w:hAnsi="Times New Roman" w:eastAsia="宋体" w:cs="Times New Roman"/>
          <w:sz w:val="24"/>
        </w:rPr>
      </w:pPr>
      <w:r>
        <w:rPr>
          <w:rFonts w:ascii="Times New Roman" w:hAnsi="Times New Roman" w:eastAsia="宋体" w:cs="Calibri"/>
          <w:sz w:val="24"/>
        </w:rPr>
        <w:t>1.13书面形式：指合同文件、信件和数据电文（包括传真、电子邮件等）等可以有形地表现所载内容的形式。</w:t>
      </w:r>
    </w:p>
    <w:p w14:paraId="4AA6D8C2">
      <w:pPr>
        <w:spacing w:line="360" w:lineRule="auto"/>
        <w:ind w:firstLine="480" w:firstLineChars="200"/>
        <w:rPr>
          <w:rFonts w:ascii="Times New Roman" w:hAnsi="Times New Roman" w:eastAsia="宋体" w:cs="Times New Roman"/>
          <w:sz w:val="24"/>
        </w:rPr>
      </w:pPr>
    </w:p>
    <w:p w14:paraId="0E0D25C9">
      <w:pPr>
        <w:keepNext/>
        <w:keepLines/>
        <w:tabs>
          <w:tab w:val="left" w:pos="465"/>
        </w:tabs>
        <w:spacing w:line="360" w:lineRule="auto"/>
        <w:jc w:val="left"/>
        <w:outlineLvl w:val="1"/>
        <w:rPr>
          <w:rFonts w:ascii="黑体" w:hAnsi="黑体" w:eastAsia="黑体" w:cs="Times New Roman"/>
          <w:b/>
          <w:bCs/>
          <w:sz w:val="24"/>
        </w:rPr>
      </w:pPr>
      <w:bookmarkStart w:id="26" w:name="_Toc466394434"/>
      <w:bookmarkStart w:id="27" w:name="_Toc359396383"/>
      <w:bookmarkStart w:id="28" w:name="_Toc466394042"/>
      <w:bookmarkStart w:id="29" w:name="_Toc15317495"/>
      <w:r>
        <w:rPr>
          <w:rFonts w:hint="eastAsia" w:ascii="黑体" w:hAnsi="黑体" w:eastAsia="黑体" w:cs="Times New Roman"/>
          <w:b/>
          <w:bCs/>
          <w:sz w:val="24"/>
        </w:rPr>
        <w:t>2.合同构成与</w:t>
      </w:r>
      <w:bookmarkEnd w:id="26"/>
      <w:bookmarkEnd w:id="27"/>
      <w:bookmarkEnd w:id="28"/>
      <w:r>
        <w:rPr>
          <w:rFonts w:hint="eastAsia" w:ascii="黑体" w:hAnsi="黑体" w:eastAsia="黑体" w:cs="Times New Roman"/>
          <w:b/>
          <w:bCs/>
          <w:sz w:val="24"/>
        </w:rPr>
        <w:t>合同文件的优先顺序</w:t>
      </w:r>
      <w:bookmarkEnd w:id="29"/>
    </w:p>
    <w:p w14:paraId="19937047">
      <w:pPr>
        <w:spacing w:line="360" w:lineRule="auto"/>
        <w:ind w:firstLine="480" w:firstLineChars="200"/>
        <w:rPr>
          <w:rFonts w:ascii="Times New Roman" w:hAnsi="宋体" w:eastAsia="宋体" w:cs="Times New Roman"/>
          <w:sz w:val="24"/>
        </w:rPr>
      </w:pPr>
      <w:r>
        <w:rPr>
          <w:rFonts w:hint="eastAsia" w:ascii="Times New Roman" w:hAnsi="宋体" w:eastAsia="宋体" w:cs="Times New Roman"/>
          <w:sz w:val="24"/>
        </w:rPr>
        <w:t>本合同由专用合同条款、通用合同条款、附件以及上述各部分的全部附件组成。组成合同的各项文件互相解释，互为说明。除专用合同条款另有约定外，解释合同文件的优先顺序如下：</w:t>
      </w:r>
    </w:p>
    <w:p w14:paraId="6A6127ED">
      <w:pPr>
        <w:spacing w:line="360" w:lineRule="auto"/>
        <w:ind w:firstLine="480" w:firstLineChars="200"/>
        <w:rPr>
          <w:rFonts w:ascii="Times New Roman" w:hAnsi="Times New Roman" w:eastAsia="宋体" w:cs="Times New Roman"/>
          <w:sz w:val="24"/>
        </w:rPr>
      </w:pPr>
      <w:r>
        <w:rPr>
          <w:rFonts w:hint="eastAsia" w:ascii="Times New Roman" w:hAnsi="宋体" w:eastAsia="宋体" w:cs="Times New Roman"/>
          <w:sz w:val="24"/>
        </w:rPr>
        <w:t>（1）专用合同条款</w:t>
      </w:r>
    </w:p>
    <w:p w14:paraId="080C6C1B">
      <w:pPr>
        <w:spacing w:line="360" w:lineRule="auto"/>
        <w:ind w:firstLine="480" w:firstLineChars="200"/>
        <w:rPr>
          <w:rFonts w:ascii="Times New Roman" w:hAnsi="宋体" w:eastAsia="宋体" w:cs="Times New Roman"/>
          <w:sz w:val="24"/>
        </w:rPr>
      </w:pPr>
      <w:r>
        <w:rPr>
          <w:rFonts w:hint="eastAsia" w:ascii="Times New Roman" w:hAnsi="宋体" w:eastAsia="宋体" w:cs="Times New Roman"/>
          <w:sz w:val="24"/>
        </w:rPr>
        <w:t>（2）附件</w:t>
      </w:r>
      <w:r>
        <w:rPr>
          <w:rFonts w:ascii="Times New Roman" w:hAnsi="宋体" w:eastAsia="宋体" w:cs="Times New Roman"/>
          <w:sz w:val="24"/>
        </w:rPr>
        <w:t>B</w:t>
      </w:r>
    </w:p>
    <w:p w14:paraId="34E91ABF">
      <w:pPr>
        <w:spacing w:line="360" w:lineRule="auto"/>
        <w:ind w:firstLine="480" w:firstLineChars="200"/>
        <w:rPr>
          <w:rFonts w:ascii="Times New Roman" w:hAnsi="宋体" w:eastAsia="宋体" w:cs="Times New Roman"/>
          <w:sz w:val="24"/>
        </w:rPr>
      </w:pPr>
      <w:r>
        <w:rPr>
          <w:rFonts w:hint="eastAsia" w:ascii="Times New Roman" w:hAnsi="宋体" w:eastAsia="宋体" w:cs="Times New Roman"/>
          <w:sz w:val="24"/>
        </w:rPr>
        <w:t>（3）通用合同条款</w:t>
      </w:r>
    </w:p>
    <w:p w14:paraId="2C55760C">
      <w:pPr>
        <w:spacing w:line="360" w:lineRule="auto"/>
        <w:ind w:firstLine="480" w:firstLineChars="200"/>
        <w:rPr>
          <w:rFonts w:ascii="Times New Roman" w:hAnsi="宋体" w:eastAsia="宋体" w:cs="Times New Roman"/>
          <w:sz w:val="24"/>
        </w:rPr>
      </w:pPr>
      <w:r>
        <w:rPr>
          <w:rFonts w:hint="eastAsia" w:ascii="Times New Roman" w:hAnsi="宋体" w:eastAsia="宋体" w:cs="Times New Roman"/>
          <w:sz w:val="24"/>
        </w:rPr>
        <w:t>（4）附件</w:t>
      </w:r>
      <w:r>
        <w:rPr>
          <w:rFonts w:ascii="Times New Roman" w:hAnsi="宋体" w:eastAsia="宋体" w:cs="Times New Roman"/>
          <w:sz w:val="24"/>
        </w:rPr>
        <w:t>A</w:t>
      </w:r>
    </w:p>
    <w:p w14:paraId="79DCBA44">
      <w:pPr>
        <w:spacing w:line="360" w:lineRule="auto"/>
        <w:ind w:firstLine="480" w:firstLineChars="200"/>
        <w:rPr>
          <w:rFonts w:ascii="Times New Roman" w:hAnsi="宋体" w:eastAsia="宋体" w:cs="Times New Roman"/>
          <w:sz w:val="24"/>
        </w:rPr>
      </w:pPr>
      <w:r>
        <w:rPr>
          <w:rFonts w:hint="eastAsia" w:ascii="Times New Roman" w:hAnsi="宋体" w:eastAsia="宋体" w:cs="Times New Roman"/>
          <w:sz w:val="24"/>
        </w:rPr>
        <w:t>（5）其他合同文件</w:t>
      </w:r>
    </w:p>
    <w:p w14:paraId="1276284B">
      <w:pPr>
        <w:spacing w:line="360" w:lineRule="auto"/>
        <w:ind w:firstLine="480" w:firstLineChars="200"/>
        <w:rPr>
          <w:rFonts w:ascii="宋体" w:hAnsi="宋体" w:eastAsia="宋体" w:cs="Times New Roman"/>
          <w:sz w:val="24"/>
        </w:rPr>
      </w:pPr>
    </w:p>
    <w:p w14:paraId="3A8DCD11">
      <w:pPr>
        <w:keepNext/>
        <w:keepLines/>
        <w:tabs>
          <w:tab w:val="left" w:pos="465"/>
        </w:tabs>
        <w:spacing w:line="360" w:lineRule="auto"/>
        <w:jc w:val="left"/>
        <w:outlineLvl w:val="1"/>
        <w:rPr>
          <w:rFonts w:ascii="黑体" w:hAnsi="黑体" w:eastAsia="黑体" w:cs="Times New Roman"/>
          <w:b/>
          <w:bCs/>
          <w:sz w:val="24"/>
        </w:rPr>
      </w:pPr>
      <w:bookmarkStart w:id="30" w:name="_Toc15317496"/>
      <w:r>
        <w:rPr>
          <w:rFonts w:hint="eastAsia" w:ascii="黑体" w:hAnsi="黑体" w:eastAsia="黑体" w:cs="Times New Roman"/>
          <w:b/>
          <w:bCs/>
          <w:sz w:val="24"/>
        </w:rPr>
        <w:t>3.合同标的内容、范围及要求</w:t>
      </w:r>
      <w:bookmarkEnd w:id="30"/>
    </w:p>
    <w:p w14:paraId="61D8DD56">
      <w:pPr>
        <w:spacing w:line="360" w:lineRule="auto"/>
        <w:ind w:firstLine="480" w:firstLineChars="200"/>
        <w:rPr>
          <w:rFonts w:ascii="Times New Roman" w:hAnsi="宋体" w:eastAsia="宋体" w:cs="Times New Roman"/>
          <w:sz w:val="24"/>
        </w:rPr>
      </w:pPr>
      <w:r>
        <w:rPr>
          <w:rFonts w:hint="eastAsia" w:ascii="Times New Roman" w:hAnsi="宋体" w:eastAsia="宋体" w:cs="Times New Roman"/>
          <w:sz w:val="24"/>
        </w:rPr>
        <w:t>乙方应根据本合同专用合同条款、附件、通用合同条款及甲方提供的技术文件要求等规定的范围和工作内容为甲方提供服务并及时提交服务成果。</w:t>
      </w:r>
    </w:p>
    <w:p w14:paraId="15E50C1A">
      <w:pPr>
        <w:spacing w:line="360" w:lineRule="auto"/>
        <w:ind w:firstLine="480" w:firstLineChars="200"/>
        <w:rPr>
          <w:rFonts w:ascii="Times New Roman" w:hAnsi="宋体" w:eastAsia="宋体" w:cs="Times New Roman"/>
          <w:sz w:val="24"/>
        </w:rPr>
      </w:pPr>
    </w:p>
    <w:p w14:paraId="7518A4EB">
      <w:pPr>
        <w:keepNext/>
        <w:keepLines/>
        <w:tabs>
          <w:tab w:val="left" w:pos="465"/>
        </w:tabs>
        <w:spacing w:line="360" w:lineRule="auto"/>
        <w:jc w:val="left"/>
        <w:outlineLvl w:val="1"/>
        <w:rPr>
          <w:rFonts w:ascii="黑体" w:hAnsi="黑体" w:eastAsia="黑体" w:cs="Times New Roman"/>
          <w:b/>
          <w:bCs/>
          <w:sz w:val="24"/>
        </w:rPr>
      </w:pPr>
      <w:bookmarkStart w:id="31" w:name="_Toc15317497"/>
      <w:r>
        <w:rPr>
          <w:rFonts w:hint="eastAsia" w:ascii="黑体" w:hAnsi="黑体" w:eastAsia="黑体" w:cs="Times New Roman"/>
          <w:b/>
          <w:bCs/>
          <w:sz w:val="24"/>
        </w:rPr>
        <w:t>4.履行计划、进度、期限、地点、地域和方式</w:t>
      </w:r>
      <w:bookmarkEnd w:id="31"/>
    </w:p>
    <w:p w14:paraId="79C4CE71">
      <w:pPr>
        <w:spacing w:line="360" w:lineRule="auto"/>
        <w:ind w:firstLine="480" w:firstLineChars="200"/>
        <w:rPr>
          <w:rFonts w:ascii="Times New Roman" w:hAnsi="宋体" w:eastAsia="宋体" w:cs="Times New Roman"/>
          <w:sz w:val="24"/>
        </w:rPr>
      </w:pPr>
      <w:r>
        <w:rPr>
          <w:rFonts w:hint="eastAsia" w:ascii="Times New Roman" w:hAnsi="宋体" w:eastAsia="宋体" w:cs="Times New Roman"/>
          <w:sz w:val="24"/>
        </w:rPr>
        <w:t>乙方应根据本合同附件、专用合同条款等规定的履行计划、进度、期限等为甲方提供服务并及时提交服务成果。</w:t>
      </w:r>
    </w:p>
    <w:p w14:paraId="29D7B37D">
      <w:pPr>
        <w:spacing w:line="360" w:lineRule="auto"/>
        <w:ind w:firstLine="480" w:firstLineChars="200"/>
        <w:rPr>
          <w:rFonts w:ascii="Times New Roman" w:hAnsi="宋体" w:eastAsia="宋体" w:cs="Times New Roman"/>
          <w:sz w:val="24"/>
        </w:rPr>
      </w:pPr>
    </w:p>
    <w:p w14:paraId="3A6F1581">
      <w:pPr>
        <w:keepNext/>
        <w:keepLines/>
        <w:tabs>
          <w:tab w:val="left" w:pos="465"/>
        </w:tabs>
        <w:spacing w:line="360" w:lineRule="auto"/>
        <w:jc w:val="left"/>
        <w:outlineLvl w:val="1"/>
        <w:rPr>
          <w:rFonts w:ascii="黑体" w:hAnsi="黑体" w:eastAsia="黑体" w:cs="Times New Roman"/>
          <w:b/>
          <w:bCs/>
          <w:sz w:val="24"/>
        </w:rPr>
      </w:pPr>
      <w:bookmarkStart w:id="32" w:name="_Toc15317498"/>
      <w:r>
        <w:rPr>
          <w:rFonts w:hint="eastAsia" w:ascii="黑体" w:hAnsi="黑体" w:eastAsia="黑体" w:cs="Times New Roman"/>
          <w:b/>
          <w:bCs/>
          <w:sz w:val="24"/>
        </w:rPr>
        <w:t>5.价款、报酬及支付方式</w:t>
      </w:r>
      <w:bookmarkEnd w:id="32"/>
    </w:p>
    <w:p w14:paraId="3DFB0652">
      <w:pPr>
        <w:widowControl/>
        <w:spacing w:line="360" w:lineRule="auto"/>
        <w:ind w:left="480" w:hanging="480" w:hangingChars="200"/>
        <w:contextualSpacing/>
        <w:rPr>
          <w:rFonts w:ascii="Times New Roman" w:hAnsi="Times New Roman" w:eastAsia="宋体" w:cs="Calibri"/>
          <w:sz w:val="24"/>
        </w:rPr>
      </w:pPr>
      <w:r>
        <w:rPr>
          <w:rFonts w:hint="eastAsia" w:ascii="Times New Roman" w:hAnsi="Times New Roman" w:eastAsia="宋体" w:cs="Calibri"/>
          <w:sz w:val="24"/>
        </w:rPr>
        <w:t>5.1除专用合同条款另有约定外，本合同价款、报酬的货币币种为“人民币”、单位为“元”。</w:t>
      </w:r>
    </w:p>
    <w:p w14:paraId="6A5E86E9">
      <w:pPr>
        <w:widowControl/>
        <w:spacing w:line="360" w:lineRule="auto"/>
        <w:ind w:left="480" w:hanging="480" w:hangingChars="200"/>
        <w:contextualSpacing/>
        <w:rPr>
          <w:rFonts w:ascii="Times New Roman" w:hAnsi="Times New Roman" w:eastAsia="宋体" w:cs="Calibri"/>
          <w:sz w:val="24"/>
        </w:rPr>
      </w:pPr>
      <w:r>
        <w:rPr>
          <w:rFonts w:hint="eastAsia" w:ascii="Times New Roman" w:hAnsi="Times New Roman" w:eastAsia="宋体" w:cs="Calibri"/>
          <w:sz w:val="24"/>
        </w:rPr>
        <w:t>5.2乙方应被认为已考虑到对其完成本合同任务可能产生影响的各种因素（包括但不限于为履行合同的现有条件、商业风险、技术要求、质保要求、工业安全、保密要求、辐射防护要求等），并应被认为已理解并接受全部合同条款、附件以及其中提到或收到的所有文件及其要求。</w:t>
      </w:r>
    </w:p>
    <w:p w14:paraId="7A9B68E3">
      <w:pPr>
        <w:widowControl/>
        <w:spacing w:line="360" w:lineRule="auto"/>
        <w:ind w:left="480" w:hanging="480" w:hangingChars="200"/>
        <w:contextualSpacing/>
        <w:rPr>
          <w:rFonts w:ascii="Times New Roman" w:hAnsi="Times New Roman" w:eastAsia="宋体" w:cs="Calibri"/>
          <w:sz w:val="24"/>
        </w:rPr>
      </w:pPr>
      <w:r>
        <w:rPr>
          <w:rFonts w:hint="eastAsia" w:ascii="Times New Roman" w:hAnsi="Times New Roman" w:eastAsia="宋体" w:cs="Calibri"/>
          <w:sz w:val="24"/>
        </w:rPr>
        <w:t>5.3除专用合同条款另有约定外，合同价款、报酬应被认为已包括了但不限于全部人工、设备、备品备件、包装、运输、设计文件、图纸、食宿、交通、管理、质保、利润、保险、技术支持与服务、知识产权使用、各种税费等及合同规定的或潜在的所有风险、活动、责任、义务的全部费用。</w:t>
      </w:r>
    </w:p>
    <w:p w14:paraId="560D8281">
      <w:pPr>
        <w:widowControl/>
        <w:spacing w:line="360" w:lineRule="auto"/>
        <w:ind w:left="480" w:hanging="480" w:hangingChars="200"/>
        <w:contextualSpacing/>
        <w:rPr>
          <w:rFonts w:ascii="Times New Roman" w:hAnsi="Times New Roman" w:eastAsia="宋体" w:cs="Calibri"/>
          <w:sz w:val="24"/>
        </w:rPr>
      </w:pPr>
      <w:r>
        <w:rPr>
          <w:rFonts w:hint="eastAsia" w:ascii="Times New Roman" w:hAnsi="Times New Roman" w:eastAsia="宋体" w:cs="Calibri"/>
          <w:sz w:val="24"/>
        </w:rPr>
        <w:t>5.4除专用合同条款另有约定外，本合同价款、报酬固定不变，在合同期间一切技术、设备、材料、人工价格等的变化对合同价款、报酬均不构成影响，不进行价格调整。</w:t>
      </w:r>
    </w:p>
    <w:p w14:paraId="62A3A7EE">
      <w:pPr>
        <w:widowControl/>
        <w:spacing w:line="360" w:lineRule="auto"/>
        <w:ind w:left="480" w:hanging="480" w:hangingChars="200"/>
        <w:contextualSpacing/>
        <w:rPr>
          <w:rFonts w:ascii="Times New Roman" w:hAnsi="Times New Roman" w:eastAsia="宋体" w:cs="Calibri"/>
          <w:sz w:val="24"/>
        </w:rPr>
      </w:pPr>
      <w:r>
        <w:rPr>
          <w:rFonts w:hint="eastAsia" w:ascii="Times New Roman" w:hAnsi="Times New Roman" w:eastAsia="宋体" w:cs="Calibri"/>
          <w:sz w:val="24"/>
        </w:rPr>
        <w:t>5.5如有属于本合同范围而未列入价款、报酬明细中的有关项目及其费用，则应被认为已包括在合同价款、报酬中。除非甲方根据本合同发出书面合同价款、报酬变更通知，否则在合同范围内不再进行计算和调整。</w:t>
      </w:r>
    </w:p>
    <w:p w14:paraId="5B42F4DE">
      <w:pPr>
        <w:widowControl/>
        <w:spacing w:line="360" w:lineRule="auto"/>
        <w:ind w:left="480" w:hanging="480" w:hangingChars="200"/>
        <w:contextualSpacing/>
        <w:rPr>
          <w:rFonts w:ascii="Times New Roman" w:hAnsi="Times New Roman" w:eastAsia="宋体" w:cs="Calibri"/>
          <w:sz w:val="24"/>
        </w:rPr>
      </w:pPr>
      <w:r>
        <w:rPr>
          <w:rFonts w:hint="eastAsia" w:ascii="Times New Roman" w:hAnsi="Times New Roman" w:eastAsia="宋体" w:cs="Calibri"/>
          <w:sz w:val="24"/>
        </w:rPr>
        <w:t>5.6本合同的价款、报酬及支付方式见专用合同条款。</w:t>
      </w:r>
    </w:p>
    <w:p w14:paraId="450EC4AE">
      <w:pPr>
        <w:widowControl/>
        <w:spacing w:line="360" w:lineRule="auto"/>
        <w:ind w:left="480" w:hanging="480" w:hangingChars="200"/>
        <w:contextualSpacing/>
        <w:rPr>
          <w:rFonts w:ascii="Times New Roman" w:hAnsi="Times New Roman" w:eastAsia="宋体" w:cs="Calibri"/>
          <w:sz w:val="24"/>
        </w:rPr>
      </w:pPr>
      <w:r>
        <w:rPr>
          <w:rFonts w:hint="eastAsia" w:ascii="Times New Roman" w:hAnsi="Times New Roman" w:eastAsia="宋体" w:cs="Calibri"/>
          <w:sz w:val="24"/>
        </w:rPr>
        <w:t>5.7甲方采用银行转账方式支付合同价款、报酬，甲方将相关合同款项向本合同中约定的乙方账户汇出即视为甲方履行了付款义务。甲方和乙方应分别承担各自银行收取的费用。</w:t>
      </w:r>
    </w:p>
    <w:p w14:paraId="4A4EB2F9">
      <w:pPr>
        <w:widowControl/>
        <w:spacing w:line="360" w:lineRule="auto"/>
        <w:ind w:left="480" w:hanging="480" w:hangingChars="200"/>
        <w:contextualSpacing/>
        <w:rPr>
          <w:rFonts w:ascii="Times New Roman" w:hAnsi="Times New Roman" w:eastAsia="宋体" w:cs="Calibri"/>
          <w:sz w:val="24"/>
        </w:rPr>
      </w:pPr>
      <w:r>
        <w:rPr>
          <w:rFonts w:hint="eastAsia" w:ascii="Times New Roman" w:hAnsi="Times New Roman" w:eastAsia="宋体" w:cs="Calibri"/>
          <w:sz w:val="24"/>
        </w:rPr>
        <w:t>5.8如支付日为非工作日的（含周末及国家法定节假日等），则顺延至该日期后第一（1）个工作日，并且该支付不被视为延迟支付。</w:t>
      </w:r>
    </w:p>
    <w:p w14:paraId="372ED93D">
      <w:pPr>
        <w:widowControl/>
        <w:spacing w:line="360" w:lineRule="auto"/>
        <w:ind w:left="480" w:hanging="480" w:hangingChars="200"/>
        <w:contextualSpacing/>
        <w:rPr>
          <w:rFonts w:ascii="Times New Roman" w:hAnsi="Times New Roman" w:eastAsia="宋体" w:cs="Calibri"/>
          <w:sz w:val="24"/>
        </w:rPr>
      </w:pPr>
      <w:r>
        <w:rPr>
          <w:rFonts w:hint="eastAsia" w:ascii="Times New Roman" w:hAnsi="Times New Roman" w:eastAsia="宋体" w:cs="Calibri"/>
          <w:sz w:val="24"/>
        </w:rPr>
        <w:t>5.9甲方在收到乙方提供的支付申请函及甲方要求的全部支付凭证并确认无误后，将相应合同款项汇往乙方在合同中指定的银行账号，如乙方未按上述要求提供凭证或提供的凭证不完整、有瑕疵，甲方有权暂停付款直至乙方按要求补全，付款时间顺延。对此，甲方不承担违约或赔偿责任。</w:t>
      </w:r>
    </w:p>
    <w:p w14:paraId="704C19A6">
      <w:pPr>
        <w:widowControl/>
        <w:spacing w:line="360" w:lineRule="auto"/>
        <w:ind w:left="480" w:hanging="480" w:hangingChars="200"/>
        <w:contextualSpacing/>
        <w:rPr>
          <w:rFonts w:ascii="Times New Roman" w:hAnsi="Times New Roman" w:eastAsia="宋体" w:cs="Calibri"/>
          <w:sz w:val="24"/>
        </w:rPr>
      </w:pPr>
      <w:r>
        <w:rPr>
          <w:rFonts w:hint="eastAsia" w:ascii="Times New Roman" w:hAnsi="Times New Roman" w:eastAsia="宋体" w:cs="Calibri"/>
          <w:sz w:val="24"/>
        </w:rPr>
        <w:t>5.10如果甲方对乙方申请的支付金额有疑问，甲方应在收到第5.9款规定的凭证后7日内通知乙方，待双方达成一致后支付，甲方不因此承担违约或赔偿责任。</w:t>
      </w:r>
    </w:p>
    <w:p w14:paraId="57A93E74">
      <w:pPr>
        <w:widowControl/>
        <w:spacing w:line="360" w:lineRule="auto"/>
        <w:ind w:left="480" w:hanging="480" w:hangingChars="200"/>
        <w:contextualSpacing/>
        <w:rPr>
          <w:rFonts w:ascii="Times New Roman" w:hAnsi="Times New Roman" w:eastAsia="宋体" w:cs="Calibri"/>
          <w:sz w:val="24"/>
        </w:rPr>
      </w:pPr>
      <w:r>
        <w:rPr>
          <w:rFonts w:hint="eastAsia" w:ascii="Times New Roman" w:hAnsi="Times New Roman" w:eastAsia="宋体" w:cs="Calibri"/>
          <w:sz w:val="24"/>
        </w:rPr>
        <w:t>5.11当乙方应向甲方支付本合同项下有责任的费用、赔偿金、违约金或其他开支时，甲方有权直接从其应付给乙方本合同项下的任何款项中直接扣除和（或）兑付履约保证金</w:t>
      </w:r>
      <w:r>
        <w:rPr>
          <w:rFonts w:ascii="Times New Roman" w:hAnsi="Times New Roman" w:eastAsia="宋体" w:cs="Calibri"/>
          <w:sz w:val="24"/>
        </w:rPr>
        <w:t>（</w:t>
      </w:r>
      <w:r>
        <w:rPr>
          <w:rFonts w:hint="eastAsia" w:ascii="Times New Roman" w:hAnsi="Times New Roman" w:eastAsia="宋体" w:cs="Calibri"/>
          <w:sz w:val="24"/>
        </w:rPr>
        <w:t>若有</w:t>
      </w:r>
      <w:r>
        <w:rPr>
          <w:rFonts w:ascii="Times New Roman" w:hAnsi="Times New Roman" w:eastAsia="宋体" w:cs="Calibri"/>
          <w:sz w:val="24"/>
        </w:rPr>
        <w:t>）</w:t>
      </w:r>
      <w:r>
        <w:rPr>
          <w:rFonts w:hint="eastAsia" w:ascii="Times New Roman" w:hAnsi="Times New Roman" w:eastAsia="宋体" w:cs="Calibri"/>
          <w:sz w:val="24"/>
        </w:rPr>
        <w:t>。</w:t>
      </w:r>
    </w:p>
    <w:p w14:paraId="65FEE7A4">
      <w:pPr>
        <w:spacing w:line="360" w:lineRule="auto"/>
        <w:ind w:firstLine="480" w:firstLineChars="200"/>
        <w:rPr>
          <w:rFonts w:ascii="宋体" w:hAnsi="宋体" w:eastAsia="宋体" w:cs="Times New Roman"/>
          <w:sz w:val="24"/>
        </w:rPr>
      </w:pPr>
    </w:p>
    <w:p w14:paraId="33C56C8E">
      <w:pPr>
        <w:keepNext/>
        <w:keepLines/>
        <w:tabs>
          <w:tab w:val="left" w:pos="465"/>
        </w:tabs>
        <w:spacing w:line="360" w:lineRule="auto"/>
        <w:jc w:val="left"/>
        <w:outlineLvl w:val="1"/>
        <w:rPr>
          <w:rFonts w:ascii="黑体" w:hAnsi="黑体" w:eastAsia="黑体" w:cs="Times New Roman"/>
          <w:b/>
          <w:bCs/>
          <w:sz w:val="24"/>
        </w:rPr>
      </w:pPr>
      <w:bookmarkStart w:id="33" w:name="_Toc15317499"/>
      <w:bookmarkStart w:id="34" w:name="_Toc466394436"/>
      <w:bookmarkStart w:id="35" w:name="_Toc466394044"/>
      <w:bookmarkStart w:id="36" w:name="_Toc359396385"/>
      <w:r>
        <w:rPr>
          <w:rFonts w:hint="eastAsia" w:ascii="黑体" w:hAnsi="黑体" w:eastAsia="黑体" w:cs="Times New Roman"/>
          <w:b/>
          <w:bCs/>
          <w:sz w:val="24"/>
        </w:rPr>
        <w:t>6.转让和分包</w:t>
      </w:r>
      <w:bookmarkEnd w:id="33"/>
    </w:p>
    <w:p w14:paraId="231051E9">
      <w:pPr>
        <w:widowControl/>
        <w:spacing w:line="360" w:lineRule="auto"/>
        <w:ind w:left="480" w:hanging="480" w:hangingChars="200"/>
        <w:contextualSpacing/>
        <w:rPr>
          <w:rFonts w:ascii="Times New Roman" w:hAnsi="Times New Roman" w:eastAsia="宋体" w:cs="Calibri"/>
          <w:sz w:val="24"/>
        </w:rPr>
      </w:pPr>
      <w:r>
        <w:rPr>
          <w:rFonts w:hint="eastAsia" w:ascii="Times New Roman" w:hAnsi="Times New Roman" w:eastAsia="宋体" w:cs="Calibri"/>
          <w:sz w:val="24"/>
        </w:rPr>
        <w:t>6.1除专用合同条款另有约定外，未经甲方预先评审和书面批准，乙方不得将合同的任何义务转让或分包给第三方。甲方有权审查受让方或分包方的选择和相关资质，</w:t>
      </w:r>
      <w:r>
        <w:rPr>
          <w:rFonts w:ascii="Times New Roman" w:hAnsi="Times New Roman" w:eastAsia="宋体" w:cs="Calibri"/>
          <w:sz w:val="24"/>
        </w:rPr>
        <w:t>禁止受让方或分包方再</w:t>
      </w:r>
      <w:r>
        <w:rPr>
          <w:rFonts w:hint="eastAsia" w:ascii="Times New Roman" w:hAnsi="Times New Roman" w:eastAsia="宋体" w:cs="Calibri"/>
          <w:sz w:val="24"/>
        </w:rPr>
        <w:t>转让、再分包。</w:t>
      </w:r>
    </w:p>
    <w:p w14:paraId="4DB5CB32">
      <w:pPr>
        <w:widowControl/>
        <w:spacing w:line="360" w:lineRule="auto"/>
        <w:ind w:left="480" w:hanging="480" w:hangingChars="200"/>
        <w:contextualSpacing/>
        <w:rPr>
          <w:rFonts w:ascii="Times New Roman" w:hAnsi="Times New Roman" w:eastAsia="宋体" w:cs="Calibri"/>
          <w:sz w:val="24"/>
        </w:rPr>
      </w:pPr>
      <w:r>
        <w:rPr>
          <w:rFonts w:hint="eastAsia" w:ascii="Times New Roman" w:hAnsi="Times New Roman" w:eastAsia="宋体" w:cs="Calibri"/>
          <w:sz w:val="24"/>
        </w:rPr>
        <w:t>6.2任何分包均不解除乙方在本合同项下的责任和义务，包括但不限于合同项下的进度控制、质量控制和质量保证的责任与义务。</w:t>
      </w:r>
    </w:p>
    <w:p w14:paraId="53478170">
      <w:pPr>
        <w:widowControl/>
        <w:spacing w:line="360" w:lineRule="auto"/>
        <w:ind w:left="480" w:hanging="480" w:hangingChars="200"/>
        <w:contextualSpacing/>
        <w:rPr>
          <w:rFonts w:ascii="Times New Roman" w:hAnsi="Times New Roman" w:eastAsia="宋体" w:cs="Calibri"/>
          <w:sz w:val="24"/>
        </w:rPr>
      </w:pPr>
      <w:r>
        <w:rPr>
          <w:rFonts w:hint="eastAsia" w:ascii="Times New Roman" w:hAnsi="Times New Roman" w:eastAsia="宋体" w:cs="Calibri"/>
          <w:sz w:val="24"/>
        </w:rPr>
        <w:t>6.3乙方应对其分包方及分包方的代理商、工作人员的过错或疏忽等行为负责，并承担连带责任。</w:t>
      </w:r>
    </w:p>
    <w:p w14:paraId="7ECFC2B6">
      <w:pPr>
        <w:spacing w:line="360" w:lineRule="auto"/>
        <w:ind w:firstLine="480" w:firstLineChars="200"/>
        <w:rPr>
          <w:rFonts w:ascii="宋体" w:hAnsi="宋体" w:eastAsia="宋体" w:cs="Times New Roman"/>
          <w:sz w:val="24"/>
        </w:rPr>
      </w:pPr>
    </w:p>
    <w:bookmarkEnd w:id="34"/>
    <w:bookmarkEnd w:id="35"/>
    <w:bookmarkEnd w:id="36"/>
    <w:p w14:paraId="63E987B4">
      <w:pPr>
        <w:keepNext/>
        <w:keepLines/>
        <w:tabs>
          <w:tab w:val="left" w:pos="465"/>
        </w:tabs>
        <w:spacing w:line="360" w:lineRule="auto"/>
        <w:jc w:val="left"/>
        <w:outlineLvl w:val="1"/>
        <w:rPr>
          <w:rFonts w:ascii="黑体" w:hAnsi="黑体" w:eastAsia="黑体" w:cs="Times New Roman"/>
          <w:b/>
          <w:bCs/>
          <w:sz w:val="24"/>
        </w:rPr>
      </w:pPr>
      <w:bookmarkStart w:id="37" w:name="_Toc466394438"/>
      <w:bookmarkStart w:id="38" w:name="_Toc466394046"/>
      <w:bookmarkStart w:id="39" w:name="_Toc359396387"/>
      <w:bookmarkStart w:id="40" w:name="_Toc15317500"/>
      <w:r>
        <w:rPr>
          <w:rFonts w:hint="eastAsia" w:ascii="黑体" w:hAnsi="黑体" w:eastAsia="黑体" w:cs="Times New Roman"/>
          <w:b/>
          <w:bCs/>
          <w:sz w:val="24"/>
        </w:rPr>
        <w:t>7.验收</w:t>
      </w:r>
      <w:bookmarkEnd w:id="37"/>
      <w:bookmarkEnd w:id="38"/>
      <w:bookmarkEnd w:id="39"/>
      <w:r>
        <w:rPr>
          <w:rFonts w:hint="eastAsia" w:ascii="黑体" w:hAnsi="黑体" w:eastAsia="黑体" w:cs="Times New Roman"/>
          <w:b/>
          <w:bCs/>
          <w:sz w:val="24"/>
        </w:rPr>
        <w:t>标准和方法</w:t>
      </w:r>
      <w:bookmarkEnd w:id="40"/>
    </w:p>
    <w:p w14:paraId="0D160E81">
      <w:pPr>
        <w:widowControl/>
        <w:spacing w:line="360" w:lineRule="auto"/>
        <w:ind w:left="480" w:hanging="480" w:hangingChars="200"/>
        <w:contextualSpacing/>
        <w:rPr>
          <w:rFonts w:ascii="Times New Roman" w:hAnsi="Times New Roman" w:eastAsia="宋体" w:cs="Calibri"/>
          <w:sz w:val="24"/>
        </w:rPr>
      </w:pPr>
      <w:r>
        <w:rPr>
          <w:rFonts w:hint="eastAsia" w:ascii="Times New Roman" w:hAnsi="Times New Roman" w:eastAsia="宋体" w:cs="Calibri"/>
          <w:sz w:val="24"/>
        </w:rPr>
        <w:t>7.1乙方交付的所有成果和验收所需的文件必须满足附件</w:t>
      </w:r>
      <w:r>
        <w:rPr>
          <w:rFonts w:ascii="Times New Roman" w:hAnsi="Times New Roman" w:eastAsia="宋体" w:cs="Calibri"/>
          <w:sz w:val="24"/>
        </w:rPr>
        <w:t>B</w:t>
      </w:r>
      <w:r>
        <w:rPr>
          <w:rFonts w:hint="eastAsia" w:ascii="Times New Roman" w:hAnsi="Times New Roman" w:eastAsia="宋体" w:cs="Calibri"/>
          <w:sz w:val="24"/>
        </w:rPr>
        <w:t>（如有）的要求，并经甲方认可，方具备验收条件。</w:t>
      </w:r>
    </w:p>
    <w:p w14:paraId="592D0090">
      <w:pPr>
        <w:widowControl/>
        <w:spacing w:line="360" w:lineRule="auto"/>
        <w:ind w:left="480" w:hanging="480" w:hangingChars="200"/>
        <w:contextualSpacing/>
        <w:rPr>
          <w:rFonts w:ascii="Times New Roman" w:hAnsi="Times New Roman" w:eastAsia="宋体" w:cs="Calibri"/>
          <w:sz w:val="24"/>
        </w:rPr>
      </w:pPr>
      <w:r>
        <w:rPr>
          <w:rFonts w:hint="eastAsia" w:ascii="Times New Roman" w:hAnsi="Times New Roman" w:eastAsia="宋体" w:cs="Calibri"/>
          <w:sz w:val="24"/>
        </w:rPr>
        <w:t>7.2乙方交付的技术成果需要由第三方检验（测）机构进行检验（测）的，由乙方负责，费用由乙方承担。</w:t>
      </w:r>
    </w:p>
    <w:p w14:paraId="48521872">
      <w:pPr>
        <w:widowControl/>
        <w:spacing w:line="360" w:lineRule="auto"/>
        <w:ind w:left="480" w:hanging="480" w:hangingChars="200"/>
        <w:contextualSpacing/>
        <w:rPr>
          <w:rFonts w:ascii="Times New Roman" w:hAnsi="Times New Roman" w:eastAsia="宋体" w:cs="Calibri"/>
          <w:sz w:val="24"/>
        </w:rPr>
      </w:pPr>
      <w:r>
        <w:rPr>
          <w:rFonts w:hint="eastAsia" w:ascii="Times New Roman" w:hAnsi="Times New Roman" w:eastAsia="宋体" w:cs="Calibri"/>
          <w:sz w:val="24"/>
        </w:rPr>
        <w:t>7.3阶段验收或最终验收不合格，乙方有义务负责查找原因，如果是由于乙方原因造成验收不合格，乙方必须无偿返工处理直到甲方验收合格为止，因此导致合同工期延误，乙方应承担违约责任并赔偿相应损失。</w:t>
      </w:r>
    </w:p>
    <w:p w14:paraId="26172B60">
      <w:pPr>
        <w:widowControl/>
        <w:spacing w:line="360" w:lineRule="auto"/>
        <w:ind w:left="480" w:hanging="480" w:hangingChars="200"/>
        <w:contextualSpacing/>
        <w:rPr>
          <w:rFonts w:ascii="Times New Roman" w:hAnsi="Times New Roman" w:eastAsia="宋体" w:cs="Calibri"/>
          <w:sz w:val="24"/>
        </w:rPr>
      </w:pPr>
      <w:r>
        <w:rPr>
          <w:rFonts w:hint="eastAsia" w:ascii="Times New Roman" w:hAnsi="Times New Roman" w:eastAsia="宋体" w:cs="Calibri"/>
          <w:sz w:val="24"/>
        </w:rPr>
        <w:t>7.4验收报告需双方签字认可，否则无效。验收报告的签署不能免除乙方在质量保证期内对技术服务质量应承担的责任。</w:t>
      </w:r>
    </w:p>
    <w:p w14:paraId="1B412077">
      <w:pPr>
        <w:spacing w:line="360" w:lineRule="auto"/>
        <w:ind w:firstLine="480" w:firstLineChars="200"/>
        <w:rPr>
          <w:rFonts w:ascii="宋体" w:hAnsi="宋体" w:eastAsia="宋体" w:cs="Times New Roman"/>
          <w:sz w:val="24"/>
        </w:rPr>
      </w:pPr>
    </w:p>
    <w:p w14:paraId="119764C0">
      <w:pPr>
        <w:keepNext/>
        <w:keepLines/>
        <w:tabs>
          <w:tab w:val="left" w:pos="465"/>
        </w:tabs>
        <w:spacing w:line="360" w:lineRule="auto"/>
        <w:jc w:val="left"/>
        <w:outlineLvl w:val="1"/>
        <w:rPr>
          <w:rFonts w:ascii="黑体" w:hAnsi="黑体" w:eastAsia="黑体" w:cs="Times New Roman"/>
          <w:b/>
          <w:bCs/>
          <w:sz w:val="24"/>
        </w:rPr>
      </w:pPr>
      <w:bookmarkStart w:id="41" w:name="_Toc15317501"/>
      <w:r>
        <w:rPr>
          <w:rFonts w:hint="eastAsia" w:ascii="黑体" w:hAnsi="黑体" w:eastAsia="黑体" w:cs="Times New Roman"/>
          <w:b/>
          <w:bCs/>
          <w:sz w:val="24"/>
        </w:rPr>
        <w:t>8.保证与质量控制</w:t>
      </w:r>
      <w:bookmarkEnd w:id="41"/>
    </w:p>
    <w:p w14:paraId="2EBEC9F8">
      <w:pPr>
        <w:widowControl/>
        <w:spacing w:line="360" w:lineRule="auto"/>
        <w:ind w:left="480" w:hanging="480" w:hangingChars="200"/>
        <w:contextualSpacing/>
        <w:rPr>
          <w:rFonts w:ascii="Times New Roman" w:hAnsi="Times New Roman" w:eastAsia="宋体" w:cs="Calibri"/>
          <w:sz w:val="24"/>
        </w:rPr>
      </w:pPr>
      <w:r>
        <w:rPr>
          <w:rFonts w:hint="eastAsia" w:ascii="Times New Roman" w:hAnsi="Times New Roman" w:eastAsia="宋体" w:cs="Calibri"/>
          <w:sz w:val="24"/>
        </w:rPr>
        <w:t>8.1乙方保证其具有完全能力履行本合同项下的全部义务。</w:t>
      </w:r>
    </w:p>
    <w:p w14:paraId="4FCDA8C3">
      <w:pPr>
        <w:widowControl/>
        <w:spacing w:line="360" w:lineRule="auto"/>
        <w:ind w:left="480" w:hanging="480" w:hangingChars="200"/>
        <w:contextualSpacing/>
        <w:rPr>
          <w:rFonts w:ascii="Times New Roman" w:hAnsi="Times New Roman" w:eastAsia="宋体" w:cs="Calibri"/>
          <w:sz w:val="24"/>
        </w:rPr>
      </w:pPr>
      <w:r>
        <w:rPr>
          <w:rFonts w:hint="eastAsia" w:ascii="Times New Roman" w:hAnsi="Times New Roman" w:eastAsia="宋体" w:cs="Calibri"/>
          <w:sz w:val="24"/>
        </w:rPr>
        <w:t>8.2乙方保证其对本合同的履行及所交付的技术服务成果符合所有应适用的法律、行政法规、地方性法规、自治条例和单行条例、规章及其他规范性文件的强制性规定。</w:t>
      </w:r>
    </w:p>
    <w:p w14:paraId="7D5947AB">
      <w:pPr>
        <w:widowControl/>
        <w:spacing w:line="360" w:lineRule="auto"/>
        <w:ind w:left="480" w:hanging="480" w:hangingChars="200"/>
        <w:contextualSpacing/>
        <w:rPr>
          <w:rFonts w:ascii="Times New Roman" w:hAnsi="Times New Roman" w:eastAsia="宋体" w:cs="Calibri"/>
          <w:sz w:val="24"/>
        </w:rPr>
      </w:pPr>
      <w:r>
        <w:rPr>
          <w:rFonts w:hint="eastAsia" w:ascii="Times New Roman" w:hAnsi="Times New Roman" w:eastAsia="宋体" w:cs="Calibri"/>
          <w:sz w:val="24"/>
        </w:rPr>
        <w:t>8.3乙方保证其所提供的技术资料完整、清晰、准确，满足合同附件</w:t>
      </w:r>
      <w:r>
        <w:rPr>
          <w:rFonts w:ascii="Times New Roman" w:hAnsi="Times New Roman" w:eastAsia="宋体" w:cs="Calibri"/>
          <w:sz w:val="24"/>
        </w:rPr>
        <w:t>B</w:t>
      </w:r>
      <w:r>
        <w:rPr>
          <w:rFonts w:hint="eastAsia" w:ascii="Times New Roman" w:hAnsi="Times New Roman" w:eastAsia="宋体" w:cs="Calibri"/>
          <w:sz w:val="24"/>
        </w:rPr>
        <w:t>（如有）和专用合同条款中约定的要求。</w:t>
      </w:r>
    </w:p>
    <w:p w14:paraId="5650AA50">
      <w:pPr>
        <w:widowControl/>
        <w:spacing w:line="360" w:lineRule="auto"/>
        <w:ind w:left="480" w:hanging="480" w:hangingChars="200"/>
        <w:contextualSpacing/>
        <w:rPr>
          <w:rFonts w:ascii="Times New Roman" w:hAnsi="Times New Roman" w:eastAsia="宋体" w:cs="Calibri"/>
          <w:sz w:val="24"/>
        </w:rPr>
      </w:pPr>
      <w:r>
        <w:rPr>
          <w:rFonts w:hint="eastAsia" w:ascii="Times New Roman" w:hAnsi="Times New Roman" w:eastAsia="宋体" w:cs="Calibri"/>
          <w:sz w:val="24"/>
        </w:rPr>
        <w:t>8.4乙方保证与服务质量有关的活动在受控状态下完成，甲方有权对乙方所提供的技术服务的质量进行检查、见证、确认和验收。乙方的质量保证要求、质量保证期和质量保证金在专用合同条款中约定。</w:t>
      </w:r>
    </w:p>
    <w:p w14:paraId="5DD93B4A">
      <w:pPr>
        <w:spacing w:line="360" w:lineRule="auto"/>
        <w:ind w:firstLine="480" w:firstLineChars="200"/>
        <w:rPr>
          <w:rFonts w:ascii="宋体" w:hAnsi="宋体" w:eastAsia="宋体" w:cs="Times New Roman"/>
          <w:sz w:val="24"/>
        </w:rPr>
      </w:pPr>
    </w:p>
    <w:p w14:paraId="25B45298">
      <w:pPr>
        <w:keepNext/>
        <w:keepLines/>
        <w:tabs>
          <w:tab w:val="left" w:pos="465"/>
        </w:tabs>
        <w:spacing w:line="360" w:lineRule="auto"/>
        <w:jc w:val="left"/>
        <w:outlineLvl w:val="1"/>
        <w:rPr>
          <w:rFonts w:ascii="黑体" w:hAnsi="黑体" w:eastAsia="黑体" w:cs="Times New Roman"/>
          <w:b/>
          <w:bCs/>
          <w:sz w:val="24"/>
        </w:rPr>
      </w:pPr>
      <w:bookmarkStart w:id="42" w:name="_Toc15317502"/>
      <w:r>
        <w:rPr>
          <w:rFonts w:hint="eastAsia" w:ascii="黑体" w:hAnsi="黑体" w:eastAsia="黑体" w:cs="Times New Roman"/>
          <w:b/>
          <w:bCs/>
          <w:sz w:val="24"/>
        </w:rPr>
        <w:t>9.履约保证金</w:t>
      </w:r>
      <w:bookmarkEnd w:id="42"/>
    </w:p>
    <w:p w14:paraId="13AE0CF5">
      <w:pPr>
        <w:widowControl/>
        <w:spacing w:line="360" w:lineRule="auto"/>
        <w:ind w:left="480" w:hanging="480" w:hangingChars="200"/>
        <w:contextualSpacing/>
        <w:rPr>
          <w:rFonts w:ascii="Times New Roman" w:hAnsi="Times New Roman" w:eastAsia="宋体" w:cs="Calibri"/>
          <w:sz w:val="24"/>
        </w:rPr>
      </w:pPr>
      <w:bookmarkStart w:id="43" w:name="_Toc351203499"/>
      <w:r>
        <w:rPr>
          <w:rFonts w:hint="eastAsia" w:ascii="Times New Roman" w:hAnsi="Times New Roman" w:eastAsia="宋体" w:cs="Calibri"/>
          <w:sz w:val="24"/>
        </w:rPr>
        <w:t>9.1为担保乙方全面履行合同义务，乙方应按专用合同条款约定向甲方提供履约保证金，其具体形式一般包括履约保证金现金、履约保函等，具体以专用合同条款约定为准。</w:t>
      </w:r>
    </w:p>
    <w:p w14:paraId="44A5DA9E">
      <w:pPr>
        <w:widowControl/>
        <w:spacing w:line="360" w:lineRule="auto"/>
        <w:ind w:left="480" w:hanging="480" w:hangingChars="200"/>
        <w:contextualSpacing/>
        <w:rPr>
          <w:rFonts w:ascii="Times New Roman" w:hAnsi="Times New Roman" w:eastAsia="宋体" w:cs="Calibri"/>
          <w:sz w:val="24"/>
        </w:rPr>
      </w:pPr>
      <w:r>
        <w:rPr>
          <w:rFonts w:hint="eastAsia" w:ascii="Times New Roman" w:hAnsi="Times New Roman" w:eastAsia="宋体" w:cs="Calibri"/>
          <w:sz w:val="24"/>
        </w:rPr>
        <w:t>9.2当乙方不履行合同义务或者履行合同义务不符合约定时，甲方有权视具体情况扣除相应金额的履约保证金，也可在结算合同价款时直接扣除。</w:t>
      </w:r>
    </w:p>
    <w:p w14:paraId="0DDB9FA3">
      <w:pPr>
        <w:widowControl/>
        <w:spacing w:line="360" w:lineRule="auto"/>
        <w:ind w:left="480" w:hanging="480" w:hangingChars="200"/>
        <w:contextualSpacing/>
        <w:rPr>
          <w:rFonts w:ascii="Times New Roman" w:hAnsi="Times New Roman" w:eastAsia="宋体" w:cs="Calibri"/>
          <w:sz w:val="24"/>
        </w:rPr>
      </w:pPr>
      <w:r>
        <w:rPr>
          <w:rFonts w:hint="eastAsia" w:ascii="Times New Roman" w:hAnsi="Times New Roman" w:eastAsia="宋体" w:cs="Calibri"/>
          <w:sz w:val="24"/>
        </w:rPr>
        <w:t>9.3除专用合同条款另有约定外，履约保证金的担保期间为自履约保证金提交甲方之日起至标的物通过最终验收后28日。在担保期间届满之日起60个工作日内，甲方将无息退还履约保证金。乙方以履约保函形式提交履约保证金的，如果履约保函的实际担保期限短于合同约定的履约保证金担保期间的，乙方应于保函担保期间届满前15日内重新提供履约保函（保函的担保期限应经甲方事先认可）。逾期不提供的，甲方有权从合同价款中扣除相应金额作为履约保证金。</w:t>
      </w:r>
      <w:bookmarkStart w:id="44" w:name="_Toc516957179"/>
    </w:p>
    <w:p w14:paraId="4936A8F3">
      <w:pPr>
        <w:spacing w:line="360" w:lineRule="auto"/>
        <w:ind w:firstLine="480" w:firstLineChars="200"/>
        <w:rPr>
          <w:rFonts w:ascii="宋体" w:hAnsi="宋体" w:eastAsia="宋体" w:cs="Times New Roman"/>
          <w:sz w:val="24"/>
        </w:rPr>
      </w:pPr>
    </w:p>
    <w:bookmarkEnd w:id="44"/>
    <w:p w14:paraId="5CFCB61F">
      <w:pPr>
        <w:keepNext/>
        <w:keepLines/>
        <w:tabs>
          <w:tab w:val="left" w:pos="465"/>
        </w:tabs>
        <w:spacing w:line="360" w:lineRule="auto"/>
        <w:jc w:val="left"/>
        <w:outlineLvl w:val="1"/>
        <w:rPr>
          <w:rFonts w:ascii="黑体" w:hAnsi="黑体" w:eastAsia="黑体" w:cs="Times New Roman"/>
          <w:b/>
          <w:bCs/>
          <w:sz w:val="24"/>
        </w:rPr>
      </w:pPr>
      <w:bookmarkStart w:id="45" w:name="_Toc15317503"/>
      <w:r>
        <w:rPr>
          <w:rFonts w:hint="eastAsia" w:ascii="黑体" w:hAnsi="黑体" w:eastAsia="黑体" w:cs="Times New Roman"/>
          <w:b/>
          <w:bCs/>
          <w:sz w:val="24"/>
        </w:rPr>
        <w:t>10.保险</w:t>
      </w:r>
      <w:bookmarkEnd w:id="45"/>
    </w:p>
    <w:p w14:paraId="7843C504">
      <w:pPr>
        <w:widowControl/>
        <w:spacing w:line="360" w:lineRule="auto"/>
        <w:ind w:left="480" w:hanging="480" w:hangingChars="200"/>
        <w:contextualSpacing/>
        <w:rPr>
          <w:rFonts w:ascii="Times New Roman" w:hAnsi="Times New Roman" w:eastAsia="宋体" w:cs="Calibri"/>
          <w:sz w:val="24"/>
        </w:rPr>
      </w:pPr>
      <w:r>
        <w:rPr>
          <w:rFonts w:hint="eastAsia" w:ascii="Times New Roman" w:hAnsi="Times New Roman" w:eastAsia="宋体" w:cs="Calibri"/>
          <w:sz w:val="24"/>
        </w:rPr>
        <w:t>10.1乙方必须对涉及履行本合同项下义务的全部人员及设备进行全程保险，以保障其人员或设备在从事本合同项下的工作时出现的任何意外，包括但不限于财产损失、人身伤害等。乙方未按前述约定购买保险的，所产生的一切不利后果及赔偿责任由乙方自行负责，与甲方无关，甲方不承担任何责任。</w:t>
      </w:r>
    </w:p>
    <w:p w14:paraId="01CC95D0">
      <w:pPr>
        <w:widowControl/>
        <w:spacing w:line="360" w:lineRule="auto"/>
        <w:ind w:left="480" w:hanging="480" w:hangingChars="200"/>
        <w:contextualSpacing/>
        <w:rPr>
          <w:rFonts w:ascii="Times New Roman" w:hAnsi="Times New Roman" w:eastAsia="宋体" w:cs="Calibri"/>
          <w:sz w:val="24"/>
        </w:rPr>
      </w:pPr>
      <w:bookmarkStart w:id="46" w:name="_Toc516957180"/>
      <w:r>
        <w:rPr>
          <w:rFonts w:hint="eastAsia" w:ascii="Times New Roman" w:hAnsi="Times New Roman" w:eastAsia="宋体" w:cs="Calibri"/>
          <w:sz w:val="24"/>
        </w:rPr>
        <w:t>10.2因甲方过错造成乙方的设备和人员的损害，由乙方负责向保险公司索赔，甲方只承担保险公司赔偿以外的损失，若乙方未按上述10.1购买保险，对于未保险的部分甲方不予赔偿，由乙方负责赔偿。</w:t>
      </w:r>
      <w:bookmarkEnd w:id="46"/>
    </w:p>
    <w:p w14:paraId="161A6668">
      <w:pPr>
        <w:spacing w:line="360" w:lineRule="auto"/>
        <w:ind w:firstLine="482" w:firstLineChars="200"/>
        <w:rPr>
          <w:rFonts w:ascii="宋体" w:hAnsi="宋体" w:eastAsia="宋体" w:cs="Times New Roman"/>
          <w:b/>
          <w:bCs/>
          <w:sz w:val="24"/>
        </w:rPr>
      </w:pPr>
    </w:p>
    <w:p w14:paraId="7B33E758">
      <w:pPr>
        <w:keepNext/>
        <w:keepLines/>
        <w:tabs>
          <w:tab w:val="left" w:pos="465"/>
        </w:tabs>
        <w:spacing w:line="360" w:lineRule="auto"/>
        <w:jc w:val="left"/>
        <w:outlineLvl w:val="1"/>
        <w:rPr>
          <w:rFonts w:ascii="黑体" w:hAnsi="黑体" w:eastAsia="黑体" w:cs="Times New Roman"/>
          <w:b/>
          <w:bCs/>
          <w:sz w:val="24"/>
        </w:rPr>
      </w:pPr>
      <w:bookmarkStart w:id="47" w:name="_Toc15317504"/>
      <w:r>
        <w:rPr>
          <w:rFonts w:hint="eastAsia" w:ascii="黑体" w:hAnsi="黑体" w:eastAsia="黑体" w:cs="Times New Roman"/>
          <w:b/>
          <w:bCs/>
          <w:sz w:val="24"/>
        </w:rPr>
        <w:t>11.</w:t>
      </w:r>
      <w:r>
        <w:rPr>
          <w:rFonts w:ascii="黑体" w:hAnsi="黑体" w:eastAsia="黑体" w:cs="Times New Roman"/>
          <w:b/>
          <w:bCs/>
          <w:sz w:val="24"/>
        </w:rPr>
        <w:t>标准和规范</w:t>
      </w:r>
      <w:bookmarkEnd w:id="43"/>
      <w:bookmarkEnd w:id="47"/>
    </w:p>
    <w:p w14:paraId="2E24E487">
      <w:pPr>
        <w:widowControl/>
        <w:spacing w:line="360" w:lineRule="auto"/>
        <w:ind w:left="480" w:hanging="480" w:hangingChars="200"/>
        <w:contextualSpacing/>
        <w:rPr>
          <w:rFonts w:ascii="Times New Roman" w:hAnsi="Times New Roman" w:eastAsia="宋体" w:cs="Calibri"/>
          <w:sz w:val="24"/>
        </w:rPr>
      </w:pPr>
      <w:r>
        <w:rPr>
          <w:rFonts w:ascii="Times New Roman" w:hAnsi="Times New Roman" w:eastAsia="宋体" w:cs="Calibri"/>
          <w:sz w:val="24"/>
        </w:rPr>
        <w:t>11.1</w:t>
      </w:r>
      <w:r>
        <w:rPr>
          <w:rFonts w:ascii="Times New Roman" w:hAnsi="宋体" w:eastAsia="宋体" w:cs="Calibri"/>
          <w:sz w:val="24"/>
        </w:rPr>
        <w:t>适用于合同的</w:t>
      </w:r>
      <w:r>
        <w:rPr>
          <w:rFonts w:ascii="Times New Roman" w:hAnsi="Times New Roman" w:eastAsia="宋体" w:cs="Calibri"/>
          <w:sz w:val="24"/>
        </w:rPr>
        <w:t>国家标准</w:t>
      </w:r>
      <w:r>
        <w:rPr>
          <w:rFonts w:ascii="Times New Roman" w:hAnsi="宋体" w:eastAsia="宋体" w:cs="Calibri"/>
          <w:sz w:val="24"/>
        </w:rPr>
        <w:t>、行业标准、甲方所在地的地方性标准，以及相应的规范、规程等，甲方有特别要求的，应在专用合同条款中约定。</w:t>
      </w:r>
    </w:p>
    <w:p w14:paraId="7186CE66">
      <w:pPr>
        <w:widowControl/>
        <w:spacing w:line="360" w:lineRule="auto"/>
        <w:ind w:left="480" w:hanging="480" w:hangingChars="200"/>
        <w:contextualSpacing/>
        <w:rPr>
          <w:rFonts w:ascii="Times New Roman" w:hAnsi="Times New Roman" w:eastAsia="宋体" w:cs="Calibri"/>
          <w:sz w:val="24"/>
        </w:rPr>
      </w:pPr>
      <w:r>
        <w:rPr>
          <w:rFonts w:ascii="Times New Roman" w:hAnsi="Times New Roman" w:eastAsia="宋体" w:cs="Calibri"/>
          <w:sz w:val="24"/>
        </w:rPr>
        <w:t>11.2</w:t>
      </w:r>
      <w:r>
        <w:rPr>
          <w:rFonts w:ascii="Times New Roman" w:hAnsi="宋体" w:eastAsia="宋体" w:cs="Calibri"/>
          <w:sz w:val="24"/>
        </w:rPr>
        <w:t>甲方要求使用国外标准、规范的，甲方负责提供原文版本和中文译本，并在专用合同条款中</w:t>
      </w:r>
      <w:r>
        <w:rPr>
          <w:rFonts w:ascii="Times New Roman" w:hAnsi="Times New Roman" w:eastAsia="宋体" w:cs="Calibri"/>
          <w:sz w:val="24"/>
        </w:rPr>
        <w:t>约定</w:t>
      </w:r>
      <w:r>
        <w:rPr>
          <w:rFonts w:ascii="Times New Roman" w:hAnsi="宋体" w:eastAsia="宋体" w:cs="Calibri"/>
          <w:sz w:val="24"/>
        </w:rPr>
        <w:t>提供标准规范的名称、份数和时间。</w:t>
      </w:r>
    </w:p>
    <w:p w14:paraId="0F23AAEA">
      <w:pPr>
        <w:widowControl/>
        <w:spacing w:line="360" w:lineRule="auto"/>
        <w:ind w:left="480" w:hanging="480" w:hangingChars="200"/>
        <w:contextualSpacing/>
        <w:rPr>
          <w:rFonts w:ascii="Times New Roman" w:hAnsi="Times New Roman" w:eastAsia="宋体" w:cs="Calibri"/>
          <w:sz w:val="24"/>
        </w:rPr>
      </w:pPr>
      <w:r>
        <w:rPr>
          <w:rFonts w:ascii="Times New Roman" w:hAnsi="Times New Roman" w:eastAsia="宋体" w:cs="Calibri"/>
          <w:sz w:val="24"/>
        </w:rPr>
        <w:t>11.3</w:t>
      </w:r>
      <w:r>
        <w:rPr>
          <w:rFonts w:ascii="Times New Roman" w:hAnsi="宋体" w:eastAsia="宋体" w:cs="Calibri"/>
          <w:sz w:val="24"/>
        </w:rPr>
        <w:t>对合同的技术标准、功能要求高于或严于现行国家、行业或地方标准的，应当在专用合同条款中予以明确。除专用合同条款另有约定外，应视为乙方在签订合同前已充分预见前述技术标准和功能要求的复杂程度，签约合同价款、报酬中已包含由此产生的费用。</w:t>
      </w:r>
    </w:p>
    <w:p w14:paraId="6E200FC9">
      <w:pPr>
        <w:spacing w:line="360" w:lineRule="auto"/>
        <w:ind w:firstLine="480" w:firstLineChars="200"/>
        <w:rPr>
          <w:rFonts w:ascii="宋体" w:hAnsi="宋体" w:eastAsia="宋体" w:cs="Times New Roman"/>
          <w:sz w:val="24"/>
        </w:rPr>
      </w:pPr>
    </w:p>
    <w:p w14:paraId="69541515">
      <w:pPr>
        <w:keepNext/>
        <w:keepLines/>
        <w:tabs>
          <w:tab w:val="left" w:pos="465"/>
        </w:tabs>
        <w:spacing w:line="360" w:lineRule="auto"/>
        <w:jc w:val="left"/>
        <w:outlineLvl w:val="1"/>
        <w:rPr>
          <w:rFonts w:ascii="黑体" w:hAnsi="黑体" w:eastAsia="黑体" w:cs="Times New Roman"/>
          <w:b/>
          <w:bCs/>
          <w:sz w:val="24"/>
        </w:rPr>
      </w:pPr>
      <w:bookmarkStart w:id="48" w:name="_Toc15317505"/>
      <w:r>
        <w:rPr>
          <w:rFonts w:hint="eastAsia" w:ascii="黑体" w:hAnsi="黑体" w:eastAsia="黑体" w:cs="Times New Roman"/>
          <w:b/>
          <w:bCs/>
          <w:sz w:val="24"/>
        </w:rPr>
        <w:t>12.安全、环境和职业健康管理</w:t>
      </w:r>
      <w:bookmarkEnd w:id="48"/>
    </w:p>
    <w:p w14:paraId="47C151F7">
      <w:pPr>
        <w:widowControl/>
        <w:spacing w:line="360" w:lineRule="auto"/>
        <w:ind w:left="480" w:hanging="480" w:hangingChars="200"/>
        <w:contextualSpacing/>
        <w:rPr>
          <w:rFonts w:ascii="宋体" w:hAnsi="宋体" w:eastAsia="宋体" w:cs="Times New Roman"/>
          <w:sz w:val="24"/>
        </w:rPr>
      </w:pPr>
      <w:r>
        <w:rPr>
          <w:rFonts w:hint="eastAsia" w:ascii="Times New Roman" w:hAnsi="Times New Roman" w:eastAsia="宋体" w:cs="Calibri"/>
          <w:sz w:val="24"/>
        </w:rPr>
        <w:t>12.1</w:t>
      </w:r>
      <w:r>
        <w:rPr>
          <w:rFonts w:hint="eastAsia" w:ascii="宋体" w:hAnsi="宋体" w:eastAsia="宋体" w:cs="Times New Roman"/>
          <w:sz w:val="24"/>
        </w:rPr>
        <w:t>乙方在履行合同过程中，应严格遵守《安全生产法》、《环境保护法》、《道路交通法》、《核安全法》等有关安全生产、职业健康和环境保护的国家法律法规、行政主管部门规定和行业标准规范以及合同所在地的地方相关规定及要求。</w:t>
      </w:r>
    </w:p>
    <w:p w14:paraId="1ADA253D">
      <w:pPr>
        <w:widowControl/>
        <w:spacing w:line="360" w:lineRule="auto"/>
        <w:ind w:left="480" w:hanging="480" w:hangingChars="200"/>
        <w:contextualSpacing/>
        <w:rPr>
          <w:rFonts w:ascii="宋体" w:hAnsi="宋体" w:eastAsia="宋体" w:cs="Times New Roman"/>
          <w:sz w:val="24"/>
        </w:rPr>
      </w:pPr>
      <w:r>
        <w:rPr>
          <w:rFonts w:hint="eastAsia" w:ascii="Times New Roman" w:hAnsi="Times New Roman" w:eastAsia="宋体" w:cs="Calibri"/>
          <w:sz w:val="24"/>
        </w:rPr>
        <w:t>12.2</w:t>
      </w:r>
      <w:r>
        <w:rPr>
          <w:rFonts w:hint="eastAsia" w:ascii="宋体" w:hAnsi="宋体" w:eastAsia="宋体" w:cs="Times New Roman"/>
          <w:sz w:val="24"/>
        </w:rPr>
        <w:t>乙方应当考虑甲方在使用该技术服务成果时的安全操作和防护的需要，在技术服务文件中应注明涉及使用、施工、生产、安装、</w:t>
      </w:r>
      <w:r>
        <w:rPr>
          <w:rFonts w:hint="eastAsia" w:ascii="Times New Roman" w:hAnsi="Times New Roman" w:eastAsia="宋体" w:cs="Calibri"/>
          <w:sz w:val="24"/>
        </w:rPr>
        <w:t>维修</w:t>
      </w:r>
      <w:r>
        <w:rPr>
          <w:rFonts w:hint="eastAsia" w:ascii="宋体" w:hAnsi="宋体" w:eastAsia="宋体" w:cs="Times New Roman"/>
          <w:sz w:val="24"/>
        </w:rPr>
        <w:t>等过程中存在安全事故风险的重点部位和环节，并对防范生产安全事故、环境保护等提出措施建议。</w:t>
      </w:r>
    </w:p>
    <w:p w14:paraId="1AA147B5">
      <w:pPr>
        <w:widowControl/>
        <w:spacing w:line="360" w:lineRule="auto"/>
        <w:ind w:left="480" w:hanging="480" w:hangingChars="200"/>
        <w:contextualSpacing/>
        <w:rPr>
          <w:rFonts w:ascii="宋体" w:hAnsi="宋体" w:eastAsia="宋体" w:cs="Times New Roman"/>
          <w:sz w:val="24"/>
        </w:rPr>
      </w:pPr>
      <w:r>
        <w:rPr>
          <w:rFonts w:hint="eastAsia" w:ascii="Times New Roman" w:hAnsi="Times New Roman" w:eastAsia="宋体" w:cs="Calibri"/>
          <w:sz w:val="24"/>
        </w:rPr>
        <w:t>12.3</w:t>
      </w:r>
      <w:r>
        <w:rPr>
          <w:rFonts w:hint="eastAsia" w:ascii="宋体" w:hAnsi="宋体" w:eastAsia="宋体" w:cs="Times New Roman"/>
          <w:sz w:val="24"/>
        </w:rPr>
        <w:t>在技术服务中涉及采用新结构、新材料、新工艺时，乙方应当提出保障使用人员、施工作业人员安全和预防生产安全事故、</w:t>
      </w:r>
      <w:r>
        <w:rPr>
          <w:rFonts w:hint="eastAsia" w:ascii="Times New Roman" w:hAnsi="Times New Roman" w:eastAsia="宋体" w:cs="Calibri"/>
          <w:sz w:val="24"/>
        </w:rPr>
        <w:t>环境保护</w:t>
      </w:r>
      <w:r>
        <w:rPr>
          <w:rFonts w:hint="eastAsia" w:ascii="宋体" w:hAnsi="宋体" w:eastAsia="宋体" w:cs="Times New Roman"/>
          <w:sz w:val="24"/>
        </w:rPr>
        <w:t>等的措施建议。</w:t>
      </w:r>
    </w:p>
    <w:p w14:paraId="4915B3B0">
      <w:pPr>
        <w:widowControl/>
        <w:spacing w:line="360" w:lineRule="auto"/>
        <w:ind w:left="480" w:hanging="480" w:hangingChars="200"/>
        <w:contextualSpacing/>
        <w:rPr>
          <w:rFonts w:ascii="宋体" w:hAnsi="宋体" w:eastAsia="宋体" w:cs="Times New Roman"/>
          <w:sz w:val="24"/>
        </w:rPr>
      </w:pPr>
      <w:r>
        <w:rPr>
          <w:rFonts w:hint="eastAsia" w:ascii="Times New Roman" w:hAnsi="Times New Roman" w:eastAsia="宋体" w:cs="Calibri"/>
          <w:sz w:val="24"/>
        </w:rPr>
        <w:t>12.4</w:t>
      </w:r>
      <w:r>
        <w:rPr>
          <w:rFonts w:hint="eastAsia" w:ascii="宋体" w:hAnsi="宋体" w:eastAsia="宋体" w:cs="Times New Roman"/>
          <w:sz w:val="24"/>
        </w:rPr>
        <w:t>乙方应充分考虑所提供技术服务成果的本质安全化。</w:t>
      </w:r>
    </w:p>
    <w:p w14:paraId="57F968D5">
      <w:pPr>
        <w:widowControl/>
        <w:spacing w:line="360" w:lineRule="auto"/>
        <w:ind w:left="480" w:hanging="480" w:hangingChars="200"/>
        <w:contextualSpacing/>
        <w:rPr>
          <w:rFonts w:ascii="宋体" w:hAnsi="宋体" w:eastAsia="宋体" w:cs="Times New Roman"/>
          <w:sz w:val="24"/>
        </w:rPr>
      </w:pPr>
      <w:r>
        <w:rPr>
          <w:rFonts w:hint="eastAsia" w:ascii="Times New Roman" w:hAnsi="Times New Roman" w:eastAsia="宋体" w:cs="Calibri"/>
          <w:sz w:val="24"/>
        </w:rPr>
        <w:t>12.5</w:t>
      </w:r>
      <w:r>
        <w:rPr>
          <w:rFonts w:hint="eastAsia" w:ascii="宋体" w:hAnsi="宋体" w:eastAsia="宋体" w:cs="Times New Roman"/>
          <w:sz w:val="24"/>
        </w:rPr>
        <w:t>乙方的安全环保第一责任人承担本合同项下的安全环保直接领导责任，并负责本合同履行期间的安全环保逐级责任制的落实工作。</w:t>
      </w:r>
    </w:p>
    <w:p w14:paraId="7F677253">
      <w:pPr>
        <w:widowControl/>
        <w:spacing w:line="360" w:lineRule="auto"/>
        <w:ind w:left="480" w:hanging="480" w:hangingChars="200"/>
        <w:contextualSpacing/>
        <w:rPr>
          <w:rFonts w:ascii="宋体" w:hAnsi="宋体" w:eastAsia="宋体" w:cs="Times New Roman"/>
          <w:sz w:val="24"/>
        </w:rPr>
      </w:pPr>
      <w:r>
        <w:rPr>
          <w:rFonts w:hint="eastAsia" w:ascii="Times New Roman" w:hAnsi="Times New Roman" w:eastAsia="宋体" w:cs="Calibri"/>
          <w:sz w:val="24"/>
        </w:rPr>
        <w:t>12.6</w:t>
      </w:r>
      <w:r>
        <w:rPr>
          <w:rFonts w:hint="eastAsia" w:ascii="宋体" w:hAnsi="宋体" w:eastAsia="宋体" w:cs="Times New Roman"/>
          <w:sz w:val="24"/>
        </w:rPr>
        <w:t>如需现场服务时，</w:t>
      </w:r>
      <w:r>
        <w:rPr>
          <w:rFonts w:ascii="宋体" w:hAnsi="宋体" w:eastAsia="宋体" w:cs="Times New Roman"/>
          <w:sz w:val="24"/>
        </w:rPr>
        <w:t>乙方</w:t>
      </w:r>
      <w:r>
        <w:rPr>
          <w:rFonts w:hint="eastAsia" w:ascii="宋体" w:hAnsi="宋体" w:eastAsia="宋体" w:cs="Times New Roman"/>
          <w:sz w:val="24"/>
        </w:rPr>
        <w:t>应遵守甲方的各项</w:t>
      </w:r>
      <w:r>
        <w:rPr>
          <w:rFonts w:hint="eastAsia" w:ascii="Times New Roman" w:hAnsi="Times New Roman" w:eastAsia="宋体" w:cs="Calibri"/>
          <w:sz w:val="24"/>
        </w:rPr>
        <w:t>规章制度</w:t>
      </w:r>
      <w:r>
        <w:rPr>
          <w:rFonts w:hint="eastAsia" w:ascii="宋体" w:hAnsi="宋体" w:eastAsia="宋体" w:cs="Times New Roman"/>
          <w:sz w:val="24"/>
        </w:rPr>
        <w:t>，并</w:t>
      </w:r>
      <w:r>
        <w:rPr>
          <w:rFonts w:ascii="宋体" w:hAnsi="宋体" w:eastAsia="宋体" w:cs="Times New Roman"/>
          <w:sz w:val="24"/>
        </w:rPr>
        <w:t>对其派遣人员以及设备、设施、施工作业方案的安全负责；保证其派遣人员具有完成工作的安全、环保知识和技能，特种作业人员必须符合国家有关管理规定和要求。</w:t>
      </w:r>
    </w:p>
    <w:p w14:paraId="6A658D67">
      <w:pPr>
        <w:widowControl/>
        <w:spacing w:line="360" w:lineRule="auto"/>
        <w:ind w:left="480" w:hanging="480" w:hangingChars="200"/>
        <w:contextualSpacing/>
        <w:rPr>
          <w:rFonts w:ascii="宋体" w:hAnsi="宋体" w:eastAsia="宋体" w:cs="Times New Roman"/>
          <w:sz w:val="24"/>
        </w:rPr>
      </w:pPr>
      <w:r>
        <w:rPr>
          <w:rFonts w:hint="eastAsia" w:ascii="Times New Roman" w:hAnsi="Times New Roman" w:eastAsia="宋体" w:cs="Calibri"/>
          <w:sz w:val="24"/>
        </w:rPr>
        <w:t>12.7</w:t>
      </w:r>
      <w:r>
        <w:rPr>
          <w:rFonts w:ascii="宋体" w:hAnsi="宋体" w:eastAsia="宋体" w:cs="Times New Roman"/>
          <w:sz w:val="24"/>
        </w:rPr>
        <w:t>乙方</w:t>
      </w:r>
      <w:r>
        <w:rPr>
          <w:rFonts w:hint="eastAsia" w:ascii="宋体" w:hAnsi="宋体" w:eastAsia="宋体" w:cs="Times New Roman"/>
          <w:sz w:val="24"/>
        </w:rPr>
        <w:t>应对其派遣人员进行安全、环保培训，达到合同约定或甲方要求的安全、环保要求。</w:t>
      </w:r>
      <w:r>
        <w:rPr>
          <w:rFonts w:ascii="宋体" w:hAnsi="宋体" w:eastAsia="宋体" w:cs="Times New Roman"/>
          <w:sz w:val="24"/>
        </w:rPr>
        <w:t>应乙方的请求，甲方</w:t>
      </w:r>
      <w:r>
        <w:rPr>
          <w:rFonts w:hint="eastAsia" w:ascii="宋体" w:hAnsi="宋体" w:eastAsia="宋体" w:cs="Times New Roman"/>
          <w:sz w:val="24"/>
        </w:rPr>
        <w:t>有权决定</w:t>
      </w:r>
      <w:r>
        <w:rPr>
          <w:rFonts w:hint="eastAsia" w:ascii="Times New Roman" w:hAnsi="Times New Roman" w:eastAsia="宋体" w:cs="Calibri"/>
          <w:sz w:val="24"/>
        </w:rPr>
        <w:t>是否</w:t>
      </w:r>
      <w:r>
        <w:rPr>
          <w:rFonts w:hint="eastAsia" w:ascii="宋体" w:hAnsi="宋体" w:eastAsia="宋体" w:cs="Times New Roman"/>
          <w:sz w:val="24"/>
        </w:rPr>
        <w:t>对乙方提供安全、环保培训的支援，如甲方同意提供安全培训，乙方应承担的安全责任并不免除。</w:t>
      </w:r>
    </w:p>
    <w:p w14:paraId="7EB586DB">
      <w:pPr>
        <w:widowControl/>
        <w:spacing w:line="360" w:lineRule="auto"/>
        <w:ind w:left="480" w:hanging="480" w:hangingChars="200"/>
        <w:contextualSpacing/>
        <w:rPr>
          <w:rFonts w:ascii="宋体" w:hAnsi="宋体" w:eastAsia="宋体" w:cs="Times New Roman"/>
          <w:sz w:val="24"/>
        </w:rPr>
      </w:pPr>
      <w:r>
        <w:rPr>
          <w:rFonts w:hint="eastAsia" w:ascii="Times New Roman" w:hAnsi="Times New Roman" w:eastAsia="宋体" w:cs="Calibri"/>
          <w:sz w:val="24"/>
        </w:rPr>
        <w:t>12.8</w:t>
      </w:r>
      <w:r>
        <w:rPr>
          <w:rFonts w:ascii="宋体" w:hAnsi="宋体" w:eastAsia="宋体" w:cs="Times New Roman"/>
          <w:sz w:val="24"/>
        </w:rPr>
        <w:t>乙方</w:t>
      </w:r>
      <w:r>
        <w:rPr>
          <w:rFonts w:hint="eastAsia" w:ascii="宋体" w:hAnsi="宋体" w:eastAsia="宋体" w:cs="Times New Roman"/>
          <w:sz w:val="24"/>
        </w:rPr>
        <w:t>人员在进入甲方现场时，应正确佩带符合国家标准的个人防护用品，按照甲方规定办理准入通行证并严格执行现场交通、消防及保卫管理规定。</w:t>
      </w:r>
    </w:p>
    <w:p w14:paraId="43FAC30A">
      <w:pPr>
        <w:widowControl/>
        <w:spacing w:line="360" w:lineRule="auto"/>
        <w:ind w:left="480" w:hanging="480" w:hangingChars="200"/>
        <w:contextualSpacing/>
        <w:rPr>
          <w:rFonts w:ascii="宋体" w:hAnsi="宋体" w:eastAsia="宋体" w:cs="Times New Roman"/>
          <w:sz w:val="24"/>
        </w:rPr>
      </w:pPr>
      <w:r>
        <w:rPr>
          <w:rFonts w:hint="eastAsia" w:ascii="Times New Roman" w:hAnsi="Times New Roman" w:eastAsia="宋体" w:cs="Calibri"/>
          <w:sz w:val="24"/>
        </w:rPr>
        <w:t>12.9</w:t>
      </w:r>
      <w:r>
        <w:rPr>
          <w:rFonts w:hint="eastAsia" w:ascii="宋体" w:hAnsi="宋体" w:eastAsia="宋体" w:cs="Times New Roman"/>
          <w:sz w:val="24"/>
        </w:rPr>
        <w:t>当</w:t>
      </w:r>
      <w:r>
        <w:rPr>
          <w:rFonts w:ascii="宋体" w:hAnsi="宋体" w:eastAsia="宋体" w:cs="Times New Roman"/>
          <w:sz w:val="24"/>
        </w:rPr>
        <w:t>乙方</w:t>
      </w:r>
      <w:r>
        <w:rPr>
          <w:rFonts w:hint="eastAsia" w:ascii="宋体" w:hAnsi="宋体" w:eastAsia="宋体" w:cs="Times New Roman"/>
          <w:sz w:val="24"/>
        </w:rPr>
        <w:t>人员在现场的人数达到</w:t>
      </w:r>
      <w:r>
        <w:rPr>
          <w:rFonts w:hint="eastAsia" w:ascii="Times New Roman" w:hAnsi="Times New Roman" w:eastAsia="宋体" w:cs="Calibri"/>
          <w:sz w:val="24"/>
        </w:rPr>
        <w:t>10人及以上时，</w:t>
      </w:r>
      <w:r>
        <w:rPr>
          <w:rFonts w:ascii="Times New Roman" w:hAnsi="Times New Roman" w:eastAsia="宋体" w:cs="Calibri"/>
          <w:sz w:val="24"/>
        </w:rPr>
        <w:t>乙方</w:t>
      </w:r>
      <w:r>
        <w:rPr>
          <w:rFonts w:hint="eastAsia" w:ascii="Times New Roman" w:hAnsi="Times New Roman" w:eastAsia="宋体" w:cs="Calibri"/>
          <w:sz w:val="24"/>
        </w:rPr>
        <w:t>应设置至少一名兼职安全员；达到30人及以上时，应</w:t>
      </w:r>
      <w:r>
        <w:rPr>
          <w:rFonts w:hint="eastAsia" w:ascii="宋体" w:hAnsi="宋体" w:eastAsia="宋体" w:cs="Times New Roman"/>
          <w:sz w:val="24"/>
        </w:rPr>
        <w:t>设置至少一名专职安全员和若干名兼职安全员。安全员应在合同规定的现场活动开始前和过程中，负责与甲方的现场管理部门联络和协调，并承担合同责任范围内的安全检查、违章纠正、事故预防、应急处置等安全环保管理工作。</w:t>
      </w:r>
    </w:p>
    <w:p w14:paraId="3D0BEE49">
      <w:pPr>
        <w:widowControl/>
        <w:spacing w:line="360" w:lineRule="auto"/>
        <w:ind w:left="480" w:hanging="480" w:hangingChars="200"/>
        <w:contextualSpacing/>
        <w:rPr>
          <w:rFonts w:ascii="宋体" w:hAnsi="宋体" w:eastAsia="宋体" w:cs="Times New Roman"/>
          <w:sz w:val="24"/>
        </w:rPr>
      </w:pPr>
      <w:r>
        <w:rPr>
          <w:rFonts w:hint="eastAsia" w:ascii="Times New Roman" w:hAnsi="Times New Roman" w:eastAsia="宋体" w:cs="Calibri"/>
          <w:sz w:val="24"/>
        </w:rPr>
        <w:t>12.10</w:t>
      </w:r>
      <w:r>
        <w:rPr>
          <w:rFonts w:hint="eastAsia" w:ascii="宋体" w:hAnsi="宋体" w:eastAsia="宋体" w:cs="Times New Roman"/>
          <w:sz w:val="24"/>
        </w:rPr>
        <w:t>甲方有权监督检查乙方人员的安全管理工作和个人安全作业行为，有权按规定实施安全文明作业违章、违规处罚；乙方应服从管理，及时纠正不安全行为。在出现重大安全环保隐患、危及人身安全、重要设备设施安全和环境安全时，甲方有权下达“停工令”或要求乙方人员立即停止相关作业，乙方人员应立即执行。</w:t>
      </w:r>
      <w:r>
        <w:rPr>
          <w:rFonts w:hint="eastAsia" w:ascii="宋体" w:hAnsi="宋体" w:eastAsia="宋体" w:cs="宋体"/>
          <w:sz w:val="24"/>
        </w:rPr>
        <w:t>若乙方员工不遵守甲方安全管理，所造成的一切损失由乙方承担。</w:t>
      </w:r>
    </w:p>
    <w:p w14:paraId="78D25141">
      <w:pPr>
        <w:widowControl/>
        <w:spacing w:line="360" w:lineRule="auto"/>
        <w:ind w:left="480" w:hanging="480" w:hangingChars="200"/>
        <w:contextualSpacing/>
        <w:rPr>
          <w:rFonts w:ascii="宋体" w:hAnsi="宋体" w:eastAsia="宋体" w:cs="Times New Roman"/>
          <w:sz w:val="24"/>
        </w:rPr>
      </w:pPr>
      <w:r>
        <w:rPr>
          <w:rFonts w:hint="eastAsia" w:ascii="Times New Roman" w:hAnsi="Times New Roman" w:eastAsia="宋体" w:cs="Calibri"/>
          <w:sz w:val="24"/>
        </w:rPr>
        <w:t>12.11</w:t>
      </w:r>
      <w:r>
        <w:rPr>
          <w:rFonts w:hint="eastAsia" w:ascii="宋体" w:hAnsi="宋体" w:eastAsia="宋体" w:cs="Times New Roman"/>
          <w:sz w:val="24"/>
        </w:rPr>
        <w:t>严禁</w:t>
      </w:r>
      <w:r>
        <w:rPr>
          <w:rFonts w:ascii="宋体" w:hAnsi="宋体" w:eastAsia="宋体" w:cs="Times New Roman"/>
          <w:sz w:val="24"/>
        </w:rPr>
        <w:t>乙方</w:t>
      </w:r>
      <w:r>
        <w:rPr>
          <w:rFonts w:hint="eastAsia" w:ascii="宋体" w:hAnsi="宋体" w:eastAsia="宋体" w:cs="Times New Roman"/>
          <w:sz w:val="24"/>
        </w:rPr>
        <w:t>人员以不安全的方式工作或出现任何形式的违章指挥、冒险作业和违反</w:t>
      </w:r>
      <w:r>
        <w:rPr>
          <w:rFonts w:hint="eastAsia" w:ascii="Times New Roman" w:hAnsi="Times New Roman" w:eastAsia="宋体" w:cs="Calibri"/>
          <w:sz w:val="24"/>
        </w:rPr>
        <w:t>操作规程</w:t>
      </w:r>
      <w:r>
        <w:rPr>
          <w:rFonts w:hint="eastAsia" w:ascii="宋体" w:hAnsi="宋体" w:eastAsia="宋体" w:cs="Times New Roman"/>
          <w:sz w:val="24"/>
        </w:rPr>
        <w:t>的行为，由于</w:t>
      </w:r>
      <w:r>
        <w:rPr>
          <w:rFonts w:ascii="宋体" w:hAnsi="宋体" w:eastAsia="宋体" w:cs="Times New Roman"/>
          <w:sz w:val="24"/>
        </w:rPr>
        <w:t>乙方</w:t>
      </w:r>
      <w:r>
        <w:rPr>
          <w:rFonts w:hint="eastAsia" w:ascii="宋体" w:hAnsi="宋体" w:eastAsia="宋体" w:cs="Times New Roman"/>
          <w:sz w:val="24"/>
        </w:rPr>
        <w:t>的安全管理不到位或其提供的产品质量、技术等原因导致甲方和/或第三方人员遭受人身伤害和经济损失的，</w:t>
      </w:r>
      <w:r>
        <w:rPr>
          <w:rFonts w:ascii="宋体" w:hAnsi="宋体" w:eastAsia="宋体" w:cs="Times New Roman"/>
          <w:sz w:val="24"/>
        </w:rPr>
        <w:t>乙方</w:t>
      </w:r>
      <w:r>
        <w:rPr>
          <w:rFonts w:hint="eastAsia" w:ascii="宋体" w:hAnsi="宋体" w:eastAsia="宋体" w:cs="Times New Roman"/>
          <w:sz w:val="24"/>
        </w:rPr>
        <w:t>承担全部的法律责任。</w:t>
      </w:r>
    </w:p>
    <w:p w14:paraId="4127CDAC">
      <w:pPr>
        <w:widowControl/>
        <w:spacing w:line="360" w:lineRule="auto"/>
        <w:ind w:left="480" w:hanging="480" w:hangingChars="200"/>
        <w:contextualSpacing/>
        <w:rPr>
          <w:rFonts w:ascii="宋体" w:hAnsi="宋体" w:eastAsia="宋体" w:cs="Times New Roman"/>
          <w:sz w:val="24"/>
        </w:rPr>
      </w:pPr>
      <w:r>
        <w:rPr>
          <w:rFonts w:hint="eastAsia" w:ascii="Times New Roman" w:hAnsi="Times New Roman" w:eastAsia="宋体" w:cs="Calibri"/>
          <w:sz w:val="24"/>
        </w:rPr>
        <w:t>12.12</w:t>
      </w:r>
      <w:r>
        <w:rPr>
          <w:rFonts w:hint="eastAsia" w:ascii="宋体" w:hAnsi="宋体" w:eastAsia="宋体" w:cs="Times New Roman"/>
          <w:sz w:val="24"/>
        </w:rPr>
        <w:t>乙方承担其工作人员在甲方现场的医疗保健及工伤、死亡所引起的一切费用和责任，提供工作人员在甲方现场工作的各种相关保险、安全保障，负责处理其工作人员各种原因的伤亡事故及善后事宜。</w:t>
      </w:r>
    </w:p>
    <w:p w14:paraId="554A6D0B">
      <w:pPr>
        <w:tabs>
          <w:tab w:val="left" w:pos="502"/>
          <w:tab w:val="left" w:pos="709"/>
          <w:tab w:val="left" w:pos="851"/>
        </w:tabs>
        <w:spacing w:line="360" w:lineRule="auto"/>
        <w:ind w:left="480" w:hanging="480" w:hangingChars="200"/>
        <w:jc w:val="left"/>
        <w:rPr>
          <w:rFonts w:ascii="宋体" w:hAnsi="宋体" w:eastAsia="宋体" w:cs="Times New Roman"/>
          <w:sz w:val="24"/>
        </w:rPr>
      </w:pPr>
      <w:r>
        <w:rPr>
          <w:rFonts w:hint="eastAsia" w:ascii="Times New Roman" w:hAnsi="Times New Roman" w:eastAsia="宋体" w:cs="Calibri"/>
          <w:sz w:val="24"/>
        </w:rPr>
        <w:t>12.13</w:t>
      </w:r>
      <w:r>
        <w:rPr>
          <w:rFonts w:hint="eastAsia" w:ascii="宋体" w:hAnsi="宋体" w:eastAsia="宋体" w:cs="宋体"/>
          <w:sz w:val="24"/>
        </w:rPr>
        <w:t>甲方有权对因乙方及其工作人员原因造成的事故进行调查和索赔，影响到甲方的声誉或利益，甲方有权单方面终止合同。</w:t>
      </w:r>
    </w:p>
    <w:p w14:paraId="51401BC2">
      <w:pPr>
        <w:spacing w:line="360" w:lineRule="auto"/>
        <w:ind w:firstLine="480" w:firstLineChars="200"/>
        <w:rPr>
          <w:rFonts w:ascii="宋体" w:hAnsi="宋体" w:eastAsia="宋体" w:cs="Times New Roman"/>
          <w:sz w:val="24"/>
        </w:rPr>
      </w:pPr>
    </w:p>
    <w:p w14:paraId="21AB11AE">
      <w:pPr>
        <w:keepNext/>
        <w:keepLines/>
        <w:tabs>
          <w:tab w:val="left" w:pos="465"/>
        </w:tabs>
        <w:spacing w:line="360" w:lineRule="auto"/>
        <w:jc w:val="left"/>
        <w:outlineLvl w:val="1"/>
        <w:rPr>
          <w:rFonts w:ascii="黑体" w:hAnsi="黑体" w:eastAsia="黑体" w:cs="Times New Roman"/>
          <w:b/>
          <w:bCs/>
          <w:sz w:val="24"/>
        </w:rPr>
      </w:pPr>
      <w:bookmarkStart w:id="49" w:name="_Toc15317506"/>
      <w:r>
        <w:rPr>
          <w:rFonts w:hint="eastAsia" w:ascii="黑体" w:hAnsi="黑体" w:eastAsia="黑体" w:cs="Times New Roman"/>
          <w:b/>
          <w:bCs/>
          <w:sz w:val="24"/>
        </w:rPr>
        <w:t>13.知识产权</w:t>
      </w:r>
      <w:bookmarkEnd w:id="49"/>
    </w:p>
    <w:p w14:paraId="5870E676">
      <w:pPr>
        <w:widowControl/>
        <w:spacing w:line="360" w:lineRule="auto"/>
        <w:ind w:left="480" w:hanging="480" w:hangingChars="200"/>
        <w:contextualSpacing/>
        <w:rPr>
          <w:rFonts w:ascii="宋体" w:hAnsi="宋体" w:eastAsia="宋体" w:cs="宋体"/>
          <w:sz w:val="24"/>
        </w:rPr>
      </w:pPr>
      <w:r>
        <w:rPr>
          <w:rFonts w:hint="eastAsia" w:ascii="Times New Roman" w:hAnsi="Times New Roman" w:eastAsia="宋体" w:cs="Calibri"/>
          <w:sz w:val="24"/>
        </w:rPr>
        <w:t>13.1</w:t>
      </w:r>
      <w:r>
        <w:rPr>
          <w:rFonts w:hint="eastAsia" w:ascii="宋体" w:hAnsi="宋体" w:eastAsia="宋体" w:cs="宋体"/>
          <w:sz w:val="24"/>
        </w:rPr>
        <w:t>乙方保证具有向甲方提供符合合同约定的技术服务的权利和许可。乙方</w:t>
      </w:r>
      <w:r>
        <w:rPr>
          <w:rFonts w:ascii="宋体" w:hAnsi="宋体" w:eastAsia="宋体" w:cs="宋体"/>
          <w:sz w:val="24"/>
        </w:rPr>
        <w:t>在</w:t>
      </w:r>
      <w:r>
        <w:rPr>
          <w:rFonts w:hint="eastAsia" w:ascii="宋体" w:hAnsi="宋体" w:eastAsia="宋体" w:cs="宋体"/>
          <w:sz w:val="24"/>
        </w:rPr>
        <w:t>完成合同</w:t>
      </w:r>
      <w:r>
        <w:rPr>
          <w:rFonts w:ascii="宋体" w:hAnsi="宋体" w:eastAsia="宋体" w:cs="宋体"/>
          <w:sz w:val="24"/>
        </w:rPr>
        <w:t>过程中所使用的第三方的专利、专有技术、技术秘密</w:t>
      </w:r>
      <w:r>
        <w:rPr>
          <w:rFonts w:hint="eastAsia" w:ascii="宋体" w:hAnsi="宋体" w:eastAsia="宋体" w:cs="宋体"/>
          <w:sz w:val="24"/>
        </w:rPr>
        <w:t>等</w:t>
      </w:r>
      <w:r>
        <w:rPr>
          <w:rFonts w:ascii="宋体" w:hAnsi="宋体" w:eastAsia="宋体" w:cs="宋体"/>
          <w:sz w:val="24"/>
        </w:rPr>
        <w:t>的使用费（若有）由乙方承担</w:t>
      </w:r>
      <w:r>
        <w:rPr>
          <w:rFonts w:hint="eastAsia" w:ascii="宋体" w:hAnsi="宋体" w:eastAsia="宋体" w:cs="宋体"/>
          <w:sz w:val="24"/>
        </w:rPr>
        <w:t>。</w:t>
      </w:r>
    </w:p>
    <w:p w14:paraId="2F2D1B29">
      <w:pPr>
        <w:widowControl/>
        <w:spacing w:line="360" w:lineRule="auto"/>
        <w:ind w:left="480" w:hanging="480" w:hangingChars="200"/>
        <w:contextualSpacing/>
        <w:rPr>
          <w:rFonts w:ascii="宋体" w:hAnsi="宋体" w:eastAsia="宋体" w:cs="宋体"/>
          <w:sz w:val="24"/>
        </w:rPr>
      </w:pPr>
      <w:r>
        <w:rPr>
          <w:rFonts w:hint="eastAsia" w:ascii="Times New Roman" w:hAnsi="Times New Roman" w:eastAsia="宋体" w:cs="Calibri"/>
          <w:sz w:val="24"/>
        </w:rPr>
        <w:t>13.2</w:t>
      </w:r>
      <w:r>
        <w:rPr>
          <w:rFonts w:hint="eastAsia" w:ascii="宋体" w:hAnsi="宋体" w:eastAsia="宋体" w:cs="宋体"/>
          <w:sz w:val="24"/>
        </w:rPr>
        <w:t>乙方保证甲方依据本合同使用技术服务时免于受到任何知识产权侵权的主张、索赔或诉讼的伤害。</w:t>
      </w:r>
    </w:p>
    <w:p w14:paraId="07C6CCE5">
      <w:pPr>
        <w:widowControl/>
        <w:spacing w:line="360" w:lineRule="auto"/>
        <w:ind w:left="480" w:hanging="480" w:hangingChars="200"/>
        <w:contextualSpacing/>
        <w:rPr>
          <w:rFonts w:ascii="宋体" w:hAnsi="宋体" w:eastAsia="宋体" w:cs="宋体"/>
          <w:sz w:val="24"/>
        </w:rPr>
      </w:pPr>
      <w:r>
        <w:rPr>
          <w:rFonts w:hint="eastAsia" w:ascii="Times New Roman" w:hAnsi="Times New Roman" w:eastAsia="宋体" w:cs="Calibri"/>
          <w:sz w:val="24"/>
        </w:rPr>
        <w:t>13.3</w:t>
      </w:r>
      <w:r>
        <w:rPr>
          <w:rFonts w:hint="eastAsia" w:ascii="宋体" w:hAnsi="宋体" w:eastAsia="宋体" w:cs="宋体"/>
          <w:sz w:val="24"/>
        </w:rPr>
        <w:t>如果甲方收到任何第三方有关知识产权的主张、索赔或诉讼，乙方在收到甲方通知后，应以甲方名义处理与第三方的主张、索赔或诉讼,并承担因此产生的费用以及给甲方造成的损失（包括但不限于诉讼费、赔偿金、律师费等）。</w:t>
      </w:r>
    </w:p>
    <w:p w14:paraId="650F29DF">
      <w:pPr>
        <w:widowControl/>
        <w:spacing w:line="360" w:lineRule="auto"/>
        <w:ind w:left="480" w:hanging="480" w:hangingChars="200"/>
        <w:contextualSpacing/>
        <w:rPr>
          <w:rFonts w:ascii="宋体" w:hAnsi="宋体" w:eastAsia="宋体" w:cs="宋体"/>
          <w:sz w:val="24"/>
        </w:rPr>
      </w:pPr>
      <w:r>
        <w:rPr>
          <w:rFonts w:hint="eastAsia" w:ascii="Times New Roman" w:hAnsi="Times New Roman" w:eastAsia="宋体" w:cs="Calibri"/>
          <w:sz w:val="24"/>
        </w:rPr>
        <w:t>13.4</w:t>
      </w:r>
      <w:r>
        <w:rPr>
          <w:rFonts w:hint="eastAsia" w:ascii="宋体" w:hAnsi="宋体" w:eastAsia="宋体" w:cs="宋体"/>
          <w:sz w:val="24"/>
        </w:rPr>
        <w:t>甲方因乙方交付的技术服务而受到知识产权侵权指控时，可暂停支付所有应付费用，直到</w:t>
      </w:r>
      <w:r>
        <w:rPr>
          <w:rFonts w:hint="eastAsia" w:ascii="Times New Roman" w:hAnsi="Times New Roman" w:eastAsia="宋体" w:cs="Calibri"/>
          <w:sz w:val="24"/>
        </w:rPr>
        <w:t>侵权</w:t>
      </w:r>
      <w:r>
        <w:rPr>
          <w:rFonts w:hint="eastAsia" w:ascii="宋体" w:hAnsi="宋体" w:eastAsia="宋体" w:cs="宋体"/>
          <w:sz w:val="24"/>
        </w:rPr>
        <w:t>指控撤销且甲方认为无潜在纠纷之日为止。</w:t>
      </w:r>
    </w:p>
    <w:p w14:paraId="3623EE7D">
      <w:pPr>
        <w:widowControl/>
        <w:spacing w:line="360" w:lineRule="auto"/>
        <w:ind w:left="480" w:hanging="480" w:hangingChars="200"/>
        <w:contextualSpacing/>
        <w:rPr>
          <w:rFonts w:ascii="宋体" w:hAnsi="宋体" w:eastAsia="宋体" w:cs="宋体"/>
          <w:sz w:val="24"/>
        </w:rPr>
      </w:pPr>
      <w:r>
        <w:rPr>
          <w:rFonts w:hint="eastAsia" w:ascii="Times New Roman" w:hAnsi="Times New Roman" w:eastAsia="宋体" w:cs="Calibri"/>
          <w:sz w:val="24"/>
        </w:rPr>
        <w:t>13.5</w:t>
      </w:r>
      <w:r>
        <w:rPr>
          <w:rFonts w:hint="eastAsia" w:ascii="宋体" w:hAnsi="宋体" w:eastAsia="宋体" w:cs="宋体"/>
          <w:sz w:val="24"/>
        </w:rPr>
        <w:t>如果第三方的前述索赔或诉讼获得成功，乙方应负责从第三方取得相应知识产权的许可并承担相应的费用，以保证本合同的履行以及甲方无争议的使用相关产品、文件、服务和设计。如乙方未能取得前述知识产权的许可，则视为乙方违约，并应承担违约责任。若因此导致合同目的无法实现的，甲方可解除本合同，要求乙方返还所有本合同项下已支付给乙方的全部款项，不再支付剩余</w:t>
      </w:r>
      <w:r>
        <w:rPr>
          <w:rFonts w:hint="eastAsia" w:ascii="Times New Roman" w:hAnsi="Times New Roman" w:eastAsia="宋体" w:cs="Calibri"/>
          <w:sz w:val="24"/>
        </w:rPr>
        <w:t>合同</w:t>
      </w:r>
      <w:r>
        <w:rPr>
          <w:rFonts w:hint="eastAsia" w:ascii="宋体" w:hAnsi="宋体" w:eastAsia="宋体" w:cs="宋体"/>
          <w:sz w:val="24"/>
        </w:rPr>
        <w:t>款，并有权要求乙方承担违约责任；给甲方造成其他损失的，还应赔偿。</w:t>
      </w:r>
    </w:p>
    <w:p w14:paraId="4C424122">
      <w:pPr>
        <w:widowControl/>
        <w:spacing w:line="360" w:lineRule="auto"/>
        <w:ind w:left="480" w:hanging="480" w:hangingChars="200"/>
        <w:contextualSpacing/>
        <w:rPr>
          <w:rFonts w:ascii="宋体" w:hAnsi="宋体" w:eastAsia="宋体" w:cs="宋体"/>
          <w:sz w:val="24"/>
        </w:rPr>
      </w:pPr>
      <w:r>
        <w:rPr>
          <w:rFonts w:hint="eastAsia" w:ascii="Times New Roman" w:hAnsi="Times New Roman" w:eastAsia="宋体" w:cs="Calibri"/>
          <w:sz w:val="24"/>
        </w:rPr>
        <w:t>13.6</w:t>
      </w:r>
      <w:r>
        <w:rPr>
          <w:rFonts w:hint="eastAsia" w:ascii="宋体" w:hAnsi="宋体" w:eastAsia="宋体" w:cs="宋体"/>
          <w:sz w:val="24"/>
        </w:rPr>
        <w:t>甲方为履行本合同而提供并使用的或向乙方提供的所有文件、资料、信息、技术的知识产权仍属甲方。</w:t>
      </w:r>
    </w:p>
    <w:p w14:paraId="42C37DE9">
      <w:pPr>
        <w:widowControl/>
        <w:spacing w:line="360" w:lineRule="auto"/>
        <w:ind w:left="480" w:hanging="480" w:hangingChars="200"/>
        <w:contextualSpacing/>
        <w:rPr>
          <w:rFonts w:ascii="宋体" w:hAnsi="宋体" w:eastAsia="宋体" w:cs="宋体"/>
          <w:sz w:val="24"/>
        </w:rPr>
      </w:pPr>
      <w:r>
        <w:rPr>
          <w:rFonts w:hint="eastAsia" w:ascii="Times New Roman" w:hAnsi="Times New Roman" w:eastAsia="宋体" w:cs="Calibri"/>
          <w:sz w:val="24"/>
        </w:rPr>
        <w:t>13.7</w:t>
      </w:r>
      <w:r>
        <w:rPr>
          <w:rFonts w:hint="eastAsia" w:ascii="宋体" w:hAnsi="宋体" w:eastAsia="宋体" w:cs="宋体"/>
          <w:sz w:val="24"/>
        </w:rPr>
        <w:t>乙方为履行本合同所</w:t>
      </w:r>
      <w:r>
        <w:rPr>
          <w:rFonts w:hint="eastAsia" w:ascii="Times New Roman" w:hAnsi="Times New Roman" w:eastAsia="宋体" w:cs="Calibri"/>
          <w:sz w:val="24"/>
        </w:rPr>
        <w:t>形成</w:t>
      </w:r>
      <w:r>
        <w:rPr>
          <w:rFonts w:hint="eastAsia" w:ascii="宋体" w:hAnsi="宋体" w:eastAsia="宋体" w:cs="宋体"/>
          <w:sz w:val="24"/>
        </w:rPr>
        <w:t>的智力成果的知识产权归属在专用合同条款中约定。</w:t>
      </w:r>
    </w:p>
    <w:p w14:paraId="5481DC1B">
      <w:pPr>
        <w:widowControl/>
        <w:spacing w:line="360" w:lineRule="auto"/>
        <w:ind w:left="480" w:hanging="480" w:hangingChars="200"/>
        <w:contextualSpacing/>
        <w:rPr>
          <w:rFonts w:ascii="宋体" w:hAnsi="宋体" w:eastAsia="宋体" w:cs="宋体"/>
          <w:sz w:val="24"/>
        </w:rPr>
      </w:pPr>
      <w:r>
        <w:rPr>
          <w:rFonts w:hint="eastAsia" w:ascii="Times New Roman" w:hAnsi="Times New Roman" w:eastAsia="宋体" w:cs="Calibri"/>
          <w:sz w:val="24"/>
        </w:rPr>
        <w:t>13.8</w:t>
      </w:r>
      <w:r>
        <w:rPr>
          <w:rFonts w:hint="eastAsia" w:ascii="宋体" w:hAnsi="宋体" w:eastAsia="宋体" w:cs="宋体"/>
          <w:sz w:val="24"/>
        </w:rPr>
        <w:t>甲方有权对本合同所形成的智力成果进行进一步的开发，该开发活动所形成的智力成果的知识产权归甲方所有。</w:t>
      </w:r>
    </w:p>
    <w:p w14:paraId="33CA89CC">
      <w:pPr>
        <w:spacing w:line="360" w:lineRule="auto"/>
        <w:ind w:firstLine="480" w:firstLineChars="200"/>
        <w:rPr>
          <w:rFonts w:ascii="宋体" w:hAnsi="宋体" w:eastAsia="宋体" w:cs="宋体"/>
          <w:sz w:val="24"/>
        </w:rPr>
      </w:pPr>
    </w:p>
    <w:p w14:paraId="27FAA538">
      <w:pPr>
        <w:keepNext/>
        <w:keepLines/>
        <w:tabs>
          <w:tab w:val="left" w:pos="465"/>
        </w:tabs>
        <w:spacing w:line="360" w:lineRule="auto"/>
        <w:jc w:val="left"/>
        <w:outlineLvl w:val="1"/>
        <w:rPr>
          <w:rFonts w:ascii="黑体" w:hAnsi="黑体" w:eastAsia="黑体" w:cs="Times New Roman"/>
          <w:b/>
          <w:bCs/>
          <w:sz w:val="24"/>
        </w:rPr>
      </w:pPr>
      <w:bookmarkStart w:id="50" w:name="_Toc15317507"/>
      <w:r>
        <w:rPr>
          <w:rFonts w:hint="eastAsia" w:ascii="黑体" w:hAnsi="黑体" w:eastAsia="黑体" w:cs="Times New Roman"/>
          <w:b/>
          <w:bCs/>
          <w:sz w:val="24"/>
        </w:rPr>
        <w:t>14.违约责任</w:t>
      </w:r>
      <w:bookmarkEnd w:id="50"/>
    </w:p>
    <w:p w14:paraId="07F136FE">
      <w:pPr>
        <w:widowControl/>
        <w:spacing w:line="360" w:lineRule="auto"/>
        <w:ind w:left="480" w:hanging="480" w:hangingChars="200"/>
        <w:contextualSpacing/>
        <w:rPr>
          <w:rFonts w:ascii="宋体" w:hAnsi="宋体" w:eastAsia="宋体" w:cs="宋体"/>
          <w:sz w:val="24"/>
        </w:rPr>
      </w:pPr>
      <w:r>
        <w:rPr>
          <w:rFonts w:hint="eastAsia" w:ascii="Times New Roman" w:hAnsi="Times New Roman" w:eastAsia="宋体" w:cs="Calibri"/>
          <w:sz w:val="24"/>
        </w:rPr>
        <w:t>14.1</w:t>
      </w:r>
      <w:r>
        <w:rPr>
          <w:rFonts w:ascii="宋体" w:hAnsi="宋体" w:eastAsia="宋体" w:cs="宋体"/>
          <w:sz w:val="24"/>
        </w:rPr>
        <w:t>在合同履行过程中发生的下列情形，属于甲方违约：</w:t>
      </w:r>
    </w:p>
    <w:p w14:paraId="4A092BE6">
      <w:pPr>
        <w:spacing w:line="360" w:lineRule="auto"/>
        <w:ind w:firstLine="480" w:firstLineChars="200"/>
        <w:rPr>
          <w:rFonts w:ascii="Times New Roman" w:hAnsi="宋体" w:eastAsia="宋体" w:cs="Times New Roman"/>
          <w:sz w:val="24"/>
        </w:rPr>
      </w:pPr>
      <w:r>
        <w:rPr>
          <w:rFonts w:hint="eastAsia" w:ascii="Times New Roman" w:hAnsi="宋体" w:eastAsia="宋体" w:cs="Times New Roman"/>
          <w:sz w:val="24"/>
        </w:rPr>
        <w:t>（1）因甲方原因未能按合同约定支付合同价款的；</w:t>
      </w:r>
    </w:p>
    <w:p w14:paraId="60485520">
      <w:pPr>
        <w:spacing w:line="360" w:lineRule="auto"/>
        <w:ind w:firstLine="480" w:firstLineChars="200"/>
        <w:rPr>
          <w:rFonts w:ascii="Times New Roman" w:hAnsi="宋体" w:eastAsia="宋体" w:cs="Times New Roman"/>
          <w:sz w:val="24"/>
        </w:rPr>
      </w:pPr>
      <w:r>
        <w:rPr>
          <w:rFonts w:hint="eastAsia" w:ascii="Times New Roman" w:hAnsi="宋体" w:eastAsia="宋体" w:cs="Times New Roman"/>
          <w:sz w:val="24"/>
        </w:rPr>
        <w:t>（2）甲方提供的材料、文件、设备的规格、数量或质量不符合合同约定，或因甲方其他原因导致履行合同延误等情况的；</w:t>
      </w:r>
    </w:p>
    <w:p w14:paraId="1F88AC2C">
      <w:pPr>
        <w:spacing w:line="360" w:lineRule="auto"/>
        <w:ind w:firstLine="480" w:firstLineChars="200"/>
        <w:rPr>
          <w:rFonts w:ascii="Times New Roman" w:hAnsi="宋体" w:eastAsia="宋体" w:cs="Times New Roman"/>
          <w:sz w:val="24"/>
        </w:rPr>
      </w:pPr>
      <w:r>
        <w:rPr>
          <w:rFonts w:hint="eastAsia" w:ascii="Times New Roman" w:hAnsi="宋体" w:eastAsia="宋体" w:cs="Times New Roman"/>
          <w:sz w:val="24"/>
        </w:rPr>
        <w:t>（3）因甲方违反合同约定造成暂停技术服务的；</w:t>
      </w:r>
    </w:p>
    <w:p w14:paraId="52EDC3C3">
      <w:pPr>
        <w:spacing w:line="360" w:lineRule="auto"/>
        <w:ind w:firstLine="480" w:firstLineChars="200"/>
        <w:rPr>
          <w:rFonts w:ascii="Times New Roman" w:hAnsi="宋体" w:eastAsia="宋体" w:cs="Times New Roman"/>
          <w:sz w:val="24"/>
        </w:rPr>
      </w:pPr>
      <w:r>
        <w:rPr>
          <w:rFonts w:hint="eastAsia" w:ascii="Times New Roman" w:hAnsi="宋体" w:eastAsia="宋体" w:cs="Times New Roman"/>
          <w:sz w:val="24"/>
        </w:rPr>
        <w:t>（4）甲方明确表示或者以其行为表明不履行合同主要义务的；</w:t>
      </w:r>
    </w:p>
    <w:p w14:paraId="23D6BEA8">
      <w:pPr>
        <w:spacing w:line="360" w:lineRule="auto"/>
        <w:ind w:firstLine="480" w:firstLineChars="200"/>
        <w:rPr>
          <w:rFonts w:ascii="Times New Roman" w:hAnsi="宋体" w:eastAsia="宋体" w:cs="Times New Roman"/>
          <w:sz w:val="24"/>
        </w:rPr>
      </w:pPr>
      <w:r>
        <w:rPr>
          <w:rFonts w:hint="eastAsia" w:ascii="Times New Roman" w:hAnsi="宋体" w:eastAsia="宋体" w:cs="Times New Roman"/>
          <w:sz w:val="24"/>
        </w:rPr>
        <w:t>（5）甲方未能按照合同约定履行其他义务的。</w:t>
      </w:r>
    </w:p>
    <w:p w14:paraId="1A10AA08">
      <w:pPr>
        <w:spacing w:line="360" w:lineRule="auto"/>
        <w:ind w:firstLine="480" w:firstLineChars="200"/>
        <w:rPr>
          <w:rFonts w:ascii="Times New Roman" w:hAnsi="Times New Roman" w:eastAsia="宋体" w:cs="Calibri"/>
          <w:sz w:val="24"/>
        </w:rPr>
      </w:pPr>
      <w:r>
        <w:rPr>
          <w:rFonts w:ascii="Times New Roman" w:hAnsi="宋体" w:eastAsia="宋体" w:cs="Times New Roman"/>
          <w:sz w:val="24"/>
        </w:rPr>
        <w:t>甲方发生除本项第</w:t>
      </w:r>
      <w:r>
        <w:rPr>
          <w:rFonts w:ascii="Times New Roman" w:hAnsi="Times New Roman" w:eastAsia="宋体" w:cs="Calibri"/>
          <w:sz w:val="24"/>
        </w:rPr>
        <w:t>（4）以外的违约情况时，乙方可向甲方发出通知，要求甲方采取有效措施纠正违约行为。甲方收到乙方通知后15天内仍不纠正违约行为的，乙方有权暂停相应部分的技术服务。</w:t>
      </w:r>
    </w:p>
    <w:p w14:paraId="19A124F7">
      <w:pPr>
        <w:widowControl/>
        <w:spacing w:line="360" w:lineRule="auto"/>
        <w:ind w:left="480" w:hanging="480" w:hangingChars="200"/>
        <w:contextualSpacing/>
        <w:rPr>
          <w:rFonts w:ascii="宋体" w:hAnsi="宋体" w:eastAsia="宋体" w:cs="宋体"/>
          <w:sz w:val="24"/>
        </w:rPr>
      </w:pPr>
      <w:r>
        <w:rPr>
          <w:rFonts w:hint="eastAsia" w:ascii="Times New Roman" w:hAnsi="Times New Roman" w:eastAsia="宋体" w:cs="Calibri"/>
          <w:sz w:val="24"/>
        </w:rPr>
        <w:t>14.2</w:t>
      </w:r>
      <w:r>
        <w:rPr>
          <w:rFonts w:ascii="宋体" w:hAnsi="宋体" w:eastAsia="宋体" w:cs="Times New Roman"/>
          <w:sz w:val="24"/>
        </w:rPr>
        <w:t>甲方</w:t>
      </w:r>
      <w:r>
        <w:rPr>
          <w:rFonts w:ascii="Times New Roman" w:hAnsi="Times New Roman" w:eastAsia="宋体" w:cs="Calibri"/>
          <w:sz w:val="24"/>
        </w:rPr>
        <w:t>违约</w:t>
      </w:r>
      <w:r>
        <w:rPr>
          <w:rFonts w:ascii="宋体" w:hAnsi="宋体" w:eastAsia="宋体" w:cs="Times New Roman"/>
          <w:sz w:val="24"/>
        </w:rPr>
        <w:t>责任</w:t>
      </w:r>
    </w:p>
    <w:p w14:paraId="175F0140">
      <w:pPr>
        <w:spacing w:line="360" w:lineRule="auto"/>
        <w:ind w:firstLine="480" w:firstLineChars="200"/>
        <w:rPr>
          <w:rFonts w:ascii="Times New Roman" w:hAnsi="宋体" w:eastAsia="宋体" w:cs="Times New Roman"/>
          <w:sz w:val="24"/>
        </w:rPr>
      </w:pPr>
      <w:r>
        <w:rPr>
          <w:rFonts w:hint="eastAsia" w:ascii="Times New Roman" w:hAnsi="宋体" w:eastAsia="宋体" w:cs="Times New Roman"/>
          <w:sz w:val="24"/>
        </w:rPr>
        <w:t>甲方应承担因其违约给乙方增加的费用和（或）延误的工期（延误工期的，工期顺延）。</w:t>
      </w:r>
    </w:p>
    <w:p w14:paraId="74CEC827">
      <w:pPr>
        <w:widowControl/>
        <w:spacing w:line="360" w:lineRule="auto"/>
        <w:ind w:left="480" w:hanging="480" w:hangingChars="200"/>
        <w:contextualSpacing/>
        <w:rPr>
          <w:rFonts w:ascii="宋体" w:hAnsi="宋体" w:eastAsia="宋体" w:cs="Times New Roman"/>
          <w:sz w:val="24"/>
        </w:rPr>
      </w:pPr>
      <w:r>
        <w:rPr>
          <w:rFonts w:hint="eastAsia" w:ascii="Times New Roman" w:hAnsi="Times New Roman" w:eastAsia="宋体" w:cs="Calibri"/>
          <w:sz w:val="24"/>
        </w:rPr>
        <w:t>14.3</w:t>
      </w:r>
      <w:r>
        <w:rPr>
          <w:rFonts w:ascii="宋体" w:hAnsi="宋体" w:eastAsia="宋体" w:cs="Times New Roman"/>
          <w:sz w:val="24"/>
        </w:rPr>
        <w:t>在合同履行过程中发生的下列情形，属于乙方违约：</w:t>
      </w:r>
    </w:p>
    <w:p w14:paraId="39B8631A">
      <w:pPr>
        <w:spacing w:line="360" w:lineRule="auto"/>
        <w:ind w:firstLine="480" w:firstLineChars="200"/>
        <w:rPr>
          <w:rFonts w:ascii="Times New Roman" w:hAnsi="宋体" w:eastAsia="宋体" w:cs="Times New Roman"/>
          <w:sz w:val="24"/>
        </w:rPr>
      </w:pPr>
      <w:r>
        <w:rPr>
          <w:rFonts w:hint="eastAsia" w:ascii="Times New Roman" w:hAnsi="宋体" w:eastAsia="宋体" w:cs="Times New Roman"/>
          <w:sz w:val="24"/>
        </w:rPr>
        <w:t>（1）违反合同约定进行转包或分包的；</w:t>
      </w:r>
    </w:p>
    <w:p w14:paraId="08D5BAA7">
      <w:pPr>
        <w:spacing w:line="360" w:lineRule="auto"/>
        <w:ind w:firstLine="480" w:firstLineChars="200"/>
        <w:rPr>
          <w:rFonts w:ascii="Times New Roman" w:hAnsi="宋体" w:eastAsia="宋体" w:cs="Times New Roman"/>
          <w:sz w:val="24"/>
        </w:rPr>
      </w:pPr>
      <w:r>
        <w:rPr>
          <w:rFonts w:hint="eastAsia" w:ascii="Times New Roman" w:hAnsi="宋体" w:eastAsia="宋体" w:cs="Times New Roman"/>
          <w:sz w:val="24"/>
        </w:rPr>
        <w:t>（2）违反合同约定采购和使用不合格的材料和设备的；</w:t>
      </w:r>
    </w:p>
    <w:p w14:paraId="5D702135">
      <w:pPr>
        <w:spacing w:line="360" w:lineRule="auto"/>
        <w:ind w:firstLine="480" w:firstLineChars="200"/>
        <w:rPr>
          <w:rFonts w:ascii="Times New Roman" w:hAnsi="宋体" w:eastAsia="宋体" w:cs="Times New Roman"/>
          <w:sz w:val="24"/>
        </w:rPr>
      </w:pPr>
      <w:r>
        <w:rPr>
          <w:rFonts w:hint="eastAsia" w:ascii="Times New Roman" w:hAnsi="宋体" w:eastAsia="宋体" w:cs="Times New Roman"/>
          <w:sz w:val="24"/>
        </w:rPr>
        <w:t xml:space="preserve">（3）因乙方原因导致技术服务质量不符合合同要求的； </w:t>
      </w:r>
    </w:p>
    <w:p w14:paraId="6735F078">
      <w:pPr>
        <w:spacing w:line="360" w:lineRule="auto"/>
        <w:ind w:firstLine="480" w:firstLineChars="200"/>
        <w:rPr>
          <w:rFonts w:ascii="Times New Roman" w:hAnsi="宋体" w:eastAsia="宋体" w:cs="Times New Roman"/>
          <w:sz w:val="24"/>
        </w:rPr>
      </w:pPr>
      <w:r>
        <w:rPr>
          <w:rFonts w:hint="eastAsia" w:ascii="Times New Roman" w:hAnsi="宋体" w:eastAsia="宋体" w:cs="Times New Roman"/>
          <w:sz w:val="24"/>
        </w:rPr>
        <w:t>（4）未能按合同约定进度计划及时完成合同任务，造成工期延误的；</w:t>
      </w:r>
    </w:p>
    <w:p w14:paraId="7021F4A8">
      <w:pPr>
        <w:spacing w:line="360" w:lineRule="auto"/>
        <w:ind w:firstLine="480" w:firstLineChars="200"/>
        <w:rPr>
          <w:rFonts w:ascii="Times New Roman" w:hAnsi="宋体" w:eastAsia="宋体" w:cs="Times New Roman"/>
          <w:sz w:val="24"/>
        </w:rPr>
      </w:pPr>
      <w:r>
        <w:rPr>
          <w:rFonts w:hint="eastAsia" w:ascii="Times New Roman" w:hAnsi="宋体" w:eastAsia="宋体" w:cs="Times New Roman"/>
          <w:sz w:val="24"/>
        </w:rPr>
        <w:t>（5）乙方在质保期内，未能在甲方要求期限内对技术缺陷、故障进行修复，或拒绝按甲方要求进行修复的；</w:t>
      </w:r>
    </w:p>
    <w:p w14:paraId="058DB04E">
      <w:pPr>
        <w:spacing w:line="360" w:lineRule="auto"/>
        <w:ind w:firstLine="480" w:firstLineChars="200"/>
        <w:rPr>
          <w:rFonts w:ascii="Times New Roman" w:hAnsi="宋体" w:eastAsia="宋体" w:cs="Times New Roman"/>
          <w:sz w:val="24"/>
        </w:rPr>
      </w:pPr>
      <w:r>
        <w:rPr>
          <w:rFonts w:hint="eastAsia" w:ascii="Times New Roman" w:hAnsi="宋体" w:eastAsia="宋体" w:cs="Times New Roman"/>
          <w:sz w:val="24"/>
        </w:rPr>
        <w:t>（6）乙方明确表示或者以其行为表明不履行合同主要义务的；</w:t>
      </w:r>
    </w:p>
    <w:p w14:paraId="2C159752">
      <w:pPr>
        <w:spacing w:line="360" w:lineRule="auto"/>
        <w:ind w:firstLine="480" w:firstLineChars="200"/>
        <w:rPr>
          <w:rFonts w:ascii="宋体" w:hAnsi="宋体" w:eastAsia="宋体" w:cs="宋体"/>
          <w:sz w:val="24"/>
        </w:rPr>
      </w:pPr>
      <w:r>
        <w:rPr>
          <w:rFonts w:hint="eastAsia" w:ascii="Times New Roman" w:hAnsi="宋体" w:eastAsia="宋体" w:cs="Times New Roman"/>
          <w:sz w:val="24"/>
        </w:rPr>
        <w:t>（7）乙方未能按照合同约定</w:t>
      </w:r>
      <w:r>
        <w:rPr>
          <w:rFonts w:hint="eastAsia" w:ascii="宋体" w:hAnsi="宋体" w:eastAsia="宋体" w:cs="宋体"/>
          <w:sz w:val="24"/>
        </w:rPr>
        <w:t>履行其他义务的。</w:t>
      </w:r>
    </w:p>
    <w:p w14:paraId="1E2E69BC">
      <w:pPr>
        <w:widowControl/>
        <w:spacing w:line="360" w:lineRule="auto"/>
        <w:ind w:left="480" w:hanging="480" w:hangingChars="200"/>
        <w:contextualSpacing/>
        <w:rPr>
          <w:rFonts w:ascii="宋体" w:hAnsi="宋体" w:eastAsia="宋体" w:cs="宋体"/>
          <w:sz w:val="24"/>
        </w:rPr>
      </w:pPr>
      <w:r>
        <w:rPr>
          <w:rFonts w:hint="eastAsia" w:ascii="Times New Roman" w:hAnsi="Times New Roman" w:eastAsia="宋体" w:cs="Calibri"/>
          <w:sz w:val="24"/>
        </w:rPr>
        <w:t>14.4</w:t>
      </w:r>
      <w:r>
        <w:rPr>
          <w:rFonts w:ascii="Times New Roman" w:hAnsi="Times New Roman" w:eastAsia="宋体" w:cs="Calibri"/>
          <w:sz w:val="24"/>
        </w:rPr>
        <w:t>乙方</w:t>
      </w:r>
      <w:r>
        <w:rPr>
          <w:rFonts w:ascii="宋体" w:hAnsi="宋体" w:eastAsia="宋体" w:cs="Times New Roman"/>
          <w:sz w:val="24"/>
        </w:rPr>
        <w:t>违约责任</w:t>
      </w:r>
    </w:p>
    <w:p w14:paraId="76E4F6F6">
      <w:pPr>
        <w:spacing w:line="360" w:lineRule="auto"/>
        <w:ind w:firstLine="480" w:firstLineChars="200"/>
        <w:rPr>
          <w:rFonts w:ascii="Times New Roman" w:hAnsi="宋体" w:eastAsia="宋体" w:cs="Times New Roman"/>
          <w:sz w:val="24"/>
        </w:rPr>
      </w:pPr>
      <w:r>
        <w:rPr>
          <w:rFonts w:hint="eastAsia" w:ascii="Times New Roman" w:hAnsi="宋体" w:eastAsia="宋体" w:cs="Times New Roman"/>
          <w:sz w:val="24"/>
        </w:rPr>
        <w:t>除专用合同条款另有约定外，乙方未能按合同规定的交付日期、各阶段工作完成日期提供符合合同要求的产品、技术、服务或文件等，乙方应按下列合同总价的百分比分段累加向甲方支付违约金：</w:t>
      </w:r>
    </w:p>
    <w:p w14:paraId="18CF836C">
      <w:pPr>
        <w:spacing w:line="360" w:lineRule="auto"/>
        <w:ind w:firstLine="480" w:firstLineChars="200"/>
        <w:rPr>
          <w:rFonts w:ascii="Times New Roman" w:hAnsi="宋体" w:eastAsia="宋体" w:cs="Times New Roman"/>
          <w:sz w:val="24"/>
        </w:rPr>
      </w:pPr>
      <w:r>
        <w:rPr>
          <w:rFonts w:hint="eastAsia" w:ascii="Times New Roman" w:hAnsi="宋体" w:eastAsia="宋体" w:cs="Times New Roman"/>
          <w:sz w:val="24"/>
        </w:rPr>
        <w:t>（1）从迟交的第一周到第四周，每周延迟交付违约金为合同总价的</w:t>
      </w:r>
      <w:r>
        <w:rPr>
          <w:rFonts w:ascii="Times New Roman" w:hAnsi="宋体" w:eastAsia="宋体" w:cs="Times New Roman"/>
          <w:sz w:val="24"/>
        </w:rPr>
        <w:t>1%</w:t>
      </w:r>
      <w:r>
        <w:rPr>
          <w:rFonts w:hint="eastAsia" w:ascii="Times New Roman" w:hAnsi="宋体" w:eastAsia="宋体" w:cs="Times New Roman"/>
          <w:sz w:val="24"/>
        </w:rPr>
        <w:t>；</w:t>
      </w:r>
    </w:p>
    <w:p w14:paraId="5FB8D562">
      <w:pPr>
        <w:spacing w:line="360" w:lineRule="auto"/>
        <w:ind w:firstLine="480" w:firstLineChars="200"/>
        <w:rPr>
          <w:rFonts w:ascii="Times New Roman" w:hAnsi="宋体" w:eastAsia="宋体" w:cs="Times New Roman"/>
          <w:sz w:val="24"/>
        </w:rPr>
      </w:pPr>
      <w:r>
        <w:rPr>
          <w:rFonts w:hint="eastAsia" w:ascii="Times New Roman" w:hAnsi="宋体" w:eastAsia="宋体" w:cs="Times New Roman"/>
          <w:sz w:val="24"/>
        </w:rPr>
        <w:t>（2）从迟交的第五周到第八周，每周延迟交付违约金为合同总价的</w:t>
      </w:r>
      <w:r>
        <w:rPr>
          <w:rFonts w:ascii="Times New Roman" w:hAnsi="宋体" w:eastAsia="宋体" w:cs="Times New Roman"/>
          <w:sz w:val="24"/>
        </w:rPr>
        <w:t>2%</w:t>
      </w:r>
      <w:r>
        <w:rPr>
          <w:rFonts w:hint="eastAsia" w:ascii="Times New Roman" w:hAnsi="宋体" w:eastAsia="宋体" w:cs="Times New Roman"/>
          <w:sz w:val="24"/>
        </w:rPr>
        <w:t>；</w:t>
      </w:r>
    </w:p>
    <w:p w14:paraId="730E5E0E">
      <w:pPr>
        <w:spacing w:line="360" w:lineRule="auto"/>
        <w:ind w:firstLine="480" w:firstLineChars="200"/>
        <w:rPr>
          <w:rFonts w:ascii="Times New Roman" w:hAnsi="宋体" w:eastAsia="宋体" w:cs="Times New Roman"/>
          <w:sz w:val="24"/>
        </w:rPr>
      </w:pPr>
      <w:r>
        <w:rPr>
          <w:rFonts w:hint="eastAsia" w:ascii="Times New Roman" w:hAnsi="宋体" w:eastAsia="宋体" w:cs="Times New Roman"/>
          <w:sz w:val="24"/>
        </w:rPr>
        <w:t>（3）从迟交第九周起，除每周迟延交付违约金合同总价的3%外，甲方有权解除合同。</w:t>
      </w:r>
    </w:p>
    <w:p w14:paraId="72EBB935">
      <w:pPr>
        <w:spacing w:line="360" w:lineRule="auto"/>
        <w:ind w:firstLine="480" w:firstLineChars="200"/>
        <w:rPr>
          <w:rFonts w:ascii="宋体" w:hAnsi="宋体" w:eastAsia="宋体" w:cs="宋体"/>
          <w:sz w:val="24"/>
        </w:rPr>
      </w:pPr>
      <w:r>
        <w:rPr>
          <w:rFonts w:hint="eastAsia" w:ascii="Times New Roman" w:hAnsi="宋体" w:eastAsia="宋体" w:cs="Times New Roman"/>
          <w:sz w:val="24"/>
        </w:rPr>
        <w:t>违约金的总额不得超过合同总价的30%。在不影响其他任何偿付手段的情形下，甲方可以选择从合同应付款中扣除相应金额</w:t>
      </w:r>
      <w:r>
        <w:rPr>
          <w:rFonts w:hint="eastAsia" w:ascii="宋体" w:hAnsi="宋体" w:eastAsia="宋体" w:cs="宋体"/>
          <w:sz w:val="24"/>
        </w:rPr>
        <w:t>的方式获得上述违约金或赔偿金。</w:t>
      </w:r>
    </w:p>
    <w:p w14:paraId="4C370590">
      <w:pPr>
        <w:widowControl/>
        <w:spacing w:line="360" w:lineRule="auto"/>
        <w:ind w:left="480" w:hanging="480" w:hangingChars="200"/>
        <w:contextualSpacing/>
        <w:rPr>
          <w:rFonts w:ascii="宋体" w:hAnsi="宋体" w:eastAsia="宋体" w:cs="宋体"/>
          <w:sz w:val="24"/>
        </w:rPr>
      </w:pPr>
      <w:r>
        <w:rPr>
          <w:rFonts w:hint="eastAsia" w:ascii="Times New Roman" w:hAnsi="Times New Roman" w:eastAsia="宋体" w:cs="Calibri"/>
          <w:sz w:val="24"/>
        </w:rPr>
        <w:t>14.5</w:t>
      </w:r>
      <w:r>
        <w:rPr>
          <w:rFonts w:hint="eastAsia" w:ascii="宋体" w:hAnsi="宋体" w:eastAsia="宋体" w:cs="Times New Roman"/>
          <w:sz w:val="24"/>
        </w:rPr>
        <w:t>在履行合同过程中，因乙方（包括但不限于乙方工作人员或其分包方等）原因给甲方或第三方造成损害的，乙方应负责赔偿，并根据甲方要求，及时就上述损害与相关方进行协商谈判，并负责处理由此引起的索赔或诉讼。若由甲方负责赔偿后，甲方有权向乙方追偿。</w:t>
      </w:r>
    </w:p>
    <w:p w14:paraId="02D2936C">
      <w:pPr>
        <w:spacing w:line="360" w:lineRule="auto"/>
        <w:ind w:firstLine="480" w:firstLineChars="200"/>
        <w:rPr>
          <w:rFonts w:ascii="宋体" w:hAnsi="宋体" w:eastAsia="宋体" w:cs="宋体"/>
          <w:sz w:val="24"/>
        </w:rPr>
      </w:pPr>
    </w:p>
    <w:p w14:paraId="1444278F">
      <w:pPr>
        <w:keepNext/>
        <w:keepLines/>
        <w:tabs>
          <w:tab w:val="left" w:pos="465"/>
        </w:tabs>
        <w:spacing w:line="360" w:lineRule="auto"/>
        <w:jc w:val="left"/>
        <w:outlineLvl w:val="1"/>
        <w:rPr>
          <w:rFonts w:ascii="黑体" w:hAnsi="黑体" w:eastAsia="黑体" w:cs="Times New Roman"/>
          <w:b/>
          <w:bCs/>
          <w:sz w:val="24"/>
        </w:rPr>
      </w:pPr>
      <w:bookmarkStart w:id="51" w:name="_Toc15317508"/>
      <w:r>
        <w:rPr>
          <w:rFonts w:hint="eastAsia" w:ascii="黑体" w:hAnsi="黑体" w:eastAsia="黑体" w:cs="Times New Roman"/>
          <w:b/>
          <w:bCs/>
          <w:sz w:val="24"/>
        </w:rPr>
        <w:t>15.不可抗力</w:t>
      </w:r>
      <w:bookmarkEnd w:id="51"/>
    </w:p>
    <w:p w14:paraId="6477BE8B">
      <w:pPr>
        <w:widowControl/>
        <w:spacing w:line="360" w:lineRule="auto"/>
        <w:ind w:left="480" w:hanging="480" w:hangingChars="200"/>
        <w:contextualSpacing/>
        <w:rPr>
          <w:rFonts w:ascii="宋体" w:hAnsi="宋体" w:eastAsia="宋体" w:cs="Times New Roman"/>
          <w:sz w:val="24"/>
        </w:rPr>
      </w:pPr>
      <w:r>
        <w:rPr>
          <w:rFonts w:hint="eastAsia" w:ascii="Times New Roman" w:hAnsi="Times New Roman" w:eastAsia="宋体" w:cs="Calibri"/>
          <w:sz w:val="24"/>
        </w:rPr>
        <w:t>15.1</w:t>
      </w:r>
      <w:r>
        <w:rPr>
          <w:rFonts w:ascii="Times New Roman" w:hAnsi="Times New Roman" w:eastAsia="宋体" w:cs="Calibri"/>
          <w:sz w:val="24"/>
        </w:rPr>
        <w:t>不可抗力</w:t>
      </w:r>
      <w:r>
        <w:rPr>
          <w:rFonts w:hint="eastAsia" w:ascii="宋体" w:hAnsi="宋体" w:eastAsia="宋体" w:cs="Times New Roman"/>
          <w:sz w:val="24"/>
        </w:rPr>
        <w:t>的确认</w:t>
      </w:r>
    </w:p>
    <w:p w14:paraId="73F49F1C">
      <w:pPr>
        <w:spacing w:line="360" w:lineRule="auto"/>
        <w:ind w:firstLine="480" w:firstLineChars="200"/>
        <w:rPr>
          <w:rFonts w:ascii="Times New Roman" w:hAnsi="宋体" w:eastAsia="宋体" w:cs="Times New Roman"/>
          <w:sz w:val="24"/>
        </w:rPr>
      </w:pPr>
      <w:r>
        <w:rPr>
          <w:rFonts w:hint="eastAsia" w:ascii="Times New Roman" w:hAnsi="宋体" w:eastAsia="宋体" w:cs="Times New Roman"/>
          <w:sz w:val="24"/>
        </w:rPr>
        <w:t>（1）不可抗力是指双方在签订合同时不可预见，在履行合同过程中不可避免且不能克服的自然灾害和社会性突发事件，如地震、海啸、瘟疫、水灾、骚乱、暴动、战争和专用合同条款约定的其他情形。</w:t>
      </w:r>
    </w:p>
    <w:p w14:paraId="7B3F5306">
      <w:pPr>
        <w:spacing w:line="360" w:lineRule="auto"/>
        <w:ind w:firstLine="480" w:firstLineChars="200"/>
        <w:rPr>
          <w:rFonts w:ascii="宋体" w:hAnsi="宋体" w:eastAsia="宋体" w:cs="宋体"/>
          <w:sz w:val="24"/>
        </w:rPr>
      </w:pPr>
      <w:r>
        <w:rPr>
          <w:rFonts w:hint="eastAsia" w:ascii="Times New Roman" w:hAnsi="宋体" w:eastAsia="宋体" w:cs="Times New Roman"/>
          <w:sz w:val="24"/>
        </w:rPr>
        <w:t>（2）不可抗力发生后，甲方和乙方应及时认真统计所造成的损失，收集不可抗力造成损失的证据。合同双方对是否属于不可抗力或其损失的意见不一致的，由合同双方协商确定</w:t>
      </w:r>
      <w:r>
        <w:rPr>
          <w:rFonts w:hint="eastAsia" w:ascii="宋体" w:hAnsi="宋体" w:eastAsia="宋体" w:cs="宋体"/>
          <w:sz w:val="24"/>
        </w:rPr>
        <w:t>。</w:t>
      </w:r>
    </w:p>
    <w:p w14:paraId="076FB4BF">
      <w:pPr>
        <w:widowControl/>
        <w:spacing w:line="360" w:lineRule="auto"/>
        <w:ind w:left="480" w:hanging="480" w:hangingChars="200"/>
        <w:contextualSpacing/>
        <w:rPr>
          <w:rFonts w:ascii="宋体" w:hAnsi="宋体" w:eastAsia="宋体" w:cs="Times New Roman"/>
          <w:sz w:val="24"/>
        </w:rPr>
      </w:pPr>
      <w:r>
        <w:rPr>
          <w:rFonts w:hint="eastAsia" w:ascii="Times New Roman" w:hAnsi="Times New Roman" w:eastAsia="宋体" w:cs="Calibri"/>
          <w:sz w:val="24"/>
        </w:rPr>
        <w:t>15.2不可抗力</w:t>
      </w:r>
      <w:r>
        <w:rPr>
          <w:rFonts w:hint="eastAsia" w:ascii="宋体" w:hAnsi="宋体" w:eastAsia="宋体" w:cs="Times New Roman"/>
          <w:sz w:val="24"/>
        </w:rPr>
        <w:t>的通知</w:t>
      </w:r>
    </w:p>
    <w:p w14:paraId="663D0DE6">
      <w:pPr>
        <w:spacing w:line="360" w:lineRule="auto"/>
        <w:ind w:firstLine="480" w:firstLineChars="200"/>
        <w:rPr>
          <w:rFonts w:ascii="Times New Roman" w:hAnsi="宋体" w:eastAsia="宋体" w:cs="Times New Roman"/>
          <w:sz w:val="24"/>
        </w:rPr>
      </w:pPr>
      <w:r>
        <w:rPr>
          <w:rFonts w:hint="eastAsia" w:ascii="Times New Roman" w:hAnsi="宋体" w:eastAsia="宋体" w:cs="Times New Roman"/>
          <w:sz w:val="24"/>
        </w:rPr>
        <w:t>（1）合同一方当事人遇到不可抗力事件，使其履行合同义务受到阻碍时，应立即通知合同另一方当事人，书面说明不可抗力和受阻碍的详细情况，并提供必要的证明。</w:t>
      </w:r>
    </w:p>
    <w:p w14:paraId="73DE2E9D">
      <w:pPr>
        <w:spacing w:line="360" w:lineRule="auto"/>
        <w:ind w:firstLine="480" w:firstLineChars="200"/>
        <w:rPr>
          <w:rFonts w:ascii="Times New Roman" w:hAnsi="宋体" w:eastAsia="宋体" w:cs="Times New Roman"/>
          <w:sz w:val="24"/>
        </w:rPr>
      </w:pPr>
      <w:r>
        <w:rPr>
          <w:rFonts w:hint="eastAsia" w:ascii="Times New Roman" w:hAnsi="宋体" w:eastAsia="宋体" w:cs="Times New Roman"/>
          <w:sz w:val="24"/>
        </w:rPr>
        <w:t>（2）如不可抗力持续发生，合同一方当事人应及时向合同另一方当事人提交中间报告，说明不可抗力和履行合同受阻的情况，并于不可抗力事件结束后 15 天内提交最终报告及有关资料。</w:t>
      </w:r>
    </w:p>
    <w:p w14:paraId="4C1B69BE">
      <w:pPr>
        <w:widowControl/>
        <w:spacing w:line="360" w:lineRule="auto"/>
        <w:ind w:left="480" w:hanging="480" w:hangingChars="200"/>
        <w:contextualSpacing/>
        <w:rPr>
          <w:rFonts w:ascii="宋体" w:hAnsi="宋体" w:eastAsia="宋体" w:cs="Times New Roman"/>
          <w:sz w:val="24"/>
        </w:rPr>
      </w:pPr>
      <w:r>
        <w:rPr>
          <w:rFonts w:hint="eastAsia" w:ascii="Times New Roman" w:hAnsi="Times New Roman" w:eastAsia="宋体" w:cs="Calibri"/>
          <w:sz w:val="24"/>
        </w:rPr>
        <w:t>15.3</w:t>
      </w:r>
      <w:r>
        <w:rPr>
          <w:rFonts w:hint="eastAsia" w:ascii="宋体" w:hAnsi="宋体" w:eastAsia="宋体" w:cs="Times New Roman"/>
          <w:sz w:val="24"/>
        </w:rPr>
        <w:t>不可抗力</w:t>
      </w:r>
      <w:r>
        <w:rPr>
          <w:rFonts w:hint="eastAsia" w:ascii="Times New Roman" w:hAnsi="Times New Roman" w:eastAsia="宋体" w:cs="Calibri"/>
          <w:sz w:val="24"/>
        </w:rPr>
        <w:t>后果</w:t>
      </w:r>
      <w:r>
        <w:rPr>
          <w:rFonts w:hint="eastAsia" w:ascii="宋体" w:hAnsi="宋体" w:eastAsia="宋体" w:cs="Times New Roman"/>
          <w:sz w:val="24"/>
        </w:rPr>
        <w:t>及其处理</w:t>
      </w:r>
    </w:p>
    <w:p w14:paraId="694C9505">
      <w:pPr>
        <w:spacing w:line="360" w:lineRule="auto"/>
        <w:ind w:firstLine="480" w:firstLineChars="200"/>
        <w:rPr>
          <w:rFonts w:ascii="Times New Roman" w:hAnsi="宋体" w:eastAsia="宋体" w:cs="Times New Roman"/>
          <w:sz w:val="24"/>
        </w:rPr>
      </w:pPr>
      <w:r>
        <w:rPr>
          <w:rFonts w:hint="eastAsia" w:ascii="Times New Roman" w:hAnsi="宋体" w:eastAsia="宋体" w:cs="Times New Roman"/>
          <w:sz w:val="24"/>
        </w:rPr>
        <w:t>（1）不可抗力引起的后果及其损失，应由合同当事人依据法律规定各自承担。不可抗力发生前已完成的工作，应当按照合同约定进行支付。</w:t>
      </w:r>
    </w:p>
    <w:p w14:paraId="343DD82B">
      <w:pPr>
        <w:spacing w:line="360" w:lineRule="auto"/>
        <w:ind w:firstLine="480" w:firstLineChars="200"/>
        <w:rPr>
          <w:rFonts w:ascii="Times New Roman" w:hAnsi="宋体" w:eastAsia="宋体" w:cs="Times New Roman"/>
          <w:sz w:val="24"/>
        </w:rPr>
      </w:pPr>
      <w:r>
        <w:rPr>
          <w:rFonts w:hint="eastAsia" w:ascii="Times New Roman" w:hAnsi="宋体" w:eastAsia="宋体" w:cs="Times New Roman"/>
          <w:sz w:val="24"/>
        </w:rPr>
        <w:t>（2）不可抗</w:t>
      </w:r>
      <w:r>
        <w:rPr>
          <w:rFonts w:hint="eastAsia" w:ascii="宋体" w:hAnsi="宋体" w:eastAsia="宋体" w:cs="宋体"/>
          <w:sz w:val="24"/>
        </w:rPr>
        <w:t>力发生后，合同当事人应当采取有效措施避免损失进一步扩大，</w:t>
      </w:r>
      <w:r>
        <w:rPr>
          <w:rFonts w:hint="eastAsia" w:ascii="Times New Roman" w:hAnsi="宋体" w:eastAsia="宋体" w:cs="Times New Roman"/>
          <w:sz w:val="24"/>
        </w:rPr>
        <w:t>如未采取有效措施致使损失扩大的，应当自行承担扩大部分的损失。</w:t>
      </w:r>
    </w:p>
    <w:p w14:paraId="1F6E5DEE">
      <w:pPr>
        <w:spacing w:line="360" w:lineRule="auto"/>
        <w:ind w:firstLine="480" w:firstLineChars="200"/>
        <w:rPr>
          <w:rFonts w:ascii="Times New Roman" w:hAnsi="宋体" w:eastAsia="宋体" w:cs="Times New Roman"/>
          <w:sz w:val="24"/>
        </w:rPr>
      </w:pPr>
      <w:r>
        <w:rPr>
          <w:rFonts w:hint="eastAsia" w:ascii="Times New Roman" w:hAnsi="宋体" w:eastAsia="宋体" w:cs="Times New Roman"/>
          <w:sz w:val="24"/>
        </w:rPr>
        <w:t>（3）因一方当事人迟延履行合同义务，致使迟延履行期间遭遇不可抗力的，应由该当事人承担全部损失。</w:t>
      </w:r>
    </w:p>
    <w:p w14:paraId="44518AF4">
      <w:pPr>
        <w:spacing w:line="360" w:lineRule="auto"/>
        <w:ind w:firstLine="480" w:firstLineChars="200"/>
        <w:rPr>
          <w:rFonts w:ascii="Times New Roman" w:hAnsi="宋体" w:eastAsia="宋体" w:cs="Times New Roman"/>
          <w:sz w:val="24"/>
        </w:rPr>
      </w:pPr>
      <w:r>
        <w:rPr>
          <w:rFonts w:hint="eastAsia" w:ascii="Times New Roman" w:hAnsi="宋体" w:eastAsia="宋体" w:cs="Times New Roman"/>
          <w:sz w:val="24"/>
        </w:rPr>
        <w:t>（4）双方应在不可抗力事件终止或影响消除后立即继续履行各自的合同义务,合同期限相应顺延。如果不可抗力事件的影响预计持续时间会导致合同目的无法实现，双方可解除合同。</w:t>
      </w:r>
    </w:p>
    <w:p w14:paraId="16039320">
      <w:pPr>
        <w:spacing w:line="360" w:lineRule="auto"/>
        <w:ind w:firstLine="480" w:firstLineChars="200"/>
        <w:rPr>
          <w:rFonts w:ascii="Times New Roman" w:hAnsi="宋体" w:eastAsia="宋体" w:cs="Times New Roman"/>
          <w:sz w:val="24"/>
        </w:rPr>
      </w:pPr>
    </w:p>
    <w:p w14:paraId="6E43F117">
      <w:pPr>
        <w:keepNext/>
        <w:keepLines/>
        <w:tabs>
          <w:tab w:val="left" w:pos="465"/>
        </w:tabs>
        <w:spacing w:line="360" w:lineRule="auto"/>
        <w:jc w:val="left"/>
        <w:outlineLvl w:val="1"/>
        <w:rPr>
          <w:rFonts w:ascii="黑体" w:hAnsi="黑体" w:eastAsia="黑体" w:cs="Times New Roman"/>
          <w:b/>
          <w:bCs/>
          <w:sz w:val="24"/>
        </w:rPr>
      </w:pPr>
      <w:bookmarkStart w:id="52" w:name="_Ref226428655"/>
      <w:bookmarkStart w:id="53" w:name="_Ref226340279"/>
      <w:bookmarkStart w:id="54" w:name="_Toc15317509"/>
      <w:bookmarkStart w:id="55" w:name="_Toc466394047"/>
      <w:bookmarkStart w:id="56" w:name="_Toc359396388"/>
      <w:bookmarkStart w:id="57" w:name="_Toc466394439"/>
      <w:bookmarkStart w:id="58" w:name="_Ref226429751"/>
      <w:bookmarkStart w:id="59" w:name="_Ref226340777"/>
      <w:r>
        <w:rPr>
          <w:rFonts w:hint="eastAsia" w:ascii="黑体" w:hAnsi="黑体" w:eastAsia="黑体" w:cs="Times New Roman"/>
          <w:b/>
          <w:bCs/>
          <w:sz w:val="24"/>
        </w:rPr>
        <w:t>16.合同生效与变更</w:t>
      </w:r>
      <w:bookmarkEnd w:id="52"/>
      <w:bookmarkEnd w:id="53"/>
      <w:bookmarkEnd w:id="54"/>
      <w:bookmarkEnd w:id="55"/>
      <w:bookmarkEnd w:id="56"/>
      <w:bookmarkEnd w:id="57"/>
      <w:bookmarkEnd w:id="58"/>
      <w:bookmarkEnd w:id="59"/>
    </w:p>
    <w:p w14:paraId="6E74DEE6">
      <w:pPr>
        <w:widowControl/>
        <w:spacing w:line="360" w:lineRule="auto"/>
        <w:ind w:left="480" w:hanging="480" w:hangingChars="200"/>
        <w:contextualSpacing/>
        <w:rPr>
          <w:rFonts w:ascii="宋体" w:hAnsi="宋体" w:eastAsia="宋体" w:cs="Times New Roman"/>
          <w:sz w:val="24"/>
        </w:rPr>
      </w:pPr>
      <w:bookmarkStart w:id="60" w:name="_Ref226426693"/>
      <w:r>
        <w:rPr>
          <w:rFonts w:hint="eastAsia" w:ascii="Times New Roman" w:hAnsi="Times New Roman" w:eastAsia="宋体" w:cs="Calibri"/>
          <w:sz w:val="24"/>
        </w:rPr>
        <w:t>16.1</w:t>
      </w:r>
      <w:r>
        <w:rPr>
          <w:rFonts w:hint="eastAsia" w:ascii="宋体" w:hAnsi="宋体" w:eastAsia="宋体" w:cs="Times New Roman"/>
          <w:sz w:val="24"/>
        </w:rPr>
        <w:t>除专用合同条款另有约定外，双方法定代表人（单位负责人）或其委托代理人在本合同上签字并盖章后，合同生效。</w:t>
      </w:r>
    </w:p>
    <w:p w14:paraId="46AA6C28">
      <w:pPr>
        <w:widowControl/>
        <w:spacing w:line="360" w:lineRule="auto"/>
        <w:ind w:left="480" w:hanging="480" w:hangingChars="200"/>
        <w:contextualSpacing/>
        <w:rPr>
          <w:rFonts w:ascii="宋体" w:hAnsi="宋体" w:eastAsia="宋体" w:cs="Times New Roman"/>
          <w:sz w:val="24"/>
        </w:rPr>
      </w:pPr>
      <w:r>
        <w:rPr>
          <w:rFonts w:hint="eastAsia" w:ascii="Times New Roman" w:hAnsi="Times New Roman" w:eastAsia="宋体" w:cs="Calibri"/>
          <w:sz w:val="24"/>
        </w:rPr>
        <w:t>16.2</w:t>
      </w:r>
      <w:r>
        <w:rPr>
          <w:rFonts w:hint="eastAsia" w:ascii="宋体" w:hAnsi="宋体" w:eastAsia="宋体" w:cs="Times New Roman"/>
          <w:sz w:val="24"/>
        </w:rPr>
        <w:t>除甲方另有书面通知外，乙方不得对合同项下的任务做任何更改，但甲方有权在合同执行期间的任何时候改变、修订、删减或添加合同项下的任何任务，乙方应将其视作合同的一部分而予以执行，并受同样条件的约束。</w:t>
      </w:r>
      <w:bookmarkEnd w:id="60"/>
      <w:r>
        <w:rPr>
          <w:rFonts w:hint="eastAsia" w:ascii="宋体" w:hAnsi="宋体" w:eastAsia="宋体" w:cs="Times New Roman"/>
          <w:sz w:val="24"/>
        </w:rPr>
        <w:t>如果乙方完成任务的费用或时间受此影响，则乙方应在收到甲方通知的7日内提交关于合同价款</w:t>
      </w:r>
      <w:r>
        <w:rPr>
          <w:rFonts w:ascii="宋体" w:hAnsi="宋体" w:eastAsia="宋体" w:cs="Times New Roman"/>
          <w:sz w:val="24"/>
        </w:rPr>
        <w:t>/</w:t>
      </w:r>
      <w:r>
        <w:rPr>
          <w:rFonts w:hint="eastAsia" w:ascii="宋体" w:hAnsi="宋体" w:eastAsia="宋体" w:cs="Times New Roman"/>
          <w:sz w:val="24"/>
        </w:rPr>
        <w:t>服务期的修改建议，该建议应根据甲方要求变更工作的通知而提出，其详细程度也应符合甲方的要求，甲方可在合同允许的范围内签发变更单，签发变更单是修改服务期和/或合同价款的唯一方式。</w:t>
      </w:r>
    </w:p>
    <w:p w14:paraId="7AF4458B">
      <w:pPr>
        <w:widowControl/>
        <w:spacing w:line="360" w:lineRule="auto"/>
        <w:ind w:left="480" w:hanging="480" w:hangingChars="200"/>
        <w:contextualSpacing/>
        <w:rPr>
          <w:rFonts w:ascii="宋体" w:hAnsi="宋体" w:eastAsia="宋体" w:cs="Times New Roman"/>
          <w:sz w:val="24"/>
        </w:rPr>
      </w:pPr>
      <w:r>
        <w:rPr>
          <w:rFonts w:hint="eastAsia" w:ascii="Times New Roman" w:hAnsi="Times New Roman" w:eastAsia="宋体" w:cs="Calibri"/>
          <w:sz w:val="24"/>
        </w:rPr>
        <w:t>16.3</w:t>
      </w:r>
      <w:r>
        <w:rPr>
          <w:rFonts w:hint="eastAsia" w:ascii="宋体" w:hAnsi="宋体" w:eastAsia="宋体" w:cs="Times New Roman"/>
          <w:sz w:val="24"/>
        </w:rPr>
        <w:t>在下述情况下，甲方有权不签发变更单，乙方仍应继续按合同约定履行义务：</w:t>
      </w:r>
    </w:p>
    <w:p w14:paraId="3570571C">
      <w:pPr>
        <w:spacing w:line="360" w:lineRule="auto"/>
        <w:ind w:firstLine="480" w:firstLineChars="200"/>
        <w:rPr>
          <w:rFonts w:ascii="Times New Roman" w:hAnsi="宋体" w:eastAsia="宋体" w:cs="Times New Roman"/>
          <w:sz w:val="24"/>
        </w:rPr>
      </w:pPr>
      <w:r>
        <w:rPr>
          <w:rFonts w:hint="eastAsia" w:ascii="Times New Roman" w:hAnsi="宋体" w:eastAsia="宋体" w:cs="Times New Roman"/>
          <w:sz w:val="24"/>
        </w:rPr>
        <w:t>（1）甲方影响乙方完成任务的费用或时间的行为是由于乙方不履行、不完全履行合同约定引起的；</w:t>
      </w:r>
    </w:p>
    <w:p w14:paraId="3AA748F8">
      <w:pPr>
        <w:spacing w:line="360" w:lineRule="auto"/>
        <w:ind w:firstLine="480" w:firstLineChars="200"/>
        <w:rPr>
          <w:rFonts w:ascii="Times New Roman" w:hAnsi="宋体" w:eastAsia="宋体" w:cs="Times New Roman"/>
          <w:sz w:val="24"/>
        </w:rPr>
      </w:pPr>
      <w:r>
        <w:rPr>
          <w:rFonts w:hint="eastAsia" w:ascii="Times New Roman" w:hAnsi="宋体" w:eastAsia="宋体" w:cs="Times New Roman"/>
          <w:sz w:val="24"/>
        </w:rPr>
        <w:t>（2）乙方因其自身的过错、疏忽或其他行为对合同的执行造成不利影响的；</w:t>
      </w:r>
    </w:p>
    <w:p w14:paraId="1FC8F153">
      <w:pPr>
        <w:spacing w:line="360" w:lineRule="auto"/>
        <w:ind w:firstLine="480" w:firstLineChars="200"/>
        <w:rPr>
          <w:rFonts w:ascii="Times New Roman" w:hAnsi="宋体" w:eastAsia="宋体" w:cs="Times New Roman"/>
          <w:sz w:val="24"/>
        </w:rPr>
      </w:pPr>
      <w:r>
        <w:rPr>
          <w:rFonts w:hint="eastAsia" w:ascii="Times New Roman" w:hAnsi="宋体" w:eastAsia="宋体" w:cs="Times New Roman"/>
          <w:sz w:val="24"/>
        </w:rPr>
        <w:t>（3）乙方没有及时书面通知甲方，以致甲方不能向第三方追索。</w:t>
      </w:r>
    </w:p>
    <w:p w14:paraId="59299A7C">
      <w:pPr>
        <w:widowControl/>
        <w:spacing w:line="360" w:lineRule="auto"/>
        <w:ind w:left="480" w:hanging="480" w:hangingChars="200"/>
        <w:contextualSpacing/>
        <w:rPr>
          <w:rFonts w:ascii="宋体" w:hAnsi="宋体" w:eastAsia="宋体" w:cs="Times New Roman"/>
          <w:sz w:val="24"/>
        </w:rPr>
      </w:pPr>
      <w:bookmarkStart w:id="61" w:name="_Ref226428593"/>
      <w:r>
        <w:rPr>
          <w:rFonts w:hint="eastAsia" w:ascii="Times New Roman" w:hAnsi="Times New Roman" w:eastAsia="宋体" w:cs="Calibri"/>
          <w:sz w:val="24"/>
        </w:rPr>
        <w:t>16.4</w:t>
      </w:r>
      <w:r>
        <w:rPr>
          <w:rFonts w:hint="eastAsia" w:ascii="宋体" w:hAnsi="宋体" w:eastAsia="宋体" w:cs="Times New Roman"/>
          <w:sz w:val="24"/>
        </w:rPr>
        <w:t>合同价款的</w:t>
      </w:r>
      <w:r>
        <w:rPr>
          <w:rFonts w:hint="eastAsia" w:ascii="Times New Roman" w:hAnsi="Times New Roman" w:eastAsia="宋体" w:cs="Calibri"/>
          <w:sz w:val="24"/>
        </w:rPr>
        <w:t>变更</w:t>
      </w:r>
      <w:r>
        <w:rPr>
          <w:rFonts w:hint="eastAsia" w:ascii="宋体" w:hAnsi="宋体" w:eastAsia="宋体" w:cs="Times New Roman"/>
          <w:sz w:val="24"/>
        </w:rPr>
        <w:t>应按下述方式确定：</w:t>
      </w:r>
      <w:bookmarkEnd w:id="61"/>
    </w:p>
    <w:p w14:paraId="5121128E">
      <w:pPr>
        <w:spacing w:line="360" w:lineRule="auto"/>
        <w:ind w:firstLine="480" w:firstLineChars="200"/>
        <w:rPr>
          <w:rFonts w:ascii="Times New Roman" w:hAnsi="宋体" w:eastAsia="宋体" w:cs="Times New Roman"/>
          <w:sz w:val="24"/>
        </w:rPr>
      </w:pPr>
      <w:r>
        <w:rPr>
          <w:rFonts w:hint="eastAsia" w:ascii="Times New Roman" w:hAnsi="宋体" w:eastAsia="宋体" w:cs="Times New Roman"/>
          <w:sz w:val="24"/>
        </w:rPr>
        <w:t>（1）合同中对选择方案和替换方案已约定价格的，应采用该价格；</w:t>
      </w:r>
    </w:p>
    <w:p w14:paraId="4DAD5B95">
      <w:pPr>
        <w:spacing w:line="360" w:lineRule="auto"/>
        <w:ind w:firstLine="480" w:firstLineChars="200"/>
        <w:rPr>
          <w:rFonts w:ascii="Times New Roman" w:hAnsi="宋体" w:eastAsia="宋体" w:cs="Times New Roman"/>
          <w:sz w:val="24"/>
        </w:rPr>
      </w:pPr>
      <w:r>
        <w:rPr>
          <w:rFonts w:hint="eastAsia" w:ascii="Times New Roman" w:hAnsi="宋体" w:eastAsia="宋体" w:cs="Times New Roman"/>
          <w:sz w:val="24"/>
        </w:rPr>
        <w:t>（2）合同中对选择方案和替换方案没有约定价格的，双方应按以下一种或几种方式协商确定变更价款:</w:t>
      </w:r>
    </w:p>
    <w:p w14:paraId="1004C409">
      <w:pPr>
        <w:spacing w:line="360" w:lineRule="auto"/>
        <w:ind w:firstLine="600" w:firstLineChars="250"/>
        <w:rPr>
          <w:rFonts w:ascii="Times New Roman" w:hAnsi="宋体" w:eastAsia="宋体" w:cs="Times New Roman"/>
          <w:sz w:val="24"/>
        </w:rPr>
      </w:pPr>
      <w:r>
        <w:rPr>
          <w:rFonts w:hint="eastAsia" w:ascii="Times New Roman" w:hAnsi="宋体" w:eastAsia="宋体" w:cs="Times New Roman"/>
          <w:sz w:val="24"/>
        </w:rPr>
        <w:t>①根据合同提出的估价为基础确定总包价；</w:t>
      </w:r>
    </w:p>
    <w:p w14:paraId="3BF4F2E3">
      <w:pPr>
        <w:spacing w:line="360" w:lineRule="auto"/>
        <w:ind w:firstLine="600" w:firstLineChars="250"/>
        <w:rPr>
          <w:rFonts w:ascii="Times New Roman" w:hAnsi="宋体" w:eastAsia="宋体" w:cs="Times New Roman"/>
          <w:sz w:val="24"/>
        </w:rPr>
      </w:pPr>
      <w:r>
        <w:rPr>
          <w:rFonts w:hint="eastAsia" w:ascii="Times New Roman" w:hAnsi="宋体" w:eastAsia="宋体" w:cs="Times New Roman"/>
          <w:sz w:val="24"/>
        </w:rPr>
        <w:t>②以合同中规定的单价和（或）单价比率确定总包价；</w:t>
      </w:r>
    </w:p>
    <w:p w14:paraId="5A8BF2DA">
      <w:pPr>
        <w:spacing w:line="360" w:lineRule="auto"/>
        <w:ind w:firstLine="600" w:firstLineChars="250"/>
        <w:rPr>
          <w:rFonts w:ascii="Times New Roman" w:hAnsi="宋体" w:eastAsia="宋体" w:cs="Times New Roman"/>
          <w:sz w:val="24"/>
        </w:rPr>
      </w:pPr>
      <w:r>
        <w:rPr>
          <w:rFonts w:hint="eastAsia" w:ascii="Times New Roman" w:hAnsi="宋体" w:eastAsia="宋体" w:cs="Times New Roman"/>
          <w:sz w:val="24"/>
        </w:rPr>
        <w:t>③以合同约定的成本为基础确定。</w:t>
      </w:r>
    </w:p>
    <w:p w14:paraId="2C1EA5FF">
      <w:pPr>
        <w:spacing w:line="360" w:lineRule="auto"/>
        <w:ind w:firstLine="480" w:firstLineChars="200"/>
        <w:rPr>
          <w:rFonts w:ascii="Times New Roman" w:hAnsi="宋体" w:eastAsia="宋体" w:cs="Times New Roman"/>
          <w:sz w:val="24"/>
        </w:rPr>
      </w:pPr>
      <w:r>
        <w:rPr>
          <w:rFonts w:hint="eastAsia" w:ascii="Times New Roman" w:hAnsi="宋体" w:eastAsia="宋体" w:cs="Times New Roman"/>
          <w:sz w:val="24"/>
        </w:rPr>
        <w:t>（3）价款的变更应考虑到因上述变更或删减而导致乙方已履行的、不可利用的任务部分以及乙方可能从第三方获得的补偿、赔偿金额。</w:t>
      </w:r>
    </w:p>
    <w:p w14:paraId="5D6D6B8F">
      <w:pPr>
        <w:widowControl/>
        <w:spacing w:line="360" w:lineRule="auto"/>
        <w:ind w:left="480" w:hanging="480" w:hangingChars="200"/>
        <w:contextualSpacing/>
        <w:rPr>
          <w:rFonts w:ascii="宋体" w:hAnsi="宋体" w:eastAsia="宋体" w:cs="Times New Roman"/>
          <w:sz w:val="24"/>
        </w:rPr>
      </w:pPr>
      <w:r>
        <w:rPr>
          <w:rFonts w:hint="eastAsia" w:ascii="Times New Roman" w:hAnsi="Times New Roman" w:eastAsia="宋体" w:cs="Calibri"/>
          <w:sz w:val="24"/>
        </w:rPr>
        <w:t>16.5</w:t>
      </w:r>
      <w:r>
        <w:rPr>
          <w:rFonts w:hint="eastAsia" w:ascii="宋体" w:hAnsi="宋体" w:eastAsia="宋体" w:cs="Times New Roman"/>
          <w:sz w:val="24"/>
        </w:rPr>
        <w:t>如果乙方认为甲方的任何指示、指令、决定、变更要求或其他行为可能妨碍或不利于合同目的的实现，应立即书面告知甲方并说明理由和提出建议，但不得因此延迟、暂停履行任何合同义务。经甲方审查后，由甲方最终作出决定，乙方必须执行。</w:t>
      </w:r>
    </w:p>
    <w:p w14:paraId="4B35D202">
      <w:pPr>
        <w:widowControl/>
        <w:spacing w:line="360" w:lineRule="auto"/>
        <w:ind w:left="480" w:hanging="480" w:hangingChars="200"/>
        <w:contextualSpacing/>
        <w:rPr>
          <w:rFonts w:ascii="宋体" w:hAnsi="Times New Roman" w:eastAsia="宋体" w:cs="Times New Roman"/>
        </w:rPr>
      </w:pPr>
      <w:r>
        <w:rPr>
          <w:rFonts w:hint="eastAsia" w:ascii="Times New Roman" w:hAnsi="Times New Roman" w:eastAsia="宋体" w:cs="Calibri"/>
          <w:sz w:val="24"/>
        </w:rPr>
        <w:t>16.6</w:t>
      </w:r>
      <w:r>
        <w:rPr>
          <w:rFonts w:hint="eastAsia" w:ascii="宋体" w:hAnsi="宋体" w:eastAsia="宋体" w:cs="Times New Roman"/>
          <w:sz w:val="24"/>
        </w:rPr>
        <w:t>如果</w:t>
      </w:r>
      <w:r>
        <w:rPr>
          <w:rFonts w:hint="eastAsia" w:ascii="Times New Roman" w:hAnsi="Times New Roman" w:eastAsia="宋体" w:cs="Calibri"/>
          <w:sz w:val="24"/>
        </w:rPr>
        <w:t>双方</w:t>
      </w:r>
      <w:r>
        <w:rPr>
          <w:rFonts w:hint="eastAsia" w:ascii="宋体" w:hAnsi="宋体" w:eastAsia="宋体" w:cs="Times New Roman"/>
          <w:sz w:val="24"/>
        </w:rPr>
        <w:t>不能就变更建议涉及合同内容达成一致，乙方应根据甲方通知开展相关工作以保证项目进度。同时，双方应继续就上述变更建议进行协商，最终双方应在合同约定的条件下达成协议。如果乙方未能根据甲方通知开展相关工作以保证项目进度，甲方有权自行或委托第三方开展相关工作，由此产生的一切费用和后果由乙方承担。</w:t>
      </w:r>
    </w:p>
    <w:p w14:paraId="11DA86D5">
      <w:pPr>
        <w:spacing w:line="360" w:lineRule="auto"/>
        <w:ind w:firstLine="480" w:firstLineChars="200"/>
        <w:rPr>
          <w:rFonts w:ascii="宋体" w:hAnsi="宋体" w:eastAsia="宋体" w:cs="Times New Roman"/>
          <w:sz w:val="24"/>
        </w:rPr>
      </w:pPr>
    </w:p>
    <w:p w14:paraId="6300ABB0">
      <w:pPr>
        <w:keepNext/>
        <w:keepLines/>
        <w:tabs>
          <w:tab w:val="left" w:pos="465"/>
        </w:tabs>
        <w:spacing w:line="360" w:lineRule="auto"/>
        <w:jc w:val="left"/>
        <w:outlineLvl w:val="1"/>
        <w:rPr>
          <w:rFonts w:ascii="黑体" w:hAnsi="黑体" w:eastAsia="黑体" w:cs="Times New Roman"/>
          <w:b/>
          <w:bCs/>
          <w:sz w:val="24"/>
        </w:rPr>
      </w:pPr>
      <w:bookmarkStart w:id="62" w:name="_Toc359396397"/>
      <w:bookmarkStart w:id="63" w:name="_Toc15317510"/>
      <w:bookmarkStart w:id="64" w:name="_Toc466394448"/>
      <w:bookmarkStart w:id="65" w:name="_Toc466394056"/>
      <w:r>
        <w:rPr>
          <w:rFonts w:hint="eastAsia" w:ascii="黑体" w:hAnsi="黑体" w:eastAsia="黑体" w:cs="Times New Roman"/>
          <w:b/>
          <w:bCs/>
          <w:sz w:val="24"/>
        </w:rPr>
        <w:t>17.合同中止与解除</w:t>
      </w:r>
      <w:bookmarkEnd w:id="62"/>
      <w:bookmarkEnd w:id="63"/>
      <w:bookmarkEnd w:id="64"/>
      <w:bookmarkEnd w:id="65"/>
    </w:p>
    <w:p w14:paraId="09CBD9B6">
      <w:pPr>
        <w:widowControl/>
        <w:spacing w:line="360" w:lineRule="auto"/>
        <w:ind w:left="480" w:hanging="480" w:hangingChars="200"/>
        <w:contextualSpacing/>
        <w:rPr>
          <w:rFonts w:ascii="Times New Roman" w:hAnsi="Times New Roman" w:eastAsia="宋体" w:cs="Calibri"/>
          <w:sz w:val="24"/>
        </w:rPr>
      </w:pPr>
      <w:r>
        <w:rPr>
          <w:rFonts w:hint="eastAsia" w:ascii="Times New Roman" w:hAnsi="Times New Roman" w:eastAsia="宋体" w:cs="Calibri"/>
          <w:sz w:val="24"/>
        </w:rPr>
        <w:t>17.1</w:t>
      </w:r>
      <w:r>
        <w:rPr>
          <w:rFonts w:hint="eastAsia" w:ascii="宋体" w:hAnsi="宋体" w:eastAsia="宋体" w:cs="Times New Roman"/>
          <w:sz w:val="24"/>
        </w:rPr>
        <w:t>甲方可随时因任何理由通知乙方暂停合同项下的全部或部分任务，但须书面向乙方说明暂停的任务部分和暂停生效日期。乙方应自暂停生效日起停止该部分任务，但应继续履行全部未被暂停的任务。甲方可在任何时候要求恢复上述规定被暂停的全部或部分任务，并以书面形式通知乙方恢复的任务部</w:t>
      </w:r>
      <w:r>
        <w:rPr>
          <w:rFonts w:hint="eastAsia" w:ascii="Times New Roman" w:hAnsi="Times New Roman" w:eastAsia="宋体" w:cs="Calibri"/>
          <w:sz w:val="24"/>
        </w:rPr>
        <w:t>分和生效日期。</w:t>
      </w:r>
    </w:p>
    <w:p w14:paraId="2F2ADFBF">
      <w:pPr>
        <w:widowControl/>
        <w:spacing w:line="360" w:lineRule="auto"/>
        <w:ind w:left="480" w:hanging="480" w:hangingChars="200"/>
        <w:contextualSpacing/>
        <w:rPr>
          <w:rFonts w:ascii="宋体" w:hAnsi="宋体" w:eastAsia="宋体" w:cs="Times New Roman"/>
          <w:sz w:val="24"/>
        </w:rPr>
      </w:pPr>
      <w:r>
        <w:rPr>
          <w:rFonts w:hint="eastAsia" w:ascii="Times New Roman" w:hAnsi="Times New Roman" w:eastAsia="宋体" w:cs="Calibri"/>
          <w:sz w:val="24"/>
        </w:rPr>
        <w:t>17.2</w:t>
      </w:r>
      <w:r>
        <w:rPr>
          <w:rFonts w:hint="eastAsia" w:ascii="宋体" w:hAnsi="宋体" w:eastAsia="宋体" w:cs="Times New Roman"/>
          <w:sz w:val="24"/>
        </w:rPr>
        <w:t>若甲方根据本条款暂停或恢复任何工作而引起合同价款或完工日期的变化，则甲方应</w:t>
      </w:r>
      <w:r>
        <w:rPr>
          <w:rFonts w:hint="eastAsia" w:ascii="Times New Roman" w:hAnsi="Times New Roman" w:eastAsia="宋体" w:cs="Calibri"/>
          <w:sz w:val="24"/>
        </w:rPr>
        <w:t>签发</w:t>
      </w:r>
      <w:r>
        <w:rPr>
          <w:rFonts w:hint="eastAsia" w:ascii="宋体" w:hAnsi="宋体" w:eastAsia="宋体" w:cs="Times New Roman"/>
          <w:sz w:val="24"/>
        </w:rPr>
        <w:t>变更单。</w:t>
      </w:r>
    </w:p>
    <w:p w14:paraId="2F01D617">
      <w:pPr>
        <w:widowControl/>
        <w:spacing w:line="360" w:lineRule="auto"/>
        <w:ind w:left="480" w:hanging="480" w:hangingChars="200"/>
        <w:contextualSpacing/>
        <w:rPr>
          <w:rFonts w:ascii="宋体" w:hAnsi="宋体" w:eastAsia="宋体" w:cs="Times New Roman"/>
          <w:sz w:val="24"/>
        </w:rPr>
      </w:pPr>
      <w:r>
        <w:rPr>
          <w:rFonts w:ascii="Times New Roman" w:hAnsi="Times New Roman" w:eastAsia="宋体" w:cs="Calibri"/>
          <w:sz w:val="24"/>
        </w:rPr>
        <w:t>17.3</w:t>
      </w:r>
      <w:r>
        <w:rPr>
          <w:rFonts w:hint="eastAsia" w:ascii="宋体" w:hAnsi="宋体" w:eastAsia="宋体" w:cs="Times New Roman"/>
          <w:sz w:val="24"/>
        </w:rPr>
        <w:t>甲乙双方任何一方如有确切证据证明对方有下列情形之一的，可中止合同的履行：</w:t>
      </w:r>
    </w:p>
    <w:p w14:paraId="6CB58F59">
      <w:pPr>
        <w:spacing w:line="360" w:lineRule="auto"/>
        <w:ind w:firstLine="480" w:firstLineChars="200"/>
        <w:rPr>
          <w:rFonts w:ascii="Times New Roman" w:hAnsi="宋体" w:eastAsia="宋体" w:cs="Times New Roman"/>
          <w:sz w:val="24"/>
        </w:rPr>
      </w:pPr>
      <w:r>
        <w:rPr>
          <w:rFonts w:hint="eastAsia" w:ascii="Times New Roman" w:hAnsi="宋体" w:eastAsia="宋体" w:cs="Times New Roman"/>
          <w:sz w:val="24"/>
        </w:rPr>
        <w:t>（1）经营状况严重恶化；</w:t>
      </w:r>
    </w:p>
    <w:p w14:paraId="200ECD38">
      <w:pPr>
        <w:spacing w:line="360" w:lineRule="auto"/>
        <w:ind w:firstLine="480" w:firstLineChars="200"/>
        <w:rPr>
          <w:rFonts w:ascii="Times New Roman" w:hAnsi="宋体" w:eastAsia="宋体" w:cs="Times New Roman"/>
          <w:sz w:val="24"/>
        </w:rPr>
      </w:pPr>
      <w:r>
        <w:rPr>
          <w:rFonts w:hint="eastAsia" w:ascii="Times New Roman" w:hAnsi="宋体" w:eastAsia="宋体" w:cs="Times New Roman"/>
          <w:sz w:val="24"/>
        </w:rPr>
        <w:t>（2）转移财产、抽逃资金，以逃避债务；</w:t>
      </w:r>
    </w:p>
    <w:p w14:paraId="62F74ACF">
      <w:pPr>
        <w:spacing w:line="360" w:lineRule="auto"/>
        <w:ind w:firstLine="480" w:firstLineChars="200"/>
        <w:rPr>
          <w:rFonts w:ascii="Times New Roman" w:hAnsi="宋体" w:eastAsia="宋体" w:cs="Times New Roman"/>
          <w:sz w:val="24"/>
        </w:rPr>
      </w:pPr>
      <w:r>
        <w:rPr>
          <w:rFonts w:hint="eastAsia" w:ascii="Times New Roman" w:hAnsi="宋体" w:eastAsia="宋体" w:cs="Times New Roman"/>
          <w:sz w:val="24"/>
        </w:rPr>
        <w:t>（3）丧失商业信誉；</w:t>
      </w:r>
    </w:p>
    <w:p w14:paraId="0657C74B">
      <w:pPr>
        <w:spacing w:line="360" w:lineRule="auto"/>
        <w:ind w:firstLine="480" w:firstLineChars="200"/>
        <w:rPr>
          <w:rFonts w:ascii="Times New Roman" w:hAnsi="宋体" w:eastAsia="宋体" w:cs="Times New Roman"/>
          <w:sz w:val="24"/>
        </w:rPr>
      </w:pPr>
      <w:r>
        <w:rPr>
          <w:rFonts w:hint="eastAsia" w:ascii="Times New Roman" w:hAnsi="宋体" w:eastAsia="宋体" w:cs="Times New Roman"/>
          <w:sz w:val="24"/>
        </w:rPr>
        <w:t>（4）有丧失或者可能丧失履行债务能力的其他情形。</w:t>
      </w:r>
    </w:p>
    <w:p w14:paraId="233B0896">
      <w:pPr>
        <w:spacing w:line="360" w:lineRule="auto"/>
        <w:ind w:firstLine="480" w:firstLineChars="200"/>
        <w:rPr>
          <w:rFonts w:ascii="Times New Roman" w:hAnsi="宋体" w:eastAsia="宋体" w:cs="Times New Roman"/>
          <w:sz w:val="24"/>
        </w:rPr>
      </w:pPr>
      <w:r>
        <w:rPr>
          <w:rFonts w:hint="eastAsia" w:ascii="Times New Roman" w:hAnsi="宋体" w:eastAsia="宋体" w:cs="Times New Roman"/>
          <w:sz w:val="24"/>
        </w:rPr>
        <w:t>任何一方出现上述情况后，中止履行方应当及时通知对方。对方提供适当担保的，中止履行方应当恢复履行。中止履行后，对方在合理期限内未恢复履行能力并且未提供适当担保的，中止履行的一方可以解除合同。</w:t>
      </w:r>
    </w:p>
    <w:p w14:paraId="649FBA55">
      <w:pPr>
        <w:widowControl/>
        <w:spacing w:line="360" w:lineRule="auto"/>
        <w:ind w:left="480" w:hanging="480" w:hangingChars="200"/>
        <w:contextualSpacing/>
        <w:rPr>
          <w:rFonts w:ascii="宋体" w:hAnsi="宋体" w:eastAsia="宋体" w:cs="Times New Roman"/>
          <w:sz w:val="24"/>
        </w:rPr>
      </w:pPr>
      <w:bookmarkStart w:id="66" w:name="_Ref226423438"/>
      <w:r>
        <w:rPr>
          <w:rFonts w:hint="eastAsia" w:ascii="Times New Roman" w:hAnsi="Times New Roman" w:eastAsia="宋体" w:cs="Calibri"/>
          <w:sz w:val="24"/>
        </w:rPr>
        <w:t>17.4</w:t>
      </w:r>
      <w:r>
        <w:rPr>
          <w:rFonts w:ascii="宋体" w:hAnsi="宋体" w:eastAsia="宋体" w:cs="Times New Roman"/>
          <w:sz w:val="24"/>
        </w:rPr>
        <w:t>因甲方违约解除合同</w:t>
      </w:r>
    </w:p>
    <w:p w14:paraId="4CD015D9">
      <w:pPr>
        <w:spacing w:line="360" w:lineRule="auto"/>
        <w:ind w:firstLine="480" w:firstLineChars="200"/>
        <w:rPr>
          <w:rFonts w:ascii="Times New Roman" w:hAnsi="宋体" w:eastAsia="宋体" w:cs="Times New Roman"/>
          <w:sz w:val="24"/>
        </w:rPr>
      </w:pPr>
      <w:r>
        <w:rPr>
          <w:rFonts w:hint="eastAsia" w:ascii="Times New Roman" w:hAnsi="宋体" w:eastAsia="宋体" w:cs="Times New Roman"/>
          <w:sz w:val="24"/>
        </w:rPr>
        <w:t>除专用合同条款另有约定外，乙方按第14.1〔甲方违约的情形〕约定暂停技术服务15天后，甲方仍不纠正其违约行为并致使合同目的不能实现的，或出现第14.1〔甲方违约的情形〕第（4）约定的违约情况，乙方有权解除合同。</w:t>
      </w:r>
    </w:p>
    <w:p w14:paraId="53BF037F">
      <w:pPr>
        <w:widowControl/>
        <w:spacing w:line="360" w:lineRule="auto"/>
        <w:ind w:left="480" w:hanging="480" w:hangingChars="200"/>
        <w:contextualSpacing/>
        <w:rPr>
          <w:rFonts w:ascii="宋体" w:hAnsi="宋体" w:eastAsia="宋体" w:cs="Times New Roman"/>
          <w:sz w:val="24"/>
        </w:rPr>
      </w:pPr>
      <w:r>
        <w:rPr>
          <w:rFonts w:hint="eastAsia" w:ascii="Times New Roman" w:hAnsi="Times New Roman" w:eastAsia="宋体" w:cs="Calibri"/>
          <w:sz w:val="24"/>
        </w:rPr>
        <w:t>17.5</w:t>
      </w:r>
      <w:r>
        <w:rPr>
          <w:rFonts w:ascii="宋体" w:hAnsi="宋体" w:eastAsia="宋体" w:cs="Times New Roman"/>
          <w:sz w:val="24"/>
        </w:rPr>
        <w:t>因乙方违约解除合同</w:t>
      </w:r>
    </w:p>
    <w:p w14:paraId="2F030A84">
      <w:pPr>
        <w:spacing w:line="360" w:lineRule="auto"/>
        <w:ind w:firstLine="480" w:firstLineChars="200"/>
        <w:rPr>
          <w:rFonts w:ascii="Times New Roman" w:hAnsi="宋体" w:eastAsia="宋体" w:cs="Times New Roman"/>
          <w:sz w:val="24"/>
        </w:rPr>
      </w:pPr>
      <w:r>
        <w:rPr>
          <w:rFonts w:hint="eastAsia" w:ascii="Times New Roman" w:hAnsi="宋体" w:eastAsia="宋体" w:cs="Times New Roman"/>
          <w:sz w:val="24"/>
        </w:rPr>
        <w:t>除专用合同条款另有约定外，出现第14.3〔乙方违约的情形〕第（3）（4）（7）约定的违约情况时，乙方在指定的合理期限内仍不纠正违约行为，甲方有权解除合同。合同解除后，甲方为继续完成合同需求的情况下，甲方有权使用乙方在履行合同过程中的材料、设备、文件和由乙方或以其名义编制的其他文件，甲方无需支付任何费用。甲方继续使用的行为不免除或减轻乙方应承担的违约责任。甲方可要求乙方返还所有本合同项下已支付给乙方的全部款项，不再支付剩余合同款，并有权要求乙方承担违约责任；给甲方造成其他损失的，还应赔偿。</w:t>
      </w:r>
    </w:p>
    <w:bookmarkEnd w:id="66"/>
    <w:p w14:paraId="4BDEE0A4">
      <w:pPr>
        <w:widowControl/>
        <w:spacing w:line="360" w:lineRule="auto"/>
        <w:ind w:left="480" w:hanging="480" w:hangingChars="200"/>
        <w:contextualSpacing/>
        <w:rPr>
          <w:rFonts w:ascii="宋体" w:hAnsi="宋体" w:eastAsia="宋体" w:cs="Times New Roman"/>
          <w:sz w:val="24"/>
        </w:rPr>
      </w:pPr>
      <w:r>
        <w:rPr>
          <w:rFonts w:hint="eastAsia" w:ascii="Times New Roman" w:hAnsi="Times New Roman" w:eastAsia="宋体" w:cs="Calibri"/>
          <w:sz w:val="24"/>
        </w:rPr>
        <w:t>17.6</w:t>
      </w:r>
      <w:r>
        <w:rPr>
          <w:rFonts w:hint="eastAsia" w:ascii="宋体" w:hAnsi="宋体" w:eastAsia="宋体" w:cs="Times New Roman"/>
          <w:sz w:val="24"/>
        </w:rPr>
        <w:t>合同的解除并不</w:t>
      </w:r>
      <w:r>
        <w:rPr>
          <w:rFonts w:hint="eastAsia" w:ascii="Times New Roman" w:hAnsi="Times New Roman" w:eastAsia="宋体" w:cs="Calibri"/>
          <w:sz w:val="24"/>
        </w:rPr>
        <w:t>免除</w:t>
      </w:r>
      <w:r>
        <w:rPr>
          <w:rFonts w:hint="eastAsia" w:ascii="宋体" w:hAnsi="宋体" w:eastAsia="宋体" w:cs="Times New Roman"/>
          <w:sz w:val="24"/>
        </w:rPr>
        <w:t>合同项下甲乙双方的保证与违约责任，保密与知识产权条款和争议解决条款不受合同解除的影响，仍然有效。</w:t>
      </w:r>
    </w:p>
    <w:p w14:paraId="00F1E1D9">
      <w:pPr>
        <w:spacing w:line="360" w:lineRule="auto"/>
        <w:ind w:firstLine="480" w:firstLineChars="200"/>
        <w:rPr>
          <w:rFonts w:ascii="Times New Roman" w:hAnsi="宋体" w:eastAsia="宋体" w:cs="Times New Roman"/>
          <w:sz w:val="24"/>
        </w:rPr>
      </w:pPr>
    </w:p>
    <w:p w14:paraId="777E51D1">
      <w:pPr>
        <w:keepNext/>
        <w:keepLines/>
        <w:tabs>
          <w:tab w:val="left" w:pos="465"/>
        </w:tabs>
        <w:spacing w:line="360" w:lineRule="auto"/>
        <w:jc w:val="left"/>
        <w:outlineLvl w:val="1"/>
        <w:rPr>
          <w:rFonts w:ascii="黑体" w:hAnsi="黑体" w:eastAsia="黑体" w:cs="Times New Roman"/>
          <w:b/>
          <w:bCs/>
          <w:sz w:val="24"/>
        </w:rPr>
      </w:pPr>
      <w:bookmarkStart w:id="67" w:name="_Toc359396398"/>
      <w:bookmarkStart w:id="68" w:name="_Toc466394449"/>
      <w:bookmarkStart w:id="69" w:name="_Toc466394057"/>
      <w:bookmarkStart w:id="70" w:name="_Toc15317511"/>
      <w:r>
        <w:rPr>
          <w:rFonts w:hint="eastAsia" w:ascii="黑体" w:hAnsi="黑体" w:eastAsia="黑体" w:cs="Times New Roman"/>
          <w:b/>
          <w:bCs/>
          <w:sz w:val="24"/>
        </w:rPr>
        <w:t>18.法律和语言</w:t>
      </w:r>
      <w:bookmarkEnd w:id="67"/>
      <w:bookmarkEnd w:id="68"/>
      <w:bookmarkEnd w:id="69"/>
      <w:r>
        <w:rPr>
          <w:rFonts w:hint="eastAsia" w:ascii="黑体" w:hAnsi="黑体" w:eastAsia="黑体" w:cs="Times New Roman"/>
          <w:b/>
          <w:bCs/>
          <w:sz w:val="24"/>
        </w:rPr>
        <w:t>文字</w:t>
      </w:r>
      <w:bookmarkEnd w:id="70"/>
    </w:p>
    <w:p w14:paraId="25759DA9">
      <w:pPr>
        <w:widowControl/>
        <w:spacing w:line="360" w:lineRule="auto"/>
        <w:ind w:left="480" w:hanging="480" w:hangingChars="200"/>
        <w:contextualSpacing/>
        <w:rPr>
          <w:rFonts w:ascii="Times New Roman" w:hAnsi="Times New Roman" w:eastAsia="宋体" w:cs="Calibri"/>
          <w:sz w:val="24"/>
        </w:rPr>
      </w:pPr>
      <w:r>
        <w:rPr>
          <w:rFonts w:ascii="Times New Roman" w:hAnsi="Times New Roman" w:eastAsia="宋体" w:cs="Calibri"/>
          <w:sz w:val="24"/>
        </w:rPr>
        <w:t>18.1</w:t>
      </w:r>
      <w:r>
        <w:rPr>
          <w:rFonts w:ascii="Times New Roman" w:hAnsi="宋体" w:eastAsia="宋体" w:cs="Calibri"/>
          <w:sz w:val="24"/>
        </w:rPr>
        <w:t>适用于</w:t>
      </w:r>
      <w:r>
        <w:rPr>
          <w:rFonts w:ascii="Times New Roman" w:hAnsi="Times New Roman" w:eastAsia="宋体" w:cs="Calibri"/>
          <w:sz w:val="24"/>
        </w:rPr>
        <w:t>合同</w:t>
      </w:r>
      <w:r>
        <w:rPr>
          <w:rFonts w:ascii="Times New Roman" w:hAnsi="宋体" w:eastAsia="宋体" w:cs="Calibri"/>
          <w:sz w:val="24"/>
        </w:rPr>
        <w:t>的法律包括中华人民共和国法律、行政法规、部门规章，以及甲方所在地的地方性法规、条例和地方政府规章。</w:t>
      </w:r>
    </w:p>
    <w:p w14:paraId="53C20EC7">
      <w:pPr>
        <w:widowControl/>
        <w:spacing w:line="360" w:lineRule="auto"/>
        <w:ind w:left="480" w:hanging="480" w:hangingChars="200"/>
        <w:contextualSpacing/>
        <w:rPr>
          <w:rFonts w:ascii="Times New Roman" w:hAnsi="Times New Roman" w:eastAsia="宋体" w:cs="Calibri"/>
          <w:sz w:val="24"/>
        </w:rPr>
      </w:pPr>
      <w:r>
        <w:rPr>
          <w:rFonts w:ascii="Times New Roman" w:hAnsi="Times New Roman" w:eastAsia="宋体" w:cs="Calibri"/>
          <w:sz w:val="24"/>
        </w:rPr>
        <w:t>18.2</w:t>
      </w:r>
      <w:r>
        <w:rPr>
          <w:rFonts w:ascii="Times New Roman" w:hAnsi="宋体" w:eastAsia="宋体" w:cs="Calibri"/>
          <w:sz w:val="24"/>
        </w:rPr>
        <w:t>本合同适用的</w:t>
      </w:r>
      <w:r>
        <w:rPr>
          <w:rFonts w:ascii="Times New Roman" w:hAnsi="Times New Roman" w:eastAsia="宋体" w:cs="Calibri"/>
          <w:sz w:val="24"/>
        </w:rPr>
        <w:t>其他</w:t>
      </w:r>
      <w:r>
        <w:rPr>
          <w:rFonts w:ascii="Times New Roman" w:hAnsi="宋体" w:eastAsia="宋体" w:cs="Calibri"/>
          <w:sz w:val="24"/>
        </w:rPr>
        <w:t>规范性文件，可在专用合同条款中约定。</w:t>
      </w:r>
    </w:p>
    <w:p w14:paraId="4023AB27">
      <w:pPr>
        <w:widowControl/>
        <w:spacing w:line="360" w:lineRule="auto"/>
        <w:ind w:left="480" w:hanging="480" w:hangingChars="200"/>
        <w:contextualSpacing/>
        <w:rPr>
          <w:rFonts w:ascii="Times New Roman" w:hAnsi="Times New Roman" w:eastAsia="宋体" w:cs="Calibri"/>
          <w:sz w:val="24"/>
        </w:rPr>
      </w:pPr>
      <w:r>
        <w:rPr>
          <w:rFonts w:ascii="Times New Roman" w:hAnsi="Times New Roman" w:eastAsia="宋体" w:cs="Calibri"/>
          <w:sz w:val="24"/>
        </w:rPr>
        <w:t>18.3</w:t>
      </w:r>
      <w:r>
        <w:rPr>
          <w:rFonts w:ascii="Times New Roman" w:hAnsi="宋体" w:eastAsia="宋体" w:cs="Calibri"/>
          <w:sz w:val="24"/>
        </w:rPr>
        <w:t>合同适用的语言</w:t>
      </w:r>
      <w:r>
        <w:rPr>
          <w:rFonts w:ascii="Times New Roman" w:hAnsi="Times New Roman" w:eastAsia="宋体" w:cs="Calibri"/>
          <w:sz w:val="24"/>
        </w:rPr>
        <w:t>文字</w:t>
      </w:r>
      <w:r>
        <w:rPr>
          <w:rFonts w:ascii="Times New Roman" w:hAnsi="宋体" w:eastAsia="宋体" w:cs="Calibri"/>
          <w:sz w:val="24"/>
        </w:rPr>
        <w:t>为中文，以中国的汉语简体文字编写、解释和说明。合同当事人在专用合同条款中约定使用两种以上语言时，汉语为优先解释和说明合同的语言，专用术语使用外文的，有中文译名的应附有中文注释。</w:t>
      </w:r>
    </w:p>
    <w:p w14:paraId="4C712158">
      <w:pPr>
        <w:spacing w:line="360" w:lineRule="auto"/>
        <w:ind w:firstLine="480" w:firstLineChars="200"/>
        <w:rPr>
          <w:rFonts w:ascii="宋体" w:hAnsi="宋体" w:eastAsia="宋体" w:cs="Times New Roman"/>
          <w:sz w:val="24"/>
        </w:rPr>
      </w:pPr>
    </w:p>
    <w:p w14:paraId="34EB630B">
      <w:pPr>
        <w:keepNext/>
        <w:keepLines/>
        <w:tabs>
          <w:tab w:val="left" w:pos="465"/>
        </w:tabs>
        <w:spacing w:line="360" w:lineRule="auto"/>
        <w:jc w:val="left"/>
        <w:outlineLvl w:val="1"/>
        <w:rPr>
          <w:rFonts w:ascii="黑体" w:hAnsi="黑体" w:eastAsia="黑体" w:cs="Times New Roman"/>
          <w:b/>
          <w:bCs/>
          <w:sz w:val="24"/>
        </w:rPr>
      </w:pPr>
      <w:bookmarkStart w:id="71" w:name="_Toc15317512"/>
      <w:r>
        <w:rPr>
          <w:rFonts w:hint="eastAsia" w:ascii="黑体" w:hAnsi="黑体" w:eastAsia="黑体" w:cs="Times New Roman"/>
          <w:b/>
          <w:bCs/>
          <w:sz w:val="24"/>
        </w:rPr>
        <w:t>19.联络和通讯</w:t>
      </w:r>
      <w:bookmarkEnd w:id="71"/>
    </w:p>
    <w:p w14:paraId="77CEEC92">
      <w:pPr>
        <w:widowControl/>
        <w:spacing w:line="360" w:lineRule="auto"/>
        <w:ind w:left="480" w:hanging="480" w:hangingChars="200"/>
        <w:contextualSpacing/>
        <w:rPr>
          <w:rFonts w:ascii="宋体" w:hAnsi="宋体" w:eastAsia="宋体" w:cs="Times New Roman"/>
          <w:sz w:val="24"/>
        </w:rPr>
      </w:pPr>
      <w:r>
        <w:rPr>
          <w:rFonts w:hint="eastAsia" w:ascii="Times New Roman" w:hAnsi="Times New Roman" w:eastAsia="宋体" w:cs="Calibri"/>
          <w:sz w:val="24"/>
        </w:rPr>
        <w:t>19.1</w:t>
      </w:r>
      <w:r>
        <w:rPr>
          <w:rFonts w:ascii="宋体" w:hAnsi="宋体" w:eastAsia="宋体" w:cs="Times New Roman"/>
          <w:sz w:val="24"/>
        </w:rPr>
        <w:t>在本合同有效期内，双方应指定</w:t>
      </w:r>
      <w:r>
        <w:rPr>
          <w:rFonts w:hint="eastAsia" w:ascii="宋体" w:hAnsi="宋体" w:eastAsia="宋体" w:cs="Times New Roman"/>
          <w:sz w:val="24"/>
        </w:rPr>
        <w:t>项目联系</w:t>
      </w:r>
      <w:r>
        <w:rPr>
          <w:rFonts w:ascii="宋体" w:hAnsi="宋体" w:eastAsia="宋体" w:cs="Times New Roman"/>
          <w:sz w:val="24"/>
        </w:rPr>
        <w:t>人</w:t>
      </w:r>
      <w:r>
        <w:rPr>
          <w:rFonts w:hint="eastAsia" w:ascii="宋体" w:hAnsi="宋体" w:eastAsia="宋体" w:cs="Times New Roman"/>
          <w:sz w:val="24"/>
        </w:rPr>
        <w:t>和指定通讯及送达地址，以保证合同执行，见专用合同条款</w:t>
      </w:r>
      <w:r>
        <w:rPr>
          <w:rFonts w:ascii="宋体" w:hAnsi="宋体" w:eastAsia="宋体" w:cs="Times New Roman"/>
          <w:sz w:val="24"/>
        </w:rPr>
        <w:t>。</w:t>
      </w:r>
    </w:p>
    <w:p w14:paraId="34616F90">
      <w:pPr>
        <w:widowControl/>
        <w:spacing w:line="360" w:lineRule="auto"/>
        <w:ind w:left="480" w:hanging="480" w:hangingChars="200"/>
        <w:contextualSpacing/>
        <w:rPr>
          <w:rFonts w:ascii="宋体" w:hAnsi="宋体" w:eastAsia="宋体" w:cs="Times New Roman"/>
          <w:sz w:val="24"/>
        </w:rPr>
      </w:pPr>
      <w:r>
        <w:rPr>
          <w:rFonts w:hint="eastAsia" w:ascii="Times New Roman" w:hAnsi="Times New Roman" w:eastAsia="宋体" w:cs="Calibri"/>
          <w:sz w:val="24"/>
        </w:rPr>
        <w:t>19.2</w:t>
      </w:r>
      <w:r>
        <w:rPr>
          <w:rFonts w:hint="eastAsia" w:ascii="宋体" w:hAnsi="宋体" w:eastAsia="宋体" w:cs="Times New Roman"/>
          <w:sz w:val="24"/>
        </w:rPr>
        <w:t>本合同签订及执行过程中的一切联络、协调均以中文书面形式进行，如联络、协调最初以口头形式发出，也同样必须以书面确认为准。</w:t>
      </w:r>
    </w:p>
    <w:p w14:paraId="16EDEA1A">
      <w:pPr>
        <w:widowControl/>
        <w:spacing w:line="360" w:lineRule="auto"/>
        <w:ind w:left="480" w:hanging="480" w:hangingChars="200"/>
        <w:contextualSpacing/>
        <w:rPr>
          <w:rFonts w:ascii="宋体" w:hAnsi="宋体" w:eastAsia="宋体" w:cs="Times New Roman"/>
          <w:sz w:val="24"/>
        </w:rPr>
      </w:pPr>
      <w:r>
        <w:rPr>
          <w:rFonts w:hint="eastAsia" w:ascii="Times New Roman" w:hAnsi="Times New Roman" w:eastAsia="宋体" w:cs="Calibri"/>
          <w:sz w:val="24"/>
        </w:rPr>
        <w:t>19.3</w:t>
      </w:r>
      <w:r>
        <w:rPr>
          <w:rFonts w:hint="eastAsia" w:ascii="宋体" w:hAnsi="宋体" w:eastAsia="宋体" w:cs="Times New Roman"/>
          <w:sz w:val="24"/>
        </w:rPr>
        <w:t>甲乙双方就本合同中涉及各类通知、协议等文件以及就合同发生纠纷时相关文件和法律文书送达时的送达地址及法律后果作如下约定：</w:t>
      </w:r>
    </w:p>
    <w:p w14:paraId="7EF0D36C">
      <w:pPr>
        <w:spacing w:line="360" w:lineRule="auto"/>
        <w:ind w:firstLine="480" w:firstLineChars="200"/>
        <w:rPr>
          <w:rFonts w:ascii="Times New Roman" w:hAnsi="宋体" w:eastAsia="宋体" w:cs="Times New Roman"/>
          <w:sz w:val="24"/>
        </w:rPr>
      </w:pPr>
      <w:r>
        <w:rPr>
          <w:rFonts w:hint="eastAsia" w:ascii="Times New Roman" w:hAnsi="宋体" w:eastAsia="宋体" w:cs="Times New Roman"/>
          <w:sz w:val="24"/>
        </w:rPr>
        <w:t>（1）合同签章页载明的甲乙双方地址为各自指定的送达地址。</w:t>
      </w:r>
    </w:p>
    <w:p w14:paraId="63F82BC9">
      <w:pPr>
        <w:spacing w:line="360" w:lineRule="auto"/>
        <w:ind w:firstLine="480" w:firstLineChars="200"/>
        <w:rPr>
          <w:rFonts w:ascii="Times New Roman" w:hAnsi="宋体" w:eastAsia="宋体" w:cs="Times New Roman"/>
          <w:sz w:val="24"/>
        </w:rPr>
      </w:pPr>
      <w:r>
        <w:rPr>
          <w:rFonts w:hint="eastAsia" w:ascii="Times New Roman" w:hAnsi="宋体" w:eastAsia="宋体" w:cs="Times New Roman"/>
          <w:sz w:val="24"/>
        </w:rPr>
        <w:t>（2）双方该送达地址适用范围包括双方非诉时各类通知、协议等文件以及就合同发生纠纷时相关文件和法律文书的送达，同时包括在争议进入仲裁、民事诉讼程序后的一审、二审、再审和执行程序。</w:t>
      </w:r>
    </w:p>
    <w:p w14:paraId="27AA0A3F">
      <w:pPr>
        <w:spacing w:line="360" w:lineRule="auto"/>
        <w:ind w:firstLine="480" w:firstLineChars="200"/>
        <w:rPr>
          <w:rFonts w:ascii="Times New Roman" w:hAnsi="宋体" w:eastAsia="宋体" w:cs="Times New Roman"/>
          <w:sz w:val="24"/>
        </w:rPr>
      </w:pPr>
      <w:r>
        <w:rPr>
          <w:rFonts w:hint="eastAsia" w:ascii="Times New Roman" w:hAnsi="宋体" w:eastAsia="宋体" w:cs="Times New Roman"/>
          <w:sz w:val="24"/>
        </w:rPr>
        <w:t>（3）任何一方联系人或送达地址等发生变化时应提前10个工作日以书面通知对方。</w:t>
      </w:r>
    </w:p>
    <w:p w14:paraId="66C05682">
      <w:pPr>
        <w:spacing w:line="360" w:lineRule="auto"/>
        <w:ind w:firstLine="480" w:firstLineChars="200"/>
        <w:rPr>
          <w:rFonts w:ascii="Times New Roman" w:hAnsi="宋体" w:eastAsia="宋体" w:cs="Times New Roman"/>
          <w:sz w:val="24"/>
        </w:rPr>
      </w:pPr>
      <w:r>
        <w:rPr>
          <w:rFonts w:hint="eastAsia" w:ascii="Times New Roman" w:hAnsi="宋体" w:eastAsia="宋体" w:cs="Times New Roman"/>
          <w:sz w:val="24"/>
        </w:rPr>
        <w:t>（4）在仲裁及民事诉讼程序时当事人地址变更时应当向仲裁机构、法院履行送达地址变更通知义务。</w:t>
      </w:r>
    </w:p>
    <w:p w14:paraId="02EB9F28">
      <w:pPr>
        <w:spacing w:line="360" w:lineRule="auto"/>
        <w:ind w:firstLine="480" w:firstLineChars="200"/>
        <w:rPr>
          <w:rFonts w:ascii="Times New Roman" w:hAnsi="宋体" w:eastAsia="宋体" w:cs="Times New Roman"/>
          <w:sz w:val="24"/>
        </w:rPr>
      </w:pPr>
      <w:r>
        <w:rPr>
          <w:rFonts w:hint="eastAsia" w:ascii="Times New Roman" w:hAnsi="宋体" w:eastAsia="宋体" w:cs="Times New Roman"/>
          <w:sz w:val="24"/>
        </w:rPr>
        <w:t>甲乙双方未按前述方式履行通知义务，双方所确认的送达地址仍视为有效送达地址，因当事人提供或者确认的送达地址不准确、送达地址变更后未及时依程序告知对方和法院、当事人或指定的接收人拒绝签收等原因，导致法律文书未能被当事人实际接收的，邮寄送达的，以文书退回之日视为送达之日；直接送达的，送达人当场在送达回证上记明情况之日视为送达之日；履行送达地址变更通知义务的，以变更后的送达地址为有效送达地址。对于上述当事人在合同中明确约定的送达地址，法院进行送达时可直接邮寄送达，即使当事人未能收到法院邮寄送达的文书，由于其在合同中的约定，也应当视为送达。纠纷进入仲裁、民事诉讼程序后，如当事人应诉并直接向仲裁机构、法院提交送达地址确认书，该确认地址与诉前确认的送达地址不一致的，以向仲裁机构、法院提交确认的送达地址为准（该送达地址适用上述第（2）条规定的送达方式及送达的法律后果）。</w:t>
      </w:r>
    </w:p>
    <w:p w14:paraId="3FE2A38E">
      <w:pPr>
        <w:widowControl/>
        <w:spacing w:line="360" w:lineRule="auto"/>
        <w:ind w:left="480" w:hanging="480" w:hangingChars="200"/>
        <w:contextualSpacing/>
        <w:rPr>
          <w:rFonts w:ascii="Times New Roman" w:hAnsi="宋体" w:eastAsia="宋体" w:cs="Times New Roman"/>
          <w:sz w:val="24"/>
        </w:rPr>
      </w:pPr>
      <w:r>
        <w:rPr>
          <w:rFonts w:ascii="Times New Roman" w:hAnsi="Times New Roman" w:eastAsia="宋体" w:cs="Calibri"/>
          <w:sz w:val="24"/>
        </w:rPr>
        <w:t>19.4</w:t>
      </w:r>
      <w:r>
        <w:rPr>
          <w:rFonts w:ascii="宋体" w:hAnsi="宋体" w:eastAsia="宋体" w:cs="Times New Roman"/>
          <w:sz w:val="24"/>
        </w:rPr>
        <w:t>根据合同发出的</w:t>
      </w:r>
      <w:r>
        <w:rPr>
          <w:rFonts w:ascii="Times New Roman" w:hAnsi="Times New Roman" w:eastAsia="宋体" w:cs="Calibri"/>
          <w:sz w:val="24"/>
        </w:rPr>
        <w:t>通知</w:t>
      </w:r>
      <w:r>
        <w:rPr>
          <w:rFonts w:ascii="宋体" w:hAnsi="宋体" w:eastAsia="宋体" w:cs="Times New Roman"/>
          <w:sz w:val="24"/>
        </w:rPr>
        <w:t>或其他通讯均应采用书面形式，并送交至或发至根据本</w:t>
      </w:r>
      <w:r>
        <w:rPr>
          <w:rFonts w:hint="eastAsia" w:ascii="Times New Roman" w:hAnsi="宋体" w:eastAsia="宋体" w:cs="Times New Roman"/>
          <w:sz w:val="24"/>
        </w:rPr>
        <w:t>合同</w:t>
      </w:r>
      <w:r>
        <w:rPr>
          <w:rFonts w:ascii="Times New Roman" w:hAnsi="宋体" w:eastAsia="宋体" w:cs="Times New Roman"/>
          <w:sz w:val="24"/>
        </w:rPr>
        <w:t>约定的地址或传真号码</w:t>
      </w:r>
      <w:r>
        <w:rPr>
          <w:rFonts w:hint="eastAsia" w:ascii="Times New Roman" w:hAnsi="宋体" w:eastAsia="宋体" w:cs="Times New Roman"/>
          <w:sz w:val="24"/>
        </w:rPr>
        <w:t>，</w:t>
      </w:r>
      <w:r>
        <w:rPr>
          <w:rFonts w:ascii="Times New Roman" w:hAnsi="宋体" w:eastAsia="宋体" w:cs="Times New Roman"/>
          <w:sz w:val="24"/>
        </w:rPr>
        <w:t>发至有关方的任何通知或其他信息在下述情况下应视为送达：</w:t>
      </w:r>
    </w:p>
    <w:p w14:paraId="045665A0">
      <w:pPr>
        <w:spacing w:line="360" w:lineRule="auto"/>
        <w:ind w:firstLine="480" w:firstLineChars="200"/>
        <w:rPr>
          <w:rFonts w:ascii="Times New Roman" w:hAnsi="宋体" w:eastAsia="宋体" w:cs="Times New Roman"/>
          <w:sz w:val="24"/>
        </w:rPr>
      </w:pPr>
      <w:r>
        <w:rPr>
          <w:rFonts w:hint="eastAsia" w:ascii="Times New Roman" w:hAnsi="宋体" w:eastAsia="宋体" w:cs="Times New Roman"/>
          <w:sz w:val="24"/>
        </w:rPr>
        <w:t>（1</w:t>
      </w:r>
      <w:r>
        <w:rPr>
          <w:rFonts w:ascii="Times New Roman" w:hAnsi="宋体" w:eastAsia="宋体" w:cs="Times New Roman"/>
          <w:sz w:val="24"/>
        </w:rPr>
        <w:t>）若以邮寄方式发送，在发送方获得邮寄证明时；</w:t>
      </w:r>
    </w:p>
    <w:p w14:paraId="2BA83B7D">
      <w:pPr>
        <w:spacing w:line="360" w:lineRule="auto"/>
        <w:ind w:firstLine="480" w:firstLineChars="200"/>
        <w:rPr>
          <w:rFonts w:ascii="Times New Roman" w:hAnsi="宋体" w:eastAsia="宋体" w:cs="Times New Roman"/>
          <w:sz w:val="24"/>
        </w:rPr>
      </w:pPr>
      <w:r>
        <w:rPr>
          <w:rFonts w:hint="eastAsia" w:ascii="Times New Roman" w:hAnsi="宋体" w:eastAsia="宋体" w:cs="Times New Roman"/>
          <w:sz w:val="24"/>
        </w:rPr>
        <w:t>（2）若以电子邮箱发送，发送方邮箱显示发送成功时；</w:t>
      </w:r>
    </w:p>
    <w:p w14:paraId="3F3121DC">
      <w:pPr>
        <w:spacing w:line="360" w:lineRule="auto"/>
        <w:ind w:firstLine="480" w:firstLineChars="200"/>
        <w:rPr>
          <w:rFonts w:ascii="Times New Roman" w:hAnsi="宋体" w:eastAsia="宋体" w:cs="Times New Roman"/>
          <w:sz w:val="24"/>
        </w:rPr>
      </w:pPr>
      <w:r>
        <w:rPr>
          <w:rFonts w:hint="eastAsia" w:ascii="Times New Roman" w:hAnsi="宋体" w:eastAsia="宋体" w:cs="Times New Roman"/>
          <w:sz w:val="24"/>
        </w:rPr>
        <w:t>（3）</w:t>
      </w:r>
      <w:r>
        <w:rPr>
          <w:rFonts w:ascii="Times New Roman" w:hAnsi="宋体" w:eastAsia="宋体" w:cs="Times New Roman"/>
          <w:sz w:val="24"/>
        </w:rPr>
        <w:t>若以传真发送，在发出传真并收到确定已发出的传送报告后；</w:t>
      </w:r>
    </w:p>
    <w:p w14:paraId="64DAE641">
      <w:pPr>
        <w:spacing w:line="360" w:lineRule="auto"/>
        <w:ind w:firstLine="480" w:firstLineChars="200"/>
        <w:rPr>
          <w:rFonts w:ascii="Times New Roman" w:hAnsi="宋体" w:eastAsia="宋体" w:cs="Times New Roman"/>
          <w:sz w:val="24"/>
        </w:rPr>
      </w:pPr>
      <w:r>
        <w:rPr>
          <w:rFonts w:ascii="Times New Roman" w:hAnsi="宋体" w:eastAsia="宋体" w:cs="Times New Roman"/>
          <w:sz w:val="24"/>
        </w:rPr>
        <w:t>其他双方认可的方式。</w:t>
      </w:r>
    </w:p>
    <w:p w14:paraId="1C0D52CF">
      <w:pPr>
        <w:spacing w:line="360" w:lineRule="auto"/>
        <w:ind w:firstLine="420" w:firstLineChars="200"/>
        <w:rPr>
          <w:rFonts w:ascii="Times New Roman" w:hAnsi="Times New Roman" w:eastAsia="宋体" w:cs="Times New Roman"/>
        </w:rPr>
      </w:pPr>
    </w:p>
    <w:p w14:paraId="32BC5424">
      <w:pPr>
        <w:keepNext/>
        <w:keepLines/>
        <w:tabs>
          <w:tab w:val="left" w:pos="465"/>
        </w:tabs>
        <w:spacing w:line="360" w:lineRule="auto"/>
        <w:jc w:val="left"/>
        <w:outlineLvl w:val="1"/>
        <w:rPr>
          <w:rFonts w:ascii="黑体" w:hAnsi="黑体" w:eastAsia="黑体" w:cs="Times New Roman"/>
          <w:b/>
          <w:bCs/>
          <w:sz w:val="24"/>
        </w:rPr>
      </w:pPr>
      <w:bookmarkStart w:id="72" w:name="_Toc15317513"/>
      <w:r>
        <w:rPr>
          <w:rFonts w:hint="eastAsia" w:ascii="黑体" w:hAnsi="黑体" w:eastAsia="黑体" w:cs="Times New Roman"/>
          <w:b/>
          <w:bCs/>
          <w:sz w:val="24"/>
        </w:rPr>
        <w:t>20.保密</w:t>
      </w:r>
      <w:bookmarkEnd w:id="72"/>
    </w:p>
    <w:p w14:paraId="5282A495">
      <w:pPr>
        <w:widowControl/>
        <w:spacing w:line="360" w:lineRule="auto"/>
        <w:ind w:left="480" w:hanging="480" w:hangingChars="200"/>
        <w:contextualSpacing/>
        <w:rPr>
          <w:rFonts w:ascii="Times New Roman" w:hAnsi="Times New Roman" w:eastAsia="宋体" w:cs="Calibri"/>
          <w:sz w:val="24"/>
        </w:rPr>
      </w:pPr>
      <w:r>
        <w:rPr>
          <w:rFonts w:ascii="Times New Roman" w:hAnsi="Times New Roman" w:eastAsia="宋体" w:cs="Calibri"/>
          <w:sz w:val="24"/>
        </w:rPr>
        <w:t>20.1</w:t>
      </w:r>
      <w:r>
        <w:rPr>
          <w:rFonts w:ascii="Times New Roman" w:hAnsi="宋体" w:eastAsia="宋体" w:cs="Calibri"/>
          <w:sz w:val="24"/>
        </w:rPr>
        <w:t>双方</w:t>
      </w:r>
      <w:r>
        <w:rPr>
          <w:rFonts w:ascii="Times New Roman" w:hAnsi="Times New Roman" w:eastAsia="宋体" w:cs="Calibri"/>
          <w:sz w:val="24"/>
        </w:rPr>
        <w:t>应对</w:t>
      </w:r>
      <w:r>
        <w:rPr>
          <w:rFonts w:ascii="Times New Roman" w:hAnsi="宋体" w:eastAsia="宋体" w:cs="Calibri"/>
          <w:sz w:val="24"/>
        </w:rPr>
        <w:t>因履行合同而取得的另一方当事人的信息、资料等予以保密，未经另一方书面同意，任何一方均不得为与履行合同无关的目的使用或向第三方披露另一方提供的信息、资料。若信息、资料等内容涉及国家秘密或甲方商业秘密，乙方还必须遵守合同附件中保密协议的要求，本项目的密级</w:t>
      </w:r>
      <w:r>
        <w:rPr>
          <w:rFonts w:hint="eastAsia" w:ascii="Times New Roman" w:hAnsi="宋体" w:eastAsia="宋体" w:cs="Calibri"/>
          <w:sz w:val="24"/>
        </w:rPr>
        <w:t>和具体涉密事项</w:t>
      </w:r>
      <w:r>
        <w:rPr>
          <w:rFonts w:ascii="Times New Roman" w:hAnsi="宋体" w:eastAsia="宋体" w:cs="Calibri"/>
          <w:sz w:val="24"/>
        </w:rPr>
        <w:t>见专用合同条款。</w:t>
      </w:r>
    </w:p>
    <w:p w14:paraId="36D9D3D0">
      <w:pPr>
        <w:widowControl/>
        <w:spacing w:line="360" w:lineRule="auto"/>
        <w:ind w:left="480" w:hanging="480" w:hangingChars="200"/>
        <w:contextualSpacing/>
        <w:rPr>
          <w:rFonts w:ascii="Times New Roman" w:hAnsi="Times New Roman" w:eastAsia="宋体" w:cs="Calibri"/>
          <w:sz w:val="24"/>
        </w:rPr>
      </w:pPr>
      <w:r>
        <w:rPr>
          <w:rFonts w:ascii="Times New Roman" w:hAnsi="Times New Roman" w:eastAsia="宋体" w:cs="Calibri"/>
          <w:sz w:val="24"/>
        </w:rPr>
        <w:t>20.2</w:t>
      </w:r>
      <w:r>
        <w:rPr>
          <w:rFonts w:ascii="Times New Roman" w:hAnsi="宋体" w:eastAsia="宋体" w:cs="Calibri"/>
          <w:sz w:val="24"/>
        </w:rPr>
        <w:t>为本合同之目的，保密信息包括但不限于以下信息：</w:t>
      </w:r>
    </w:p>
    <w:p w14:paraId="6730586E">
      <w:pPr>
        <w:spacing w:line="360" w:lineRule="auto"/>
        <w:ind w:firstLine="480" w:firstLineChars="200"/>
        <w:rPr>
          <w:rFonts w:ascii="Times New Roman" w:hAnsi="宋体" w:eastAsia="宋体" w:cs="Times New Roman"/>
          <w:sz w:val="24"/>
        </w:rPr>
      </w:pPr>
      <w:r>
        <w:rPr>
          <w:rFonts w:hint="eastAsia" w:ascii="Times New Roman" w:hAnsi="宋体" w:eastAsia="宋体" w:cs="Times New Roman"/>
          <w:sz w:val="24"/>
        </w:rPr>
        <w:t>（1）本合同的条款；</w:t>
      </w:r>
    </w:p>
    <w:p w14:paraId="39989C8C">
      <w:pPr>
        <w:spacing w:line="360" w:lineRule="auto"/>
        <w:ind w:firstLine="480" w:firstLineChars="200"/>
        <w:rPr>
          <w:rFonts w:ascii="Times New Roman" w:hAnsi="宋体" w:eastAsia="宋体" w:cs="Times New Roman"/>
          <w:sz w:val="24"/>
        </w:rPr>
      </w:pPr>
      <w:r>
        <w:rPr>
          <w:rFonts w:hint="eastAsia" w:ascii="Times New Roman" w:hAnsi="宋体" w:eastAsia="宋体" w:cs="Times New Roman"/>
          <w:sz w:val="24"/>
        </w:rPr>
        <w:t>（2）工作成果；</w:t>
      </w:r>
    </w:p>
    <w:p w14:paraId="154F2148">
      <w:pPr>
        <w:spacing w:line="360" w:lineRule="auto"/>
        <w:ind w:firstLine="480" w:firstLineChars="200"/>
        <w:rPr>
          <w:rFonts w:ascii="Times New Roman" w:hAnsi="宋体" w:eastAsia="宋体" w:cs="Times New Roman"/>
          <w:sz w:val="24"/>
        </w:rPr>
      </w:pPr>
      <w:r>
        <w:rPr>
          <w:rFonts w:hint="eastAsia" w:ascii="Times New Roman" w:hAnsi="宋体" w:eastAsia="宋体" w:cs="Times New Roman"/>
          <w:sz w:val="24"/>
        </w:rPr>
        <w:t>（3）双方为本合同提供的一切涉及国家秘密或商业秘密的材料；</w:t>
      </w:r>
    </w:p>
    <w:p w14:paraId="7212E108">
      <w:pPr>
        <w:spacing w:line="360" w:lineRule="auto"/>
        <w:ind w:firstLine="480" w:firstLineChars="200"/>
        <w:rPr>
          <w:rFonts w:ascii="Times New Roman" w:hAnsi="宋体" w:eastAsia="宋体" w:cs="Times New Roman"/>
          <w:sz w:val="24"/>
        </w:rPr>
      </w:pPr>
      <w:r>
        <w:rPr>
          <w:rFonts w:hint="eastAsia" w:ascii="Times New Roman" w:hAnsi="宋体" w:eastAsia="宋体" w:cs="Times New Roman"/>
          <w:sz w:val="24"/>
        </w:rPr>
        <w:t>（4）一方在另一方接触之前特别指定为保密的口头和书面信息；</w:t>
      </w:r>
    </w:p>
    <w:p w14:paraId="1C701303">
      <w:pPr>
        <w:spacing w:line="360" w:lineRule="auto"/>
        <w:ind w:firstLine="480" w:firstLineChars="200"/>
        <w:rPr>
          <w:rFonts w:ascii="Times New Roman" w:hAnsi="宋体" w:eastAsia="宋体" w:cs="Times New Roman"/>
          <w:sz w:val="24"/>
        </w:rPr>
      </w:pPr>
      <w:r>
        <w:rPr>
          <w:rFonts w:hint="eastAsia" w:ascii="Times New Roman" w:hAnsi="宋体" w:eastAsia="宋体" w:cs="Times New Roman"/>
          <w:sz w:val="24"/>
        </w:rPr>
        <w:t>（5）依一方要求或惯例或规定应被视为保密的信息。</w:t>
      </w:r>
    </w:p>
    <w:p w14:paraId="1FA941E2">
      <w:pPr>
        <w:widowControl/>
        <w:spacing w:line="360" w:lineRule="auto"/>
        <w:ind w:left="480" w:hanging="480" w:hangingChars="200"/>
        <w:contextualSpacing/>
        <w:rPr>
          <w:rFonts w:ascii="宋体" w:hAnsi="宋体" w:eastAsia="宋体" w:cs="Times New Roman"/>
          <w:sz w:val="24"/>
        </w:rPr>
      </w:pPr>
      <w:r>
        <w:rPr>
          <w:rFonts w:ascii="Times New Roman" w:hAnsi="Times New Roman" w:eastAsia="宋体" w:cs="Calibri"/>
          <w:sz w:val="24"/>
        </w:rPr>
        <w:t>20.3</w:t>
      </w:r>
      <w:r>
        <w:rPr>
          <w:rFonts w:hint="eastAsia" w:ascii="宋体" w:hAnsi="宋体" w:eastAsia="宋体" w:cs="Times New Roman"/>
          <w:sz w:val="24"/>
        </w:rPr>
        <w:t>保密</w:t>
      </w:r>
      <w:r>
        <w:rPr>
          <w:rFonts w:hint="eastAsia" w:ascii="Times New Roman" w:hAnsi="Times New Roman" w:eastAsia="宋体" w:cs="Calibri"/>
          <w:sz w:val="24"/>
        </w:rPr>
        <w:t>规定</w:t>
      </w:r>
      <w:r>
        <w:rPr>
          <w:rFonts w:hint="eastAsia" w:ascii="宋体" w:hAnsi="宋体" w:eastAsia="宋体" w:cs="Times New Roman"/>
          <w:sz w:val="24"/>
        </w:rPr>
        <w:t>：</w:t>
      </w:r>
    </w:p>
    <w:p w14:paraId="3BD031F8">
      <w:pPr>
        <w:spacing w:line="360" w:lineRule="auto"/>
        <w:ind w:firstLine="480" w:firstLineChars="200"/>
        <w:rPr>
          <w:rFonts w:ascii="Times New Roman" w:hAnsi="宋体" w:eastAsia="宋体" w:cs="Times New Roman"/>
          <w:sz w:val="24"/>
        </w:rPr>
      </w:pPr>
      <w:r>
        <w:rPr>
          <w:rFonts w:hint="eastAsia" w:ascii="Times New Roman" w:hAnsi="宋体" w:eastAsia="宋体" w:cs="Times New Roman"/>
          <w:sz w:val="24"/>
        </w:rPr>
        <w:t>（1）双方对保密信息应履行保密义务；</w:t>
      </w:r>
    </w:p>
    <w:p w14:paraId="0229992E">
      <w:pPr>
        <w:spacing w:line="360" w:lineRule="auto"/>
        <w:ind w:firstLine="480" w:firstLineChars="200"/>
        <w:rPr>
          <w:rFonts w:ascii="Times New Roman" w:hAnsi="宋体" w:eastAsia="宋体" w:cs="Times New Roman"/>
          <w:sz w:val="24"/>
        </w:rPr>
      </w:pPr>
      <w:r>
        <w:rPr>
          <w:rFonts w:hint="eastAsia" w:ascii="Times New Roman" w:hAnsi="宋体" w:eastAsia="宋体" w:cs="Times New Roman"/>
          <w:sz w:val="24"/>
        </w:rPr>
        <w:t>（2）除为执行本合同的需要而必须知悉相关信息的乙方员工以及合同中已有明确规定的其他情况外，合同双方的任何一方在未得到另一方的书面同意前，不得将保密信息泄漏给任何人。</w:t>
      </w:r>
    </w:p>
    <w:p w14:paraId="50FF7423">
      <w:pPr>
        <w:spacing w:line="360" w:lineRule="auto"/>
        <w:ind w:firstLine="480" w:firstLineChars="200"/>
        <w:rPr>
          <w:rFonts w:ascii="Times New Roman" w:hAnsi="宋体" w:eastAsia="宋体" w:cs="Times New Roman"/>
          <w:sz w:val="24"/>
        </w:rPr>
      </w:pPr>
      <w:r>
        <w:rPr>
          <w:rFonts w:hint="eastAsia" w:ascii="Times New Roman" w:hAnsi="宋体" w:eastAsia="宋体" w:cs="Times New Roman"/>
          <w:sz w:val="24"/>
        </w:rPr>
        <w:t>（3）任何一方违反本合同的保密义务，另一方有权追究违约方责任并要求赔偿损失。</w:t>
      </w:r>
    </w:p>
    <w:p w14:paraId="28584C0B">
      <w:pPr>
        <w:spacing w:line="360" w:lineRule="auto"/>
        <w:ind w:firstLine="480" w:firstLineChars="200"/>
        <w:rPr>
          <w:rFonts w:ascii="Times New Roman" w:hAnsi="宋体" w:eastAsia="宋体" w:cs="Times New Roman"/>
          <w:sz w:val="24"/>
        </w:rPr>
      </w:pPr>
      <w:r>
        <w:rPr>
          <w:rFonts w:hint="eastAsia" w:ascii="Times New Roman" w:hAnsi="宋体" w:eastAsia="宋体" w:cs="Times New Roman"/>
          <w:sz w:val="24"/>
        </w:rPr>
        <w:t>（4）双方在本合同下的保密义务，在本合同终止后仍持续有效。</w:t>
      </w:r>
    </w:p>
    <w:p w14:paraId="23D31B7A">
      <w:pPr>
        <w:spacing w:line="360" w:lineRule="auto"/>
        <w:ind w:firstLine="480" w:firstLineChars="200"/>
        <w:rPr>
          <w:rFonts w:ascii="宋体" w:hAnsi="宋体" w:eastAsia="宋体" w:cs="Times New Roman"/>
          <w:sz w:val="24"/>
        </w:rPr>
      </w:pPr>
    </w:p>
    <w:p w14:paraId="233565FC">
      <w:pPr>
        <w:keepNext/>
        <w:keepLines/>
        <w:tabs>
          <w:tab w:val="left" w:pos="465"/>
        </w:tabs>
        <w:spacing w:line="360" w:lineRule="auto"/>
        <w:jc w:val="left"/>
        <w:outlineLvl w:val="1"/>
        <w:rPr>
          <w:rFonts w:ascii="黑体" w:hAnsi="黑体" w:eastAsia="黑体" w:cs="Times New Roman"/>
          <w:b/>
          <w:bCs/>
          <w:sz w:val="24"/>
        </w:rPr>
      </w:pPr>
      <w:bookmarkStart w:id="73" w:name="_Toc15317514"/>
      <w:r>
        <w:rPr>
          <w:rFonts w:hint="eastAsia" w:ascii="黑体" w:hAnsi="黑体" w:eastAsia="黑体" w:cs="Times New Roman"/>
          <w:b/>
          <w:bCs/>
          <w:sz w:val="24"/>
        </w:rPr>
        <w:t>21.廉洁协议</w:t>
      </w:r>
      <w:bookmarkEnd w:id="73"/>
    </w:p>
    <w:p w14:paraId="41C1AD53">
      <w:pPr>
        <w:spacing w:line="360" w:lineRule="auto"/>
        <w:ind w:firstLine="480" w:firstLineChars="200"/>
        <w:rPr>
          <w:rFonts w:ascii="宋体" w:hAnsi="宋体" w:eastAsia="宋体" w:cs="Times New Roman"/>
          <w:bCs/>
          <w:sz w:val="24"/>
        </w:rPr>
      </w:pPr>
      <w:r>
        <w:rPr>
          <w:rFonts w:hint="eastAsia" w:ascii="宋体" w:hAnsi="宋体" w:eastAsia="宋体" w:cs="Times New Roman"/>
          <w:bCs/>
          <w:sz w:val="24"/>
        </w:rPr>
        <w:t>甲乙双方应严格遵守本合同附件采购廉洁协议书的约定。</w:t>
      </w:r>
    </w:p>
    <w:p w14:paraId="0338D0CA">
      <w:pPr>
        <w:spacing w:line="360" w:lineRule="auto"/>
        <w:ind w:firstLine="480" w:firstLineChars="200"/>
        <w:rPr>
          <w:rFonts w:ascii="Times New Roman" w:hAnsi="宋体" w:eastAsia="宋体" w:cs="Times New Roman"/>
          <w:sz w:val="24"/>
        </w:rPr>
      </w:pPr>
    </w:p>
    <w:p w14:paraId="69F67AF1">
      <w:pPr>
        <w:keepNext/>
        <w:keepLines/>
        <w:spacing w:line="360" w:lineRule="auto"/>
        <w:jc w:val="left"/>
        <w:outlineLvl w:val="1"/>
        <w:rPr>
          <w:rFonts w:ascii="黑体" w:hAnsi="黑体" w:eastAsia="黑体" w:cs="Times New Roman"/>
          <w:b/>
          <w:bCs/>
          <w:sz w:val="24"/>
        </w:rPr>
      </w:pPr>
      <w:bookmarkStart w:id="74" w:name="_Toc359396399"/>
      <w:bookmarkStart w:id="75" w:name="_Toc466394058"/>
      <w:bookmarkStart w:id="76" w:name="_Toc15317515"/>
      <w:bookmarkStart w:id="77" w:name="_Toc466394450"/>
      <w:r>
        <w:rPr>
          <w:rFonts w:hint="eastAsia" w:ascii="黑体" w:hAnsi="黑体" w:eastAsia="黑体" w:cs="Times New Roman"/>
          <w:b/>
          <w:bCs/>
          <w:sz w:val="24"/>
        </w:rPr>
        <w:t>22.争议的解决</w:t>
      </w:r>
      <w:bookmarkEnd w:id="74"/>
      <w:bookmarkEnd w:id="75"/>
      <w:bookmarkEnd w:id="76"/>
      <w:bookmarkEnd w:id="77"/>
      <w:bookmarkStart w:id="78" w:name="_Toc520795751"/>
      <w:bookmarkEnd w:id="78"/>
      <w:bookmarkStart w:id="79" w:name="_Toc520796162"/>
      <w:bookmarkEnd w:id="79"/>
      <w:bookmarkStart w:id="80" w:name="_Toc519522993"/>
      <w:bookmarkEnd w:id="80"/>
      <w:bookmarkStart w:id="81" w:name="_Toc518498958"/>
      <w:bookmarkEnd w:id="81"/>
      <w:bookmarkStart w:id="82" w:name="_Toc518552827"/>
      <w:bookmarkEnd w:id="82"/>
      <w:bookmarkStart w:id="83" w:name="_Toc518985501"/>
      <w:bookmarkEnd w:id="83"/>
      <w:bookmarkStart w:id="84" w:name="_Toc519522992"/>
      <w:bookmarkEnd w:id="84"/>
      <w:bookmarkStart w:id="85" w:name="_Toc520796148"/>
      <w:bookmarkEnd w:id="85"/>
      <w:bookmarkStart w:id="86" w:name="_Toc519523004"/>
      <w:bookmarkEnd w:id="86"/>
      <w:bookmarkStart w:id="87" w:name="_Toc519523012"/>
      <w:bookmarkEnd w:id="87"/>
      <w:bookmarkStart w:id="88" w:name="_Toc519278971"/>
      <w:bookmarkEnd w:id="88"/>
      <w:bookmarkStart w:id="89" w:name="_Toc519523006"/>
      <w:bookmarkEnd w:id="89"/>
      <w:bookmarkStart w:id="90" w:name="_Toc518552841"/>
      <w:bookmarkEnd w:id="90"/>
      <w:bookmarkStart w:id="91" w:name="_Toc518552908"/>
      <w:bookmarkEnd w:id="91"/>
      <w:bookmarkStart w:id="92" w:name="_Toc518985495"/>
      <w:bookmarkEnd w:id="92"/>
      <w:bookmarkStart w:id="93" w:name="_Toc518499274"/>
      <w:bookmarkEnd w:id="93"/>
      <w:bookmarkStart w:id="94" w:name="_Toc519278973"/>
      <w:bookmarkEnd w:id="94"/>
      <w:bookmarkStart w:id="95" w:name="_Toc520796143"/>
      <w:bookmarkEnd w:id="95"/>
      <w:bookmarkStart w:id="96" w:name="_Toc518985187"/>
      <w:bookmarkEnd w:id="96"/>
      <w:bookmarkStart w:id="97" w:name="_Toc518985200"/>
      <w:bookmarkEnd w:id="97"/>
      <w:bookmarkStart w:id="98" w:name="_Toc518552927"/>
      <w:bookmarkEnd w:id="98"/>
      <w:bookmarkStart w:id="99" w:name="_Toc518552839"/>
      <w:bookmarkEnd w:id="99"/>
      <w:bookmarkStart w:id="100" w:name="_Toc518985493"/>
      <w:bookmarkEnd w:id="100"/>
      <w:bookmarkStart w:id="101" w:name="_Toc518985482"/>
      <w:bookmarkEnd w:id="101"/>
      <w:bookmarkStart w:id="102" w:name="_Toc519278979"/>
      <w:bookmarkEnd w:id="102"/>
      <w:bookmarkStart w:id="103" w:name="_Toc520795749"/>
      <w:bookmarkEnd w:id="103"/>
      <w:bookmarkStart w:id="104" w:name="_Toc518984640"/>
      <w:bookmarkEnd w:id="104"/>
      <w:bookmarkStart w:id="105" w:name="_Toc519522998"/>
      <w:bookmarkEnd w:id="105"/>
      <w:bookmarkStart w:id="106" w:name="_Toc518499262"/>
      <w:bookmarkEnd w:id="106"/>
      <w:bookmarkStart w:id="107" w:name="_Toc518552913"/>
      <w:bookmarkEnd w:id="107"/>
      <w:bookmarkStart w:id="108" w:name="_Toc518984639"/>
      <w:bookmarkEnd w:id="108"/>
      <w:bookmarkStart w:id="109" w:name="_Toc518499276"/>
      <w:bookmarkEnd w:id="109"/>
      <w:bookmarkStart w:id="110" w:name="_Toc518498971"/>
      <w:bookmarkEnd w:id="110"/>
      <w:bookmarkStart w:id="111" w:name="_Toc518985487"/>
      <w:bookmarkEnd w:id="111"/>
      <w:bookmarkStart w:id="112" w:name="_Toc518552921"/>
      <w:bookmarkEnd w:id="112"/>
      <w:bookmarkStart w:id="113" w:name="_Toc518984653"/>
      <w:bookmarkEnd w:id="113"/>
      <w:bookmarkStart w:id="114" w:name="_Toc518498963"/>
      <w:bookmarkEnd w:id="114"/>
      <w:bookmarkStart w:id="115" w:name="_Toc518552907"/>
      <w:bookmarkEnd w:id="115"/>
      <w:bookmarkStart w:id="116" w:name="_Toc520796154"/>
      <w:bookmarkEnd w:id="116"/>
      <w:bookmarkStart w:id="117" w:name="_Toc518984651"/>
      <w:bookmarkEnd w:id="117"/>
      <w:bookmarkStart w:id="118" w:name="_Toc518552828"/>
      <w:bookmarkEnd w:id="118"/>
      <w:bookmarkStart w:id="119" w:name="_Toc520796156"/>
      <w:bookmarkEnd w:id="119"/>
      <w:bookmarkStart w:id="120" w:name="_Toc518985198"/>
      <w:bookmarkEnd w:id="120"/>
      <w:bookmarkStart w:id="121" w:name="_Toc518985481"/>
      <w:bookmarkEnd w:id="121"/>
      <w:bookmarkStart w:id="122" w:name="_Toc520795757"/>
      <w:bookmarkEnd w:id="122"/>
      <w:bookmarkStart w:id="123" w:name="_Toc518498957"/>
      <w:bookmarkEnd w:id="123"/>
      <w:bookmarkStart w:id="124" w:name="_Toc519278959"/>
      <w:bookmarkEnd w:id="124"/>
      <w:bookmarkStart w:id="125" w:name="_Toc518984645"/>
      <w:bookmarkEnd w:id="125"/>
      <w:bookmarkStart w:id="126" w:name="_Toc520795737"/>
      <w:bookmarkEnd w:id="126"/>
      <w:bookmarkStart w:id="127" w:name="_Toc518552847"/>
      <w:bookmarkEnd w:id="127"/>
      <w:bookmarkStart w:id="128" w:name="_Toc518984659"/>
      <w:bookmarkEnd w:id="128"/>
      <w:bookmarkStart w:id="129" w:name="_Toc518552919"/>
      <w:bookmarkEnd w:id="129"/>
      <w:bookmarkStart w:id="130" w:name="_Toc518499282"/>
      <w:bookmarkEnd w:id="130"/>
      <w:bookmarkStart w:id="131" w:name="_Toc520795743"/>
      <w:bookmarkEnd w:id="131"/>
      <w:bookmarkStart w:id="132" w:name="_Toc518985206"/>
      <w:bookmarkEnd w:id="132"/>
      <w:bookmarkStart w:id="133" w:name="_Toc518985186"/>
      <w:bookmarkEnd w:id="133"/>
      <w:bookmarkStart w:id="134" w:name="_Toc520795738"/>
      <w:bookmarkEnd w:id="134"/>
      <w:bookmarkStart w:id="135" w:name="_Toc518985192"/>
      <w:bookmarkEnd w:id="135"/>
      <w:bookmarkStart w:id="136" w:name="_Toc518498969"/>
      <w:bookmarkEnd w:id="136"/>
      <w:bookmarkStart w:id="137" w:name="_Toc520796142"/>
      <w:bookmarkEnd w:id="137"/>
      <w:bookmarkStart w:id="138" w:name="_Toc518552833"/>
      <w:bookmarkEnd w:id="138"/>
      <w:bookmarkStart w:id="139" w:name="_Toc518498977"/>
      <w:bookmarkEnd w:id="139"/>
      <w:bookmarkStart w:id="140" w:name="_Toc518499263"/>
      <w:bookmarkEnd w:id="140"/>
      <w:bookmarkStart w:id="141" w:name="_Toc519278965"/>
      <w:bookmarkEnd w:id="141"/>
      <w:bookmarkStart w:id="142" w:name="_Toc519278960"/>
      <w:bookmarkEnd w:id="142"/>
      <w:bookmarkStart w:id="143" w:name="_Toc518499268"/>
      <w:bookmarkEnd w:id="143"/>
    </w:p>
    <w:p w14:paraId="2FE77BE7">
      <w:pPr>
        <w:widowControl/>
        <w:spacing w:line="360" w:lineRule="auto"/>
        <w:ind w:left="480" w:hanging="480" w:hangingChars="200"/>
        <w:contextualSpacing/>
        <w:rPr>
          <w:rFonts w:ascii="Times New Roman" w:hAnsi="Times New Roman" w:eastAsia="宋体" w:cs="Calibri"/>
          <w:bCs/>
          <w:sz w:val="24"/>
        </w:rPr>
      </w:pPr>
      <w:r>
        <w:rPr>
          <w:rFonts w:ascii="Times New Roman" w:hAnsi="Times New Roman" w:eastAsia="宋体" w:cs="Calibri"/>
          <w:bCs/>
          <w:sz w:val="24"/>
        </w:rPr>
        <w:t>22.1</w:t>
      </w:r>
      <w:r>
        <w:rPr>
          <w:rFonts w:ascii="Times New Roman" w:hAnsi="宋体" w:eastAsia="宋体" w:cs="Calibri"/>
          <w:bCs/>
          <w:sz w:val="24"/>
        </w:rPr>
        <w:t>由本合同引起的或与执行本合同有关的一切争议，应通过双方友好协商解决。协商</w:t>
      </w:r>
      <w:r>
        <w:rPr>
          <w:rFonts w:ascii="Times New Roman" w:hAnsi="Times New Roman" w:eastAsia="宋体" w:cs="Calibri"/>
          <w:sz w:val="24"/>
        </w:rPr>
        <w:t>不成</w:t>
      </w:r>
      <w:r>
        <w:rPr>
          <w:rFonts w:ascii="Times New Roman" w:hAnsi="宋体" w:eastAsia="宋体" w:cs="Calibri"/>
          <w:bCs/>
          <w:sz w:val="24"/>
        </w:rPr>
        <w:t>的，</w:t>
      </w:r>
      <w:r>
        <w:rPr>
          <w:rFonts w:ascii="Times New Roman" w:hAnsi="宋体" w:eastAsia="宋体" w:cs="Calibri"/>
          <w:sz w:val="24"/>
        </w:rPr>
        <w:t>任何一方可以向甲方所在地法院提起诉讼。</w:t>
      </w:r>
    </w:p>
    <w:p w14:paraId="572AB59B">
      <w:pPr>
        <w:widowControl/>
        <w:spacing w:line="360" w:lineRule="auto"/>
        <w:ind w:left="480" w:hanging="480" w:hangingChars="200"/>
        <w:contextualSpacing/>
        <w:rPr>
          <w:rFonts w:ascii="宋体" w:hAnsi="宋体" w:eastAsia="宋体" w:cs="Times New Roman"/>
          <w:bCs/>
          <w:sz w:val="24"/>
        </w:rPr>
      </w:pPr>
      <w:r>
        <w:rPr>
          <w:rFonts w:ascii="Times New Roman" w:hAnsi="Times New Roman" w:eastAsia="宋体" w:cs="Calibri"/>
          <w:bCs/>
          <w:sz w:val="24"/>
        </w:rPr>
        <w:t>22.2</w:t>
      </w:r>
      <w:r>
        <w:rPr>
          <w:rFonts w:ascii="Times New Roman" w:hAnsi="宋体" w:eastAsia="宋体" w:cs="Calibri"/>
          <w:bCs/>
          <w:sz w:val="24"/>
        </w:rPr>
        <w:t>诉讼</w:t>
      </w:r>
      <w:r>
        <w:rPr>
          <w:rFonts w:ascii="Times New Roman" w:hAnsi="Times New Roman" w:eastAsia="宋体" w:cs="Calibri"/>
          <w:sz w:val="24"/>
        </w:rPr>
        <w:t>过程</w:t>
      </w:r>
      <w:r>
        <w:rPr>
          <w:rFonts w:ascii="宋体" w:hAnsi="宋体" w:eastAsia="宋体" w:cs="Times New Roman"/>
          <w:bCs/>
          <w:sz w:val="24"/>
        </w:rPr>
        <w:t>中，除正在诉讼的部分外，双方仍应继续履行各自的合同义务。</w:t>
      </w:r>
    </w:p>
    <w:p w14:paraId="412785C0">
      <w:pPr>
        <w:spacing w:line="360" w:lineRule="auto"/>
        <w:ind w:firstLine="480" w:firstLineChars="200"/>
        <w:rPr>
          <w:rFonts w:ascii="宋体" w:hAnsi="宋体" w:eastAsia="宋体" w:cs="Times New Roman"/>
          <w:bCs/>
          <w:sz w:val="24"/>
        </w:rPr>
      </w:pPr>
    </w:p>
    <w:p w14:paraId="01005834">
      <w:pPr>
        <w:keepNext/>
        <w:keepLines/>
        <w:tabs>
          <w:tab w:val="left" w:pos="465"/>
        </w:tabs>
        <w:spacing w:line="360" w:lineRule="auto"/>
        <w:jc w:val="left"/>
        <w:outlineLvl w:val="1"/>
        <w:rPr>
          <w:rFonts w:ascii="黑体" w:hAnsi="黑体" w:eastAsia="黑体" w:cs="Times New Roman"/>
          <w:b/>
          <w:bCs/>
          <w:sz w:val="24"/>
        </w:rPr>
      </w:pPr>
      <w:bookmarkStart w:id="144" w:name="_Toc15317516"/>
      <w:r>
        <w:rPr>
          <w:rFonts w:hint="eastAsia" w:ascii="黑体" w:hAnsi="黑体" w:eastAsia="黑体" w:cs="Times New Roman"/>
          <w:b/>
          <w:bCs/>
          <w:sz w:val="24"/>
        </w:rPr>
        <w:t>23.联合体约定</w:t>
      </w:r>
      <w:bookmarkEnd w:id="144"/>
    </w:p>
    <w:p w14:paraId="6352F903">
      <w:pPr>
        <w:widowControl/>
        <w:spacing w:line="360" w:lineRule="auto"/>
        <w:ind w:left="480" w:hanging="480" w:hangingChars="200"/>
        <w:contextualSpacing/>
        <w:rPr>
          <w:rFonts w:ascii="Times New Roman" w:hAnsi="宋体" w:eastAsia="宋体" w:cs="Times New Roman"/>
          <w:sz w:val="24"/>
        </w:rPr>
      </w:pPr>
      <w:r>
        <w:rPr>
          <w:rFonts w:hint="eastAsia" w:ascii="Times New Roman" w:hAnsi="Times New Roman" w:eastAsia="宋体" w:cs="Calibri"/>
          <w:sz w:val="24"/>
        </w:rPr>
        <w:t>23.1</w:t>
      </w:r>
      <w:r>
        <w:rPr>
          <w:rFonts w:hint="eastAsia" w:ascii="Times New Roman" w:hAnsi="宋体" w:eastAsia="宋体" w:cs="Times New Roman"/>
          <w:sz w:val="24"/>
        </w:rPr>
        <w:t>乙方为联合体的，联合体各方应当共同与甲方签订合同，并向甲方为履行合同承担连带责任。</w:t>
      </w:r>
    </w:p>
    <w:p w14:paraId="34C9B996">
      <w:pPr>
        <w:spacing w:line="360" w:lineRule="auto"/>
        <w:ind w:left="480" w:hanging="480" w:hangingChars="200"/>
        <w:rPr>
          <w:rFonts w:ascii="Times New Roman" w:hAnsi="宋体" w:eastAsia="宋体" w:cs="Times New Roman"/>
          <w:sz w:val="24"/>
        </w:rPr>
      </w:pPr>
      <w:r>
        <w:rPr>
          <w:rFonts w:hint="eastAsia" w:ascii="Times New Roman" w:hAnsi="宋体" w:eastAsia="宋体" w:cs="Times New Roman"/>
          <w:sz w:val="24"/>
        </w:rPr>
        <w:t>23.2在合同履行过程中，未经甲方同意，不得修改联合体协议。联合体协议中关于联合体成员间权利义务的划分，并不影响或减损联合体各方应就履行合同向甲方承担的连带责任。</w:t>
      </w:r>
    </w:p>
    <w:p w14:paraId="4F56B893">
      <w:pPr>
        <w:spacing w:line="360" w:lineRule="auto"/>
        <w:ind w:left="480" w:hanging="480" w:hangingChars="200"/>
        <w:rPr>
          <w:rFonts w:ascii="Times New Roman" w:hAnsi="宋体" w:eastAsia="宋体" w:cs="Times New Roman"/>
          <w:sz w:val="24"/>
        </w:rPr>
      </w:pPr>
      <w:r>
        <w:rPr>
          <w:rFonts w:hint="eastAsia" w:ascii="Times New Roman" w:hAnsi="宋体" w:eastAsia="宋体" w:cs="Times New Roman"/>
          <w:sz w:val="24"/>
        </w:rPr>
        <w:t>23.3联合体牵头人代表联合体与甲方联系，并接受指示，负责组织联合体各成员全面履行合同。除非专用合同条款另有约定，牵头人在履行合同中的所有行为均视为已获得联合体各方的授权。甲方可将合同价款全部支付给牵头人并视为其已适当履行了付款义务。如牵头人的行为将构成对合同内容的变更，则牵头人须事先获得联合体各方的特别授权。</w:t>
      </w:r>
    </w:p>
    <w:p w14:paraId="20ADD94A">
      <w:pPr>
        <w:spacing w:line="360" w:lineRule="auto"/>
        <w:ind w:left="480" w:hanging="480" w:hangingChars="200"/>
        <w:rPr>
          <w:rFonts w:ascii="Times New Roman" w:hAnsi="宋体" w:eastAsia="宋体" w:cs="Times New Roman"/>
          <w:sz w:val="24"/>
        </w:rPr>
      </w:pPr>
    </w:p>
    <w:p w14:paraId="7F170B1A">
      <w:pPr>
        <w:keepNext/>
        <w:keepLines/>
        <w:tabs>
          <w:tab w:val="left" w:pos="465"/>
        </w:tabs>
        <w:spacing w:line="360" w:lineRule="auto"/>
        <w:ind w:left="482" w:hanging="482"/>
        <w:jc w:val="left"/>
        <w:outlineLvl w:val="1"/>
        <w:rPr>
          <w:rFonts w:ascii="黑体" w:hAnsi="黑体" w:eastAsia="宋体" w:cs="Times New Roman"/>
          <w:b/>
          <w:sz w:val="24"/>
          <w:szCs w:val="32"/>
        </w:rPr>
      </w:pPr>
      <w:bookmarkStart w:id="145" w:name="_Toc15317517"/>
      <w:r>
        <w:rPr>
          <w:rFonts w:ascii="黑体" w:hAnsi="黑体" w:eastAsia="宋体" w:cs="Times New Roman"/>
          <w:b/>
          <w:sz w:val="24"/>
          <w:szCs w:val="32"/>
        </w:rPr>
        <w:t>2</w:t>
      </w:r>
      <w:r>
        <w:rPr>
          <w:rFonts w:hint="eastAsia" w:ascii="黑体" w:hAnsi="黑体" w:eastAsia="宋体" w:cs="Times New Roman"/>
          <w:b/>
          <w:sz w:val="24"/>
          <w:szCs w:val="32"/>
        </w:rPr>
        <w:t>4.其他约定</w:t>
      </w:r>
      <w:bookmarkEnd w:id="145"/>
    </w:p>
    <w:p w14:paraId="149CCCD3">
      <w:pPr>
        <w:widowControl/>
        <w:tabs>
          <w:tab w:val="left" w:pos="562"/>
          <w:tab w:val="left" w:pos="987"/>
        </w:tabs>
        <w:spacing w:after="330" w:line="360" w:lineRule="auto"/>
        <w:jc w:val="center"/>
        <w:outlineLvl w:val="0"/>
        <w:rPr>
          <w:rFonts w:ascii="Times New Roman" w:hAnsi="Times New Roman" w:eastAsia="宋体" w:cs="Times New Roman"/>
        </w:rPr>
      </w:pPr>
      <w:r>
        <w:rPr>
          <w:rFonts w:hint="eastAsia" w:ascii="Times New Roman" w:hAnsi="Times New Roman" w:eastAsia="宋体" w:cs="Calibri"/>
          <w:bCs/>
          <w:sz w:val="24"/>
        </w:rPr>
        <w:t>24.1除专用合同条款另有约定外，本合同一式肆份，合同双方各持贰份。</w:t>
      </w:r>
      <w:r>
        <w:rPr>
          <w:rFonts w:ascii="宋体" w:hAnsi="宋体" w:eastAsia="宋体" w:cs="Times New Roman"/>
          <w:bCs/>
          <w:sz w:val="24"/>
        </w:rPr>
        <w:br w:type="page"/>
      </w:r>
      <w:bookmarkStart w:id="146" w:name="_Toc466394059"/>
      <w:bookmarkStart w:id="147" w:name="_Toc359396400"/>
      <w:bookmarkStart w:id="148" w:name="_Toc15317518"/>
      <w:bookmarkStart w:id="149" w:name="_Toc466394451"/>
      <w:r>
        <w:rPr>
          <w:rFonts w:hint="eastAsia" w:ascii="黑体" w:hAnsi="黑体" w:eastAsia="黑体" w:cs="Times New Roman"/>
          <w:b/>
          <w:sz w:val="28"/>
          <w:szCs w:val="28"/>
        </w:rPr>
        <w:t xml:space="preserve">第二部分  </w:t>
      </w:r>
      <w:bookmarkStart w:id="150" w:name="_Hlt15317482"/>
      <w:bookmarkEnd w:id="150"/>
      <w:r>
        <w:rPr>
          <w:rFonts w:hint="eastAsia" w:ascii="黑体" w:hAnsi="黑体" w:eastAsia="黑体" w:cs="Times New Roman"/>
          <w:b/>
          <w:sz w:val="28"/>
          <w:szCs w:val="28"/>
        </w:rPr>
        <w:t>专用合同条</w:t>
      </w:r>
      <w:bookmarkStart w:id="151" w:name="_Hlt15027463"/>
      <w:bookmarkEnd w:id="151"/>
      <w:r>
        <w:rPr>
          <w:rFonts w:hint="eastAsia" w:ascii="黑体" w:hAnsi="黑体" w:eastAsia="黑体" w:cs="Times New Roman"/>
          <w:b/>
          <w:sz w:val="28"/>
          <w:szCs w:val="28"/>
        </w:rPr>
        <w:t>款</w:t>
      </w:r>
      <w:bookmarkEnd w:id="146"/>
      <w:bookmarkEnd w:id="147"/>
      <w:bookmarkEnd w:id="148"/>
      <w:bookmarkEnd w:id="149"/>
      <w:bookmarkStart w:id="152" w:name="_Hlt15317562"/>
      <w:bookmarkEnd w:id="152"/>
    </w:p>
    <w:p w14:paraId="22490855">
      <w:pPr>
        <w:spacing w:line="360" w:lineRule="auto"/>
        <w:rPr>
          <w:rFonts w:ascii="宋体" w:hAnsi="宋体" w:eastAsia="宋体" w:cs="Times New Roman"/>
          <w:color w:val="FF0000"/>
          <w:sz w:val="24"/>
        </w:rPr>
      </w:pPr>
    </w:p>
    <w:p w14:paraId="1D475E30">
      <w:pPr>
        <w:keepNext/>
        <w:keepLines/>
        <w:spacing w:line="360" w:lineRule="auto"/>
        <w:jc w:val="left"/>
        <w:outlineLvl w:val="1"/>
        <w:rPr>
          <w:rFonts w:ascii="黑体" w:hAnsi="黑体" w:eastAsia="黑体" w:cs="Times New Roman"/>
          <w:b/>
          <w:bCs/>
          <w:sz w:val="24"/>
        </w:rPr>
      </w:pPr>
      <w:bookmarkStart w:id="153" w:name="_Toc15317519"/>
      <w:r>
        <w:rPr>
          <w:rFonts w:hint="eastAsia" w:ascii="黑体" w:hAnsi="黑体" w:eastAsia="黑体" w:cs="Times New Roman"/>
          <w:b/>
          <w:bCs/>
          <w:sz w:val="24"/>
        </w:rPr>
        <w:t>1.定义</w:t>
      </w:r>
      <w:bookmarkEnd w:id="153"/>
    </w:p>
    <w:p w14:paraId="60B55A52">
      <w:pPr>
        <w:widowControl/>
        <w:spacing w:line="360" w:lineRule="auto"/>
        <w:ind w:left="480" w:hanging="480" w:hangingChars="200"/>
        <w:contextualSpacing/>
        <w:rPr>
          <w:rFonts w:ascii="宋体" w:hAnsi="宋体" w:eastAsia="宋体" w:cs="Times New Roman"/>
          <w:color w:val="FF0000"/>
          <w:sz w:val="24"/>
        </w:rPr>
      </w:pPr>
      <w:r>
        <w:rPr>
          <w:rFonts w:hint="eastAsia" w:ascii="Times New Roman" w:hAnsi="Times New Roman" w:eastAsia="宋体" w:cs="Calibri"/>
          <w:kern w:val="0"/>
          <w:sz w:val="24"/>
        </w:rPr>
        <w:t>1.8</w:t>
      </w:r>
      <w:r>
        <w:rPr>
          <w:rFonts w:hint="eastAsia" w:ascii="宋体" w:hAnsi="宋体" w:eastAsia="宋体" w:cs="Times New Roman"/>
          <w:sz w:val="24"/>
        </w:rPr>
        <w:t>文件：。</w:t>
      </w:r>
    </w:p>
    <w:p w14:paraId="6FAFD3DE">
      <w:pPr>
        <w:widowControl/>
        <w:spacing w:line="360" w:lineRule="auto"/>
        <w:ind w:left="480" w:hanging="480" w:hangingChars="200"/>
        <w:contextualSpacing/>
        <w:rPr>
          <w:rFonts w:ascii="宋体" w:hAnsi="宋体" w:eastAsia="宋体" w:cs="Times New Roman"/>
          <w:sz w:val="24"/>
        </w:rPr>
      </w:pPr>
      <w:r>
        <w:rPr>
          <w:rFonts w:hint="eastAsia" w:ascii="Times New Roman" w:hAnsi="Times New Roman" w:eastAsia="宋体" w:cs="Calibri"/>
          <w:kern w:val="0"/>
          <w:sz w:val="24"/>
        </w:rPr>
        <w:t>1.9</w:t>
      </w:r>
      <w:r>
        <w:rPr>
          <w:rFonts w:hint="eastAsia" w:ascii="宋体" w:hAnsi="宋体" w:eastAsia="宋体" w:cs="Times New Roman"/>
          <w:sz w:val="24"/>
        </w:rPr>
        <w:t>甲方现场：。</w:t>
      </w:r>
    </w:p>
    <w:p w14:paraId="376D1578">
      <w:pPr>
        <w:widowControl/>
        <w:spacing w:line="360" w:lineRule="auto"/>
        <w:ind w:left="480" w:hanging="480" w:hangingChars="200"/>
        <w:contextualSpacing/>
        <w:rPr>
          <w:rFonts w:ascii="宋体" w:hAnsi="宋体" w:eastAsia="宋体" w:cs="宋体"/>
          <w:kern w:val="0"/>
          <w:sz w:val="24"/>
        </w:rPr>
      </w:pPr>
      <w:r>
        <w:rPr>
          <w:rFonts w:ascii="Times New Roman" w:hAnsi="Times New Roman" w:eastAsia="宋体" w:cs="Calibri"/>
          <w:kern w:val="0"/>
          <w:sz w:val="24"/>
        </w:rPr>
        <w:t>1.10</w:t>
      </w:r>
      <w:r>
        <w:rPr>
          <w:rFonts w:hint="eastAsia" w:ascii="宋体" w:hAnsi="宋体" w:eastAsia="宋体" w:cs="宋体"/>
          <w:kern w:val="0"/>
          <w:sz w:val="24"/>
        </w:rPr>
        <w:t>备品备件：。</w:t>
      </w:r>
    </w:p>
    <w:p w14:paraId="3D6D49A7">
      <w:pPr>
        <w:spacing w:line="360" w:lineRule="auto"/>
        <w:rPr>
          <w:rFonts w:ascii="宋体" w:hAnsi="宋体" w:eastAsia="宋体" w:cs="宋体"/>
          <w:kern w:val="0"/>
          <w:sz w:val="24"/>
          <w:u w:val="single"/>
        </w:rPr>
      </w:pPr>
    </w:p>
    <w:p w14:paraId="29C30697">
      <w:pPr>
        <w:keepNext/>
        <w:keepLines/>
        <w:spacing w:line="360" w:lineRule="auto"/>
        <w:jc w:val="left"/>
        <w:outlineLvl w:val="1"/>
        <w:rPr>
          <w:rFonts w:ascii="黑体" w:hAnsi="黑体" w:eastAsia="黑体" w:cs="Times New Roman"/>
          <w:b/>
          <w:bCs/>
          <w:sz w:val="24"/>
        </w:rPr>
      </w:pPr>
      <w:bookmarkStart w:id="154" w:name="_Toc15317520"/>
      <w:r>
        <w:rPr>
          <w:rFonts w:hint="eastAsia" w:ascii="黑体" w:hAnsi="黑体" w:eastAsia="黑体" w:cs="Times New Roman"/>
          <w:b/>
          <w:bCs/>
          <w:sz w:val="24"/>
        </w:rPr>
        <w:t>2.合同构成与合同文件的优先顺序</w:t>
      </w:r>
      <w:bookmarkEnd w:id="154"/>
    </w:p>
    <w:p w14:paraId="74502D1F">
      <w:pPr>
        <w:spacing w:line="360" w:lineRule="auto"/>
        <w:ind w:firstLine="480" w:firstLineChars="200"/>
        <w:rPr>
          <w:rFonts w:ascii="Times New Roman" w:hAnsi="宋体" w:eastAsia="宋体" w:cs="Times New Roman"/>
          <w:sz w:val="24"/>
        </w:rPr>
      </w:pPr>
      <w:r>
        <w:rPr>
          <w:rFonts w:ascii="宋体" w:hAnsi="宋体" w:eastAsia="宋体" w:cs="宋体"/>
          <w:kern w:val="0"/>
          <w:sz w:val="24"/>
        </w:rPr>
        <w:t>合同文件组成及优先顺序为：。</w:t>
      </w:r>
    </w:p>
    <w:p w14:paraId="03640DD5">
      <w:pPr>
        <w:spacing w:line="360" w:lineRule="auto"/>
        <w:rPr>
          <w:rFonts w:ascii="宋体" w:hAnsi="宋体" w:eastAsia="宋体" w:cs="宋体"/>
          <w:kern w:val="0"/>
          <w:sz w:val="24"/>
          <w:u w:val="single"/>
        </w:rPr>
      </w:pPr>
    </w:p>
    <w:p w14:paraId="1D7E0CDE">
      <w:pPr>
        <w:keepNext/>
        <w:keepLines/>
        <w:spacing w:line="360" w:lineRule="auto"/>
        <w:jc w:val="left"/>
        <w:outlineLvl w:val="1"/>
        <w:rPr>
          <w:rFonts w:ascii="黑体" w:hAnsi="黑体" w:eastAsia="黑体" w:cs="Times New Roman"/>
          <w:b/>
          <w:bCs/>
          <w:sz w:val="24"/>
        </w:rPr>
      </w:pPr>
      <w:bookmarkStart w:id="155" w:name="_Toc509580322"/>
      <w:bookmarkStart w:id="156" w:name="_Toc15317521"/>
      <w:r>
        <w:rPr>
          <w:rFonts w:hint="eastAsia" w:ascii="黑体" w:hAnsi="黑体" w:eastAsia="黑体" w:cs="Times New Roman"/>
          <w:b/>
          <w:bCs/>
          <w:sz w:val="24"/>
        </w:rPr>
        <w:t>3.合同标的内容、范围及</w:t>
      </w:r>
      <w:bookmarkEnd w:id="155"/>
      <w:r>
        <w:rPr>
          <w:rFonts w:hint="eastAsia" w:ascii="黑体" w:hAnsi="黑体" w:eastAsia="黑体" w:cs="Times New Roman"/>
          <w:b/>
          <w:bCs/>
          <w:sz w:val="24"/>
        </w:rPr>
        <w:t>要求</w:t>
      </w:r>
      <w:bookmarkEnd w:id="156"/>
    </w:p>
    <w:p w14:paraId="7061F186">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本合同技术内容、范围、要求：</w:t>
      </w:r>
    </w:p>
    <w:p w14:paraId="59F48335">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主要内容包括：</w:t>
      </w:r>
    </w:p>
    <w:p w14:paraId="3CD374E8">
      <w:pPr>
        <w:spacing w:line="360" w:lineRule="auto"/>
        <w:ind w:firstLine="480" w:firstLineChars="200"/>
        <w:rPr>
          <w:rFonts w:ascii="宋体" w:hAnsi="宋体" w:eastAsia="宋体" w:cs="Times New Roman"/>
          <w:color w:val="FF0000"/>
          <w:sz w:val="24"/>
        </w:rPr>
      </w:pPr>
      <w:r>
        <w:rPr>
          <w:rFonts w:hint="eastAsia" w:ascii="宋体" w:hAnsi="宋体" w:eastAsia="宋体" w:cs="Times New Roman"/>
          <w:color w:val="FF0000"/>
          <w:sz w:val="24"/>
        </w:rPr>
        <w:t>XXXX  主要的</w:t>
      </w:r>
      <w:r>
        <w:rPr>
          <w:rFonts w:hint="eastAsia" w:ascii="宋体" w:hAnsi="宋体" w:eastAsia="宋体" w:cs="宋体"/>
          <w:kern w:val="0"/>
          <w:sz w:val="24"/>
        </w:rPr>
        <w:t>节点</w:t>
      </w:r>
      <w:r>
        <w:rPr>
          <w:rFonts w:hint="eastAsia" w:ascii="宋体" w:hAnsi="宋体" w:eastAsia="宋体" w:cs="Times New Roman"/>
          <w:color w:val="FF0000"/>
          <w:sz w:val="24"/>
        </w:rPr>
        <w:t>内容</w:t>
      </w:r>
    </w:p>
    <w:p w14:paraId="5BCB38F0">
      <w:pPr>
        <w:spacing w:line="360" w:lineRule="auto"/>
        <w:ind w:firstLine="240"/>
        <w:rPr>
          <w:rFonts w:ascii="宋体" w:hAnsi="宋体" w:eastAsia="宋体" w:cs="Times New Roman"/>
          <w:color w:val="FF0000"/>
          <w:sz w:val="24"/>
        </w:rPr>
      </w:pPr>
    </w:p>
    <w:p w14:paraId="645EE0B7">
      <w:pPr>
        <w:keepNext/>
        <w:keepLines/>
        <w:spacing w:line="360" w:lineRule="auto"/>
        <w:jc w:val="left"/>
        <w:outlineLvl w:val="1"/>
        <w:rPr>
          <w:rFonts w:ascii="黑体" w:hAnsi="黑体" w:eastAsia="黑体" w:cs="Times New Roman"/>
          <w:b/>
          <w:bCs/>
          <w:sz w:val="24"/>
        </w:rPr>
      </w:pPr>
      <w:bookmarkStart w:id="157" w:name="_Toc15317522"/>
      <w:r>
        <w:rPr>
          <w:rFonts w:hint="eastAsia" w:ascii="黑体" w:hAnsi="黑体" w:eastAsia="黑体" w:cs="Times New Roman"/>
          <w:b/>
          <w:bCs/>
          <w:sz w:val="24"/>
        </w:rPr>
        <w:t>4.履行的计划、进度、期限、地点、地域和方式</w:t>
      </w:r>
      <w:bookmarkEnd w:id="157"/>
    </w:p>
    <w:p w14:paraId="16E501B4">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乙方按以下方式完成工作成果并交付甲方：</w:t>
      </w:r>
    </w:p>
    <w:p w14:paraId="0C93F45D">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（1）分期交付的，按以下时间节点完成并交付工作成果：</w:t>
      </w:r>
    </w:p>
    <w:p w14:paraId="1EC3F697">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年月日前，完成并交付；</w:t>
      </w:r>
    </w:p>
    <w:p w14:paraId="03698B00">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年月日前，完成并交付；</w:t>
      </w:r>
    </w:p>
    <w:p w14:paraId="5BBFA1BE">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年月日前，完成并交付。</w:t>
      </w:r>
    </w:p>
    <w:p w14:paraId="671C6BF8">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（2）</w:t>
      </w:r>
      <w:r>
        <w:rPr>
          <w:rFonts w:hint="eastAsia" w:ascii="宋体" w:hAnsi="宋体" w:eastAsia="宋体" w:cs="宋体"/>
          <w:kern w:val="0"/>
          <w:sz w:val="24"/>
        </w:rPr>
        <w:t>一次性</w:t>
      </w:r>
      <w:r>
        <w:rPr>
          <w:rFonts w:hint="eastAsia" w:ascii="宋体" w:hAnsi="宋体" w:eastAsia="宋体" w:cs="Times New Roman"/>
          <w:sz w:val="24"/>
        </w:rPr>
        <w:t>交付的，应在 年月 日前完成并交付全部工作成果。</w:t>
      </w:r>
    </w:p>
    <w:p w14:paraId="7D0D7922">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乙方交付</w:t>
      </w:r>
      <w:r>
        <w:rPr>
          <w:rFonts w:hint="eastAsia" w:ascii="宋体" w:hAnsi="宋体" w:eastAsia="宋体" w:cs="宋体"/>
          <w:kern w:val="0"/>
          <w:sz w:val="24"/>
        </w:rPr>
        <w:t>工</w:t>
      </w:r>
      <w:r>
        <w:rPr>
          <w:rFonts w:hint="eastAsia" w:ascii="宋体" w:hAnsi="宋体" w:eastAsia="宋体" w:cs="Times New Roman"/>
          <w:sz w:val="24"/>
        </w:rPr>
        <w:t>作成果的地点为:。</w:t>
      </w:r>
    </w:p>
    <w:p w14:paraId="35232A9F">
      <w:pPr>
        <w:spacing w:line="360" w:lineRule="auto"/>
        <w:ind w:firstLine="480" w:firstLineChars="200"/>
        <w:rPr>
          <w:rFonts w:ascii="宋体" w:hAnsi="宋体" w:eastAsia="宋体" w:cs="Times New Roman"/>
          <w:color w:val="FF0000"/>
          <w:sz w:val="24"/>
        </w:rPr>
      </w:pPr>
    </w:p>
    <w:p w14:paraId="0B1E146A">
      <w:pPr>
        <w:keepNext/>
        <w:keepLines/>
        <w:spacing w:line="360" w:lineRule="auto"/>
        <w:jc w:val="left"/>
        <w:outlineLvl w:val="1"/>
        <w:rPr>
          <w:rFonts w:ascii="黑体" w:hAnsi="黑体" w:eastAsia="黑体" w:cs="Times New Roman"/>
          <w:b/>
          <w:bCs/>
          <w:sz w:val="24"/>
        </w:rPr>
      </w:pPr>
      <w:bookmarkStart w:id="158" w:name="_Toc15317523"/>
      <w:r>
        <w:rPr>
          <w:rFonts w:hint="eastAsia" w:ascii="黑体" w:hAnsi="黑体" w:eastAsia="黑体" w:cs="Times New Roman"/>
          <w:b/>
          <w:bCs/>
          <w:sz w:val="24"/>
        </w:rPr>
        <w:t>5.价款、报酬及支付方式</w:t>
      </w:r>
      <w:bookmarkEnd w:id="158"/>
    </w:p>
    <w:p w14:paraId="00CF3C56">
      <w:pPr>
        <w:widowControl/>
        <w:spacing w:line="360" w:lineRule="auto"/>
        <w:ind w:left="480" w:hanging="480" w:hangingChars="200"/>
        <w:contextualSpacing/>
        <w:rPr>
          <w:rFonts w:ascii="Times New Roman" w:hAnsi="Times New Roman" w:eastAsia="宋体" w:cs="Times New Roman"/>
          <w:sz w:val="24"/>
        </w:rPr>
      </w:pPr>
      <w:r>
        <w:rPr>
          <w:rFonts w:hint="eastAsia" w:ascii="Times New Roman" w:hAnsi="宋体" w:eastAsia="宋体" w:cs="Times New Roman"/>
          <w:sz w:val="24"/>
        </w:rPr>
        <w:t>5.1本合同</w:t>
      </w:r>
      <w:r>
        <w:rPr>
          <w:rFonts w:hint="eastAsia" w:ascii="Times New Roman" w:hAnsi="Times New Roman" w:eastAsia="宋体" w:cs="Calibri"/>
          <w:sz w:val="24"/>
        </w:rPr>
        <w:t>价格</w:t>
      </w:r>
      <w:r>
        <w:rPr>
          <w:rFonts w:hint="eastAsia" w:ascii="Times New Roman" w:hAnsi="宋体" w:eastAsia="宋体" w:cs="Times New Roman"/>
          <w:sz w:val="24"/>
        </w:rPr>
        <w:t>以及费用的货币币种为：，单位为。</w:t>
      </w:r>
    </w:p>
    <w:p w14:paraId="69E5152C">
      <w:pPr>
        <w:widowControl/>
        <w:spacing w:line="360" w:lineRule="auto"/>
        <w:ind w:left="480" w:hanging="480" w:hangingChars="200"/>
        <w:contextualSpacing/>
        <w:rPr>
          <w:rFonts w:ascii="Times New Roman" w:hAnsi="Times New Roman" w:eastAsia="宋体" w:cs="Times New Roman"/>
          <w:sz w:val="24"/>
          <w:u w:val="single"/>
        </w:rPr>
      </w:pPr>
      <w:r>
        <w:rPr>
          <w:rFonts w:hint="eastAsia" w:ascii="Times New Roman" w:hAnsi="宋体" w:eastAsia="宋体" w:cs="Times New Roman"/>
          <w:sz w:val="24"/>
        </w:rPr>
        <w:t>5.4合同</w:t>
      </w:r>
      <w:r>
        <w:rPr>
          <w:rFonts w:hint="eastAsia" w:ascii="Times New Roman" w:hAnsi="Times New Roman" w:eastAsia="宋体" w:cs="Calibri"/>
          <w:sz w:val="24"/>
        </w:rPr>
        <w:t>价格</w:t>
      </w:r>
      <w:r>
        <w:rPr>
          <w:rFonts w:hint="eastAsia" w:ascii="Times New Roman" w:hAnsi="宋体" w:eastAsia="宋体" w:cs="Times New Roman"/>
          <w:sz w:val="24"/>
        </w:rPr>
        <w:t>和单价：</w:t>
      </w:r>
      <w:r>
        <w:rPr>
          <w:rFonts w:hint="eastAsia" w:ascii="Times New Roman" w:hAnsi="Times New Roman" w:eastAsia="宋体" w:cs="Times New Roman"/>
          <w:b/>
          <w:color w:val="FF0000"/>
          <w:sz w:val="24"/>
          <w:u w:val="single"/>
        </w:rPr>
        <w:t>固定不变</w:t>
      </w:r>
      <w:r>
        <w:rPr>
          <w:rFonts w:ascii="Times New Roman" w:hAnsi="Times New Roman" w:eastAsia="宋体" w:cs="Times New Roman"/>
          <w:b/>
          <w:color w:val="FF0000"/>
          <w:sz w:val="24"/>
        </w:rPr>
        <w:t>。</w:t>
      </w:r>
    </w:p>
    <w:p w14:paraId="108D02CD">
      <w:pPr>
        <w:widowControl/>
        <w:spacing w:line="360" w:lineRule="auto"/>
        <w:ind w:left="480" w:hanging="480" w:hangingChars="200"/>
        <w:contextualSpacing/>
        <w:rPr>
          <w:rFonts w:ascii="Times New Roman" w:hAnsi="宋体" w:eastAsia="宋体" w:cs="Times New Roman"/>
          <w:b/>
          <w:color w:val="FF0000"/>
          <w:sz w:val="24"/>
        </w:rPr>
      </w:pPr>
      <w:r>
        <w:rPr>
          <w:rFonts w:hint="eastAsia" w:ascii="Times New Roman" w:hAnsi="宋体" w:eastAsia="宋体" w:cs="Times New Roman"/>
          <w:sz w:val="24"/>
        </w:rPr>
        <w:t>5.6合同</w:t>
      </w:r>
      <w:r>
        <w:rPr>
          <w:rFonts w:hint="eastAsia" w:ascii="Times New Roman" w:hAnsi="Times New Roman" w:eastAsia="宋体" w:cs="Calibri"/>
          <w:sz w:val="24"/>
        </w:rPr>
        <w:t>总价</w:t>
      </w:r>
      <w:r>
        <w:rPr>
          <w:rFonts w:hint="eastAsia" w:ascii="Times New Roman" w:hAnsi="宋体" w:eastAsia="宋体" w:cs="Times New Roman"/>
          <w:sz w:val="24"/>
        </w:rPr>
        <w:t>为：</w:t>
      </w:r>
      <w:r>
        <w:rPr>
          <w:rFonts w:ascii="Times New Roman" w:hAnsi="Times New Roman" w:eastAsia="宋体" w:cs="Times New Roman"/>
          <w:sz w:val="24"/>
        </w:rPr>
        <w:t xml:space="preserve">RMB  </w:t>
      </w:r>
      <w:r>
        <w:rPr>
          <w:rFonts w:ascii="Times New Roman" w:hAnsi="Times New Roman" w:eastAsia="宋体" w:cs="Times New Roman"/>
          <w:b/>
          <w:color w:val="FF0000"/>
          <w:sz w:val="24"/>
          <w:u w:val="single"/>
        </w:rPr>
        <w:t xml:space="preserve">XXXX  </w:t>
      </w:r>
      <w:r>
        <w:rPr>
          <w:rFonts w:hint="eastAsia" w:ascii="Times New Roman" w:hAnsi="宋体" w:eastAsia="宋体" w:cs="Times New Roman"/>
          <w:sz w:val="24"/>
        </w:rPr>
        <w:t>元（大写</w:t>
      </w:r>
      <w:r>
        <w:rPr>
          <w:rFonts w:ascii="Times New Roman" w:hAnsi="Times New Roman" w:eastAsia="宋体" w:cs="Times New Roman"/>
          <w:b/>
          <w:color w:val="FF0000"/>
          <w:sz w:val="24"/>
          <w:u w:val="single"/>
        </w:rPr>
        <w:t xml:space="preserve">  XXXX </w:t>
      </w:r>
      <w:r>
        <w:rPr>
          <w:rFonts w:hint="eastAsia" w:ascii="Times New Roman" w:hAnsi="宋体" w:eastAsia="宋体" w:cs="Times New Roman"/>
          <w:sz w:val="24"/>
        </w:rPr>
        <w:t>元整）。</w:t>
      </w:r>
    </w:p>
    <w:p w14:paraId="0801C824">
      <w:pPr>
        <w:tabs>
          <w:tab w:val="left" w:pos="1080"/>
        </w:tabs>
        <w:spacing w:line="360" w:lineRule="auto"/>
        <w:ind w:left="482" w:hanging="482" w:hangingChars="200"/>
        <w:jc w:val="left"/>
        <w:rPr>
          <w:rFonts w:ascii="Times New Roman" w:hAnsi="Times New Roman" w:eastAsia="宋体" w:cs="Times New Roman"/>
          <w:sz w:val="24"/>
        </w:rPr>
      </w:pPr>
      <w:r>
        <w:rPr>
          <w:rFonts w:hint="eastAsia" w:ascii="Times New Roman" w:hAnsi="Times New Roman" w:eastAsia="宋体" w:cs="Times New Roman"/>
          <w:b/>
          <w:bCs/>
          <w:sz w:val="24"/>
        </w:rPr>
        <w:t>合同价格特别约定：</w:t>
      </w:r>
    </w:p>
    <w:p w14:paraId="75C13BAA">
      <w:pPr>
        <w:tabs>
          <w:tab w:val="left" w:pos="1080"/>
        </w:tabs>
        <w:spacing w:line="360" w:lineRule="auto"/>
        <w:ind w:firstLine="480" w:firstLineChars="200"/>
        <w:jc w:val="left"/>
        <w:rPr>
          <w:rFonts w:ascii="Times New Roman" w:hAnsi="Times New Roman" w:eastAsia="宋体" w:cs="Times New Roman"/>
          <w:sz w:val="24"/>
        </w:rPr>
      </w:pPr>
      <w:r>
        <w:rPr>
          <w:rFonts w:hint="eastAsia" w:ascii="Times New Roman" w:hAnsi="Times New Roman" w:eastAsia="宋体" w:cs="Times New Roman"/>
          <w:sz w:val="24"/>
        </w:rPr>
        <w:t>本合同价格为含税价（不含税价格+适用增值税税率%的增值税），在本合同履行期间，如遇国家税收政策调整，本合同价税合计在新税率执行之日起作相应调整，其中本合同不含税价格不因国家税收政策变化而变化，税额随国家税收政策变化作相应调整，以开具发票时间为准。</w:t>
      </w:r>
    </w:p>
    <w:p w14:paraId="51EB38C2">
      <w:pPr>
        <w:tabs>
          <w:tab w:val="left" w:pos="1080"/>
        </w:tabs>
        <w:spacing w:line="360" w:lineRule="auto"/>
        <w:ind w:left="482" w:hanging="482" w:hangingChars="200"/>
        <w:jc w:val="left"/>
        <w:rPr>
          <w:rFonts w:ascii="Times New Roman" w:hAnsi="Times New Roman" w:eastAsia="宋体" w:cs="Times New Roman"/>
          <w:sz w:val="24"/>
        </w:rPr>
      </w:pPr>
      <w:r>
        <w:rPr>
          <w:rFonts w:hint="eastAsia" w:ascii="Times New Roman" w:hAnsi="Times New Roman" w:eastAsia="宋体" w:cs="Times New Roman"/>
          <w:b/>
          <w:bCs/>
          <w:sz w:val="24"/>
        </w:rPr>
        <w:t>合同价格调整公式：</w:t>
      </w:r>
    </w:p>
    <w:p w14:paraId="3F38384D">
      <w:pPr>
        <w:tabs>
          <w:tab w:val="left" w:pos="1080"/>
        </w:tabs>
        <w:spacing w:line="360" w:lineRule="auto"/>
        <w:ind w:firstLine="480" w:firstLineChars="200"/>
        <w:jc w:val="left"/>
        <w:rPr>
          <w:rFonts w:ascii="Times New Roman" w:hAnsi="Times New Roman" w:eastAsia="宋体" w:cs="Times New Roman"/>
          <w:sz w:val="24"/>
        </w:rPr>
      </w:pPr>
      <w:r>
        <w:rPr>
          <w:rFonts w:hint="eastAsia" w:ascii="Times New Roman" w:hAnsi="Times New Roman" w:eastAsia="宋体" w:cs="Times New Roman"/>
          <w:sz w:val="24"/>
        </w:rPr>
        <w:t>调整后的合同价格＝已开票合同价格</w:t>
      </w:r>
      <w:r>
        <w:rPr>
          <w:rFonts w:hint="eastAsia" w:ascii="Times New Roman" w:hAnsi="宋体" w:eastAsia="宋体" w:cs="Times New Roman"/>
          <w:sz w:val="24"/>
        </w:rPr>
        <w:t>（含税）</w:t>
      </w:r>
      <w:r>
        <w:rPr>
          <w:rFonts w:ascii="Times New Roman" w:hAnsi="宋体" w:eastAsia="宋体" w:cs="Times New Roman"/>
          <w:sz w:val="24"/>
        </w:rPr>
        <w:t>+</w:t>
      </w:r>
      <w:r>
        <w:rPr>
          <w:rFonts w:hint="eastAsia" w:ascii="Times New Roman" w:hAnsi="宋体" w:eastAsia="宋体" w:cs="Times New Roman"/>
          <w:sz w:val="24"/>
        </w:rPr>
        <w:t>原合同</w:t>
      </w:r>
      <w:r>
        <w:rPr>
          <w:rFonts w:hint="eastAsia" w:ascii="Times New Roman" w:hAnsi="Times New Roman" w:eastAsia="宋体" w:cs="Times New Roman"/>
          <w:sz w:val="24"/>
        </w:rPr>
        <w:t>未开票合</w:t>
      </w:r>
      <w:r>
        <w:rPr>
          <w:rFonts w:hint="eastAsia" w:ascii="Times New Roman" w:hAnsi="Times New Roman" w:eastAsia="宋体" w:cs="Calibri"/>
          <w:sz w:val="24"/>
        </w:rPr>
        <w:t>同价格×（1+新的适用增值税税率）÷（1+签订合同时的适用增值税</w:t>
      </w:r>
      <w:r>
        <w:rPr>
          <w:rFonts w:hint="eastAsia" w:ascii="Times New Roman" w:hAnsi="Times New Roman" w:eastAsia="宋体" w:cs="Times New Roman"/>
          <w:sz w:val="24"/>
        </w:rPr>
        <w:t>税率）。</w:t>
      </w:r>
    </w:p>
    <w:p w14:paraId="138A3421">
      <w:pPr>
        <w:spacing w:line="360" w:lineRule="auto"/>
        <w:ind w:firstLine="480" w:firstLineChars="200"/>
        <w:rPr>
          <w:rFonts w:ascii="Times New Roman" w:hAnsi="Times New Roman" w:eastAsia="宋体" w:cs="Times New Roman"/>
          <w:sz w:val="24"/>
        </w:rPr>
      </w:pPr>
      <w:r>
        <w:rPr>
          <w:rFonts w:hint="eastAsia" w:ascii="Times New Roman" w:hAnsi="宋体" w:eastAsia="宋体" w:cs="Times New Roman"/>
          <w:sz w:val="24"/>
        </w:rPr>
        <w:t>本合同的价款支付节点与金额：</w:t>
      </w:r>
    </w:p>
    <w:p w14:paraId="5B0C4F40">
      <w:pPr>
        <w:spacing w:line="360" w:lineRule="auto"/>
        <w:ind w:firstLine="480" w:firstLineChars="200"/>
        <w:rPr>
          <w:rFonts w:hint="default" w:ascii="Times New Roman" w:hAnsi="宋体" w:eastAsia="宋体" w:cs="Times New Roman"/>
          <w:sz w:val="24"/>
          <w:lang w:val="en-US" w:eastAsia="zh-CN"/>
        </w:rPr>
      </w:pPr>
      <w:r>
        <w:rPr>
          <w:rFonts w:hint="eastAsia" w:ascii="Times New Roman" w:hAnsi="宋体" w:eastAsia="宋体" w:cs="Times New Roman"/>
          <w:sz w:val="24"/>
        </w:rPr>
        <w:t>（1）合同生效后，甲方在收到乙方付款申请及相关凭证并经甲方认可后，支付合同总金额的30 %</w:t>
      </w:r>
      <w:r>
        <w:rPr>
          <w:rFonts w:hint="eastAsia" w:ascii="Times New Roman" w:hAnsi="宋体" w:eastAsia="宋体" w:cs="Times New Roman"/>
          <w:sz w:val="24"/>
          <w:lang w:eastAsia="zh-CN"/>
        </w:rPr>
        <w:t>，甲方应在</w:t>
      </w:r>
      <w:r>
        <w:rPr>
          <w:rFonts w:hint="eastAsia" w:ascii="Times New Roman" w:hAnsi="宋体" w:eastAsia="宋体" w:cs="Times New Roman"/>
          <w:sz w:val="24"/>
          <w:lang w:val="en-US" w:eastAsia="zh-CN"/>
        </w:rPr>
        <w:t>XX日历天内支付。</w:t>
      </w:r>
    </w:p>
    <w:p w14:paraId="25E50F17">
      <w:pPr>
        <w:spacing w:line="360" w:lineRule="auto"/>
        <w:ind w:firstLine="480" w:firstLineChars="200"/>
        <w:rPr>
          <w:rFonts w:ascii="Times New Roman" w:hAnsi="宋体" w:eastAsia="宋体" w:cs="Times New Roman"/>
          <w:sz w:val="24"/>
        </w:rPr>
      </w:pPr>
      <w:r>
        <w:rPr>
          <w:rFonts w:hint="eastAsia" w:ascii="Times New Roman" w:hAnsi="宋体" w:eastAsia="宋体" w:cs="Times New Roman"/>
          <w:sz w:val="24"/>
        </w:rPr>
        <w:t>（2）(DO+2个月）乙方完成全部工作并经甲方验收合格后，且收到乙方质保金及付款申请并经甲方认可后，X日历天内甲方向乙方支付合同总价的70%。</w:t>
      </w:r>
    </w:p>
    <w:p w14:paraId="2F20524E">
      <w:pPr>
        <w:spacing w:line="360" w:lineRule="auto"/>
        <w:rPr>
          <w:rFonts w:ascii="Times New Roman" w:hAnsi="Times New Roman" w:eastAsia="宋体" w:cs="Times New Roman"/>
          <w:color w:val="000000"/>
          <w:sz w:val="24"/>
        </w:rPr>
      </w:pPr>
      <w:r>
        <w:rPr>
          <w:rFonts w:hint="eastAsia" w:ascii="Times New Roman" w:hAnsi="Times New Roman" w:eastAsia="宋体" w:cs="Times New Roman"/>
          <w:color w:val="000000"/>
          <w:sz w:val="24"/>
        </w:rPr>
        <w:t>注：上述支付节点中的具体付款期限，供应商无需响应，由甲方在合同签订时，根据成交供应商企业性质确定付款期限(成交供应商为中小企业的，自货物、工程、服务交付之日起30日历天内完成支付款项，双方另有约定的，付款期限最长不得超过60日历天；若成交供应商为非中小企业的，自货物、工程、服务交付之日起90日历天内支付款项)；若供应商成为成交供应商，无论其在应答文件中是否响应具体付款期限，最终付款期限仍以合同签订时甲方根据成交供应商企业性质确定的付款期限为准，成交供应商拒不接受的，将取消其成交供应商资格。</w:t>
      </w:r>
    </w:p>
    <w:p w14:paraId="292D2A3F">
      <w:pPr>
        <w:spacing w:line="360" w:lineRule="auto"/>
        <w:rPr>
          <w:rFonts w:ascii="Times New Roman" w:hAnsi="宋体" w:eastAsia="宋体" w:cs="Times New Roman"/>
          <w:sz w:val="24"/>
        </w:rPr>
      </w:pPr>
      <w:r>
        <w:rPr>
          <w:rFonts w:hint="eastAsia" w:ascii="Times New Roman" w:hAnsi="Times New Roman" w:eastAsia="宋体" w:cs="Times New Roman"/>
          <w:color w:val="000000"/>
        </w:rPr>
        <w:t>（请在具体支付日期明确并填写后删除本注）</w:t>
      </w:r>
    </w:p>
    <w:p w14:paraId="49C695E4">
      <w:pPr>
        <w:tabs>
          <w:tab w:val="left" w:pos="1080"/>
        </w:tabs>
        <w:spacing w:line="360" w:lineRule="auto"/>
        <w:jc w:val="left"/>
        <w:rPr>
          <w:rFonts w:ascii="Times New Roman" w:hAnsi="Times New Roman" w:eastAsia="宋体" w:cs="Times New Roman"/>
          <w:sz w:val="24"/>
        </w:rPr>
      </w:pPr>
      <w:r>
        <w:rPr>
          <w:rFonts w:hint="eastAsia" w:ascii="Times New Roman" w:hAnsi="宋体" w:eastAsia="宋体" w:cs="Times New Roman"/>
          <w:sz w:val="24"/>
        </w:rPr>
        <w:t>5.9乙方申请付款时必须出具下述凭证：</w:t>
      </w:r>
    </w:p>
    <w:p w14:paraId="7A17E912">
      <w:pPr>
        <w:spacing w:line="360" w:lineRule="auto"/>
        <w:ind w:firstLine="480" w:firstLineChars="200"/>
        <w:rPr>
          <w:rFonts w:ascii="宋体" w:hAnsi="宋体" w:eastAsia="宋体" w:cs="宋体"/>
          <w:sz w:val="24"/>
        </w:rPr>
      </w:pPr>
      <w:r>
        <w:rPr>
          <w:rFonts w:hint="eastAsia" w:ascii="宋体" w:hAnsi="宋体" w:eastAsia="宋体" w:cs="宋体"/>
          <w:sz w:val="24"/>
        </w:rPr>
        <w:t>（1）支付申请函（格式见附件）；</w:t>
      </w:r>
    </w:p>
    <w:p w14:paraId="37958748">
      <w:pPr>
        <w:spacing w:line="360" w:lineRule="auto"/>
        <w:ind w:firstLine="480" w:firstLineChars="200"/>
        <w:rPr>
          <w:rFonts w:ascii="宋体" w:hAnsi="宋体" w:eastAsia="宋体" w:cs="宋体"/>
          <w:sz w:val="24"/>
        </w:rPr>
      </w:pPr>
      <w:r>
        <w:rPr>
          <w:rFonts w:hint="eastAsia" w:ascii="宋体" w:hAnsi="宋体" w:eastAsia="宋体" w:cs="宋体"/>
          <w:sz w:val="24"/>
        </w:rPr>
        <w:t>（2）甲方要求的税务发票。</w:t>
      </w:r>
    </w:p>
    <w:p w14:paraId="0421AF75">
      <w:pPr>
        <w:spacing w:line="360" w:lineRule="auto"/>
        <w:ind w:left="210" w:leftChars="100" w:firstLine="240" w:firstLineChars="100"/>
        <w:jc w:val="left"/>
        <w:rPr>
          <w:rFonts w:ascii="Times New Roman" w:hAnsi="Times New Roman" w:eastAsia="宋体" w:cs="Times New Roman"/>
          <w:sz w:val="24"/>
        </w:rPr>
      </w:pPr>
    </w:p>
    <w:p w14:paraId="5E4B7A65">
      <w:pPr>
        <w:keepNext/>
        <w:keepLines/>
        <w:spacing w:line="360" w:lineRule="auto"/>
        <w:jc w:val="left"/>
        <w:outlineLvl w:val="1"/>
        <w:rPr>
          <w:rFonts w:ascii="黑体" w:hAnsi="黑体" w:eastAsia="黑体" w:cs="Times New Roman"/>
          <w:b/>
          <w:bCs/>
          <w:sz w:val="24"/>
        </w:rPr>
      </w:pPr>
      <w:bookmarkStart w:id="159" w:name="_Toc15317524"/>
      <w:r>
        <w:rPr>
          <w:rFonts w:hint="eastAsia" w:ascii="黑体" w:hAnsi="黑体" w:eastAsia="黑体" w:cs="Times New Roman"/>
          <w:b/>
          <w:bCs/>
          <w:sz w:val="24"/>
        </w:rPr>
        <w:t>6.转让和分包</w:t>
      </w:r>
      <w:bookmarkEnd w:id="159"/>
    </w:p>
    <w:p w14:paraId="1C66992A">
      <w:pPr>
        <w:widowControl/>
        <w:spacing w:line="360" w:lineRule="auto"/>
        <w:ind w:left="480" w:hanging="480" w:hangingChars="200"/>
        <w:contextualSpacing/>
        <w:rPr>
          <w:rFonts w:ascii="宋体" w:hAnsi="宋体" w:eastAsia="宋体" w:cs="宋体"/>
          <w:kern w:val="0"/>
          <w:sz w:val="24"/>
        </w:rPr>
      </w:pPr>
      <w:r>
        <w:rPr>
          <w:rFonts w:hint="eastAsia" w:ascii="Times New Roman" w:hAnsi="宋体" w:eastAsia="宋体" w:cs="Times New Roman"/>
          <w:sz w:val="24"/>
        </w:rPr>
        <w:t>6.1</w:t>
      </w:r>
      <w:r>
        <w:rPr>
          <w:rFonts w:ascii="宋体" w:hAnsi="宋体" w:eastAsia="宋体" w:cs="宋体"/>
          <w:kern w:val="0"/>
          <w:sz w:val="24"/>
        </w:rPr>
        <w:t>禁止分包的工作包括：</w:t>
      </w:r>
      <w:r>
        <w:rPr>
          <w:rFonts w:ascii="Times New Roman" w:hAnsi="Times New Roman" w:eastAsia="宋体" w:cs="Times New Roman"/>
          <w:b/>
          <w:color w:val="FF0000"/>
          <w:sz w:val="24"/>
          <w:u w:val="single"/>
        </w:rPr>
        <w:t></w:t>
      </w:r>
      <w:r>
        <w:rPr>
          <w:rFonts w:hint="eastAsia" w:ascii="Times New Roman" w:hAnsi="Times New Roman" w:eastAsia="宋体" w:cs="Times New Roman"/>
          <w:b/>
          <w:color w:val="FF0000"/>
          <w:sz w:val="24"/>
          <w:u w:val="single"/>
        </w:rPr>
        <w:t xml:space="preserve">             全部                 </w:t>
      </w:r>
      <w:r>
        <w:rPr>
          <w:rFonts w:ascii="宋体" w:hAnsi="宋体" w:eastAsia="宋体" w:cs="宋体"/>
          <w:kern w:val="0"/>
          <w:sz w:val="24"/>
        </w:rPr>
        <w:t>。</w:t>
      </w:r>
    </w:p>
    <w:p w14:paraId="27FFA39A">
      <w:pPr>
        <w:spacing w:line="360" w:lineRule="auto"/>
        <w:ind w:firstLine="480" w:firstLineChars="200"/>
        <w:rPr>
          <w:rFonts w:ascii="宋体" w:hAnsi="宋体" w:eastAsia="宋体" w:cs="宋体"/>
          <w:kern w:val="0"/>
          <w:sz w:val="24"/>
        </w:rPr>
      </w:pPr>
      <w:r>
        <w:rPr>
          <w:rFonts w:ascii="宋体" w:hAnsi="宋体" w:eastAsia="宋体" w:cs="宋体"/>
          <w:kern w:val="0"/>
          <w:sz w:val="24"/>
        </w:rPr>
        <w:t>主体、</w:t>
      </w:r>
      <w:r>
        <w:rPr>
          <w:rFonts w:ascii="Times New Roman" w:hAnsi="宋体" w:eastAsia="宋体" w:cs="Times New Roman"/>
          <w:sz w:val="24"/>
        </w:rPr>
        <w:t>关键性</w:t>
      </w:r>
      <w:r>
        <w:rPr>
          <w:rFonts w:ascii="宋体" w:hAnsi="宋体" w:eastAsia="宋体" w:cs="宋体"/>
          <w:kern w:val="0"/>
          <w:sz w:val="24"/>
        </w:rPr>
        <w:t>工作的范围：。</w:t>
      </w:r>
    </w:p>
    <w:p w14:paraId="0996D2E3">
      <w:pPr>
        <w:spacing w:line="360" w:lineRule="auto"/>
        <w:ind w:firstLine="480" w:firstLineChars="200"/>
        <w:rPr>
          <w:rFonts w:ascii="宋体" w:hAnsi="宋体" w:eastAsia="宋体" w:cs="宋体"/>
          <w:kern w:val="0"/>
          <w:sz w:val="24"/>
        </w:rPr>
      </w:pPr>
      <w:r>
        <w:rPr>
          <w:rFonts w:ascii="宋体" w:hAnsi="宋体" w:eastAsia="宋体" w:cs="宋体"/>
          <w:kern w:val="0"/>
          <w:sz w:val="24"/>
        </w:rPr>
        <w:t>允许分包的工作包括：。</w:t>
      </w:r>
    </w:p>
    <w:p w14:paraId="731ADE92">
      <w:pPr>
        <w:spacing w:line="360" w:lineRule="auto"/>
        <w:ind w:firstLine="480" w:firstLineChars="200"/>
        <w:rPr>
          <w:rFonts w:ascii="宋体" w:hAnsi="宋体" w:eastAsia="宋体" w:cs="宋体"/>
          <w:kern w:val="0"/>
          <w:sz w:val="24"/>
        </w:rPr>
      </w:pPr>
      <w:r>
        <w:rPr>
          <w:rFonts w:ascii="宋体" w:hAnsi="宋体" w:eastAsia="宋体" w:cs="宋体"/>
          <w:kern w:val="0"/>
          <w:sz w:val="24"/>
        </w:rPr>
        <w:t>其他关于分包的约定：。</w:t>
      </w:r>
    </w:p>
    <w:p w14:paraId="4D112269">
      <w:pPr>
        <w:spacing w:line="360" w:lineRule="auto"/>
        <w:ind w:firstLine="480" w:firstLineChars="200"/>
        <w:rPr>
          <w:rFonts w:ascii="宋体" w:hAnsi="宋体" w:eastAsia="宋体" w:cs="Times New Roman"/>
          <w:color w:val="000000"/>
          <w:sz w:val="24"/>
        </w:rPr>
      </w:pPr>
      <w:r>
        <w:rPr>
          <w:rFonts w:hint="eastAsia" w:ascii="宋体" w:hAnsi="宋体" w:eastAsia="宋体" w:cs="Times New Roman"/>
          <w:color w:val="000000"/>
          <w:sz w:val="24"/>
        </w:rPr>
        <w:t>关于转让的约定：。</w:t>
      </w:r>
    </w:p>
    <w:p w14:paraId="4743CABE">
      <w:pPr>
        <w:spacing w:line="360" w:lineRule="auto"/>
        <w:ind w:firstLine="240"/>
        <w:rPr>
          <w:rFonts w:ascii="宋体" w:hAnsi="宋体" w:eastAsia="宋体" w:cs="Times New Roman"/>
          <w:color w:val="FF0000"/>
          <w:sz w:val="24"/>
        </w:rPr>
      </w:pPr>
    </w:p>
    <w:p w14:paraId="5065D289">
      <w:pPr>
        <w:keepNext/>
        <w:keepLines/>
        <w:spacing w:line="360" w:lineRule="auto"/>
        <w:jc w:val="left"/>
        <w:outlineLvl w:val="1"/>
        <w:rPr>
          <w:rFonts w:ascii="黑体" w:hAnsi="黑体" w:eastAsia="黑体" w:cs="Times New Roman"/>
          <w:b/>
          <w:bCs/>
          <w:sz w:val="24"/>
        </w:rPr>
      </w:pPr>
      <w:bookmarkStart w:id="160" w:name="_Toc15317525"/>
      <w:r>
        <w:rPr>
          <w:rFonts w:hint="eastAsia" w:ascii="黑体" w:hAnsi="黑体" w:eastAsia="黑体" w:cs="Times New Roman"/>
          <w:b/>
          <w:bCs/>
          <w:sz w:val="24"/>
        </w:rPr>
        <w:t>7.验收标准和方法</w:t>
      </w:r>
      <w:bookmarkEnd w:id="160"/>
    </w:p>
    <w:p w14:paraId="6BF033F4">
      <w:pPr>
        <w:spacing w:line="360" w:lineRule="auto"/>
        <w:ind w:firstLine="480" w:firstLineChars="200"/>
        <w:rPr>
          <w:rFonts w:ascii="宋体" w:hAnsi="宋体" w:eastAsia="宋体" w:cs="Times New Roman"/>
          <w:sz w:val="24"/>
        </w:rPr>
      </w:pPr>
      <w:r>
        <w:rPr>
          <w:rFonts w:ascii="宋体" w:hAnsi="宋体" w:eastAsia="宋体" w:cs="Times New Roman"/>
          <w:sz w:val="24"/>
        </w:rPr>
        <w:t>关于验收标准和程序的约定：</w:t>
      </w:r>
      <w:r>
        <w:rPr>
          <w:rFonts w:hint="eastAsia" w:ascii="宋体" w:hAnsi="宋体" w:eastAsia="宋体" w:cs="Times New Roman"/>
          <w:sz w:val="24"/>
        </w:rPr>
        <w:t>。</w:t>
      </w:r>
    </w:p>
    <w:p w14:paraId="33DEBEBE">
      <w:pPr>
        <w:spacing w:line="360" w:lineRule="auto"/>
        <w:ind w:firstLine="480" w:firstLineChars="200"/>
        <w:rPr>
          <w:rFonts w:ascii="宋体" w:hAnsi="宋体" w:eastAsia="宋体" w:cs="Times New Roman"/>
          <w:sz w:val="24"/>
        </w:rPr>
      </w:pPr>
      <w:r>
        <w:rPr>
          <w:rFonts w:ascii="宋体" w:hAnsi="宋体" w:eastAsia="宋体" w:cs="Times New Roman"/>
          <w:sz w:val="24"/>
        </w:rPr>
        <w:t>乙方提交的验收资料的内容：。</w:t>
      </w:r>
    </w:p>
    <w:p w14:paraId="7087E75F">
      <w:pPr>
        <w:spacing w:line="360" w:lineRule="auto"/>
        <w:ind w:firstLine="480" w:firstLineChars="200"/>
        <w:rPr>
          <w:rFonts w:ascii="宋体" w:hAnsi="宋体" w:eastAsia="宋体" w:cs="Times New Roman"/>
          <w:sz w:val="24"/>
        </w:rPr>
      </w:pPr>
      <w:r>
        <w:rPr>
          <w:rFonts w:ascii="宋体" w:hAnsi="宋体" w:eastAsia="宋体" w:cs="Times New Roman"/>
          <w:sz w:val="24"/>
        </w:rPr>
        <w:t>验收资料</w:t>
      </w:r>
      <w:r>
        <w:rPr>
          <w:rFonts w:ascii="Times New Roman" w:hAnsi="宋体" w:eastAsia="宋体" w:cs="Times New Roman"/>
          <w:sz w:val="24"/>
        </w:rPr>
        <w:t>形式</w:t>
      </w:r>
      <w:r>
        <w:rPr>
          <w:rFonts w:ascii="宋体" w:hAnsi="宋体" w:eastAsia="宋体" w:cs="Times New Roman"/>
          <w:sz w:val="24"/>
        </w:rPr>
        <w:t>要求：。</w:t>
      </w:r>
    </w:p>
    <w:p w14:paraId="4C048354">
      <w:pPr>
        <w:spacing w:line="360" w:lineRule="auto"/>
        <w:ind w:firstLine="480" w:firstLineChars="200"/>
        <w:rPr>
          <w:rFonts w:ascii="Times New Roman" w:hAnsi="Times New Roman" w:eastAsia="宋体" w:cs="Times New Roman"/>
        </w:rPr>
      </w:pPr>
      <w:r>
        <w:rPr>
          <w:rFonts w:ascii="宋体" w:hAnsi="宋体" w:eastAsia="宋体" w:cs="Times New Roman"/>
          <w:sz w:val="24"/>
        </w:rPr>
        <w:t>提交的验收资料套数</w:t>
      </w:r>
      <w:r>
        <w:rPr>
          <w:rFonts w:ascii="Times New Roman" w:hAnsi="Times New Roman" w:eastAsia="宋体" w:cs="Times New Roman"/>
          <w:b/>
          <w:color w:val="000000"/>
          <w:sz w:val="24"/>
        </w:rPr>
        <w:t>：</w:t>
      </w:r>
      <w:r>
        <w:rPr>
          <w:rFonts w:ascii="Times New Roman" w:hAnsi="Times New Roman" w:eastAsia="宋体" w:cs="Times New Roman"/>
        </w:rPr>
        <w:t>。</w:t>
      </w:r>
    </w:p>
    <w:p w14:paraId="5558F6C8">
      <w:pPr>
        <w:spacing w:line="360" w:lineRule="auto"/>
        <w:ind w:firstLine="480" w:firstLineChars="200"/>
        <w:rPr>
          <w:rFonts w:ascii="宋体" w:hAnsi="宋体" w:eastAsia="宋体" w:cs="Times New Roman"/>
          <w:sz w:val="24"/>
        </w:rPr>
      </w:pPr>
      <w:r>
        <w:rPr>
          <w:rFonts w:ascii="宋体" w:hAnsi="宋体" w:eastAsia="宋体" w:cs="Times New Roman"/>
          <w:sz w:val="24"/>
        </w:rPr>
        <w:t>提交的验收资料的费用承担：。</w:t>
      </w:r>
    </w:p>
    <w:p w14:paraId="5A736A0A">
      <w:pPr>
        <w:spacing w:line="360" w:lineRule="auto"/>
        <w:ind w:firstLine="480" w:firstLineChars="200"/>
        <w:rPr>
          <w:rFonts w:ascii="宋体" w:hAnsi="宋体" w:eastAsia="宋体" w:cs="Times New Roman"/>
          <w:sz w:val="24"/>
        </w:rPr>
      </w:pPr>
      <w:r>
        <w:rPr>
          <w:rFonts w:ascii="宋体" w:hAnsi="宋体" w:eastAsia="宋体" w:cs="Times New Roman"/>
          <w:sz w:val="24"/>
        </w:rPr>
        <w:t>验收资料</w:t>
      </w:r>
      <w:r>
        <w:rPr>
          <w:rFonts w:ascii="Times New Roman" w:hAnsi="宋体" w:eastAsia="宋体" w:cs="Times New Roman"/>
          <w:sz w:val="24"/>
        </w:rPr>
        <w:t>提交</w:t>
      </w:r>
      <w:r>
        <w:rPr>
          <w:rFonts w:ascii="宋体" w:hAnsi="宋体" w:eastAsia="宋体" w:cs="Times New Roman"/>
          <w:sz w:val="24"/>
        </w:rPr>
        <w:t>甲方时间：。</w:t>
      </w:r>
    </w:p>
    <w:p w14:paraId="44886185">
      <w:pPr>
        <w:spacing w:line="360" w:lineRule="auto"/>
        <w:ind w:firstLine="480" w:firstLineChars="200"/>
        <w:rPr>
          <w:rFonts w:ascii="宋体" w:hAnsi="宋体" w:eastAsia="宋体" w:cs="Times New Roman"/>
          <w:sz w:val="24"/>
        </w:rPr>
      </w:pPr>
      <w:r>
        <w:rPr>
          <w:rFonts w:ascii="宋体" w:hAnsi="宋体" w:eastAsia="宋体" w:cs="Times New Roman"/>
          <w:sz w:val="24"/>
        </w:rPr>
        <w:t>乙方应履行的其他义务：</w:t>
      </w:r>
      <w:bookmarkStart w:id="161" w:name="_Toc466394455"/>
      <w:bookmarkStart w:id="162" w:name="_Toc466394063"/>
      <w:bookmarkStart w:id="163" w:name="_Toc509580325"/>
      <w:r>
        <w:rPr>
          <w:rFonts w:ascii="Times New Roman" w:hAnsi="Times New Roman" w:eastAsia="宋体" w:cs="Times New Roman"/>
          <w:color w:val="FF0000"/>
          <w:sz w:val="24"/>
        </w:rPr>
        <w:t>。</w:t>
      </w:r>
    </w:p>
    <w:p w14:paraId="4A38D8BA">
      <w:pPr>
        <w:spacing w:line="360" w:lineRule="auto"/>
        <w:ind w:left="210" w:leftChars="100" w:firstLine="240" w:firstLineChars="100"/>
        <w:jc w:val="left"/>
        <w:rPr>
          <w:rFonts w:ascii="宋体" w:hAnsi="宋体" w:eastAsia="宋体" w:cs="Times New Roman"/>
          <w:color w:val="FF0000"/>
          <w:sz w:val="24"/>
        </w:rPr>
      </w:pPr>
    </w:p>
    <w:p w14:paraId="62EB8AFE">
      <w:pPr>
        <w:keepNext/>
        <w:keepLines/>
        <w:spacing w:line="360" w:lineRule="auto"/>
        <w:jc w:val="left"/>
        <w:outlineLvl w:val="1"/>
        <w:rPr>
          <w:rFonts w:ascii="黑体" w:hAnsi="黑体" w:eastAsia="黑体" w:cs="Times New Roman"/>
          <w:b/>
          <w:bCs/>
          <w:sz w:val="24"/>
        </w:rPr>
      </w:pPr>
      <w:bookmarkStart w:id="164" w:name="_Toc15317526"/>
      <w:r>
        <w:rPr>
          <w:rFonts w:hint="eastAsia" w:ascii="黑体" w:hAnsi="黑体" w:eastAsia="黑体" w:cs="Times New Roman"/>
          <w:b/>
          <w:bCs/>
          <w:sz w:val="24"/>
        </w:rPr>
        <w:t>8.保证</w:t>
      </w:r>
      <w:bookmarkEnd w:id="161"/>
      <w:bookmarkEnd w:id="162"/>
      <w:r>
        <w:rPr>
          <w:rFonts w:hint="eastAsia" w:ascii="黑体" w:hAnsi="黑体" w:eastAsia="黑体" w:cs="Times New Roman"/>
          <w:b/>
          <w:bCs/>
          <w:sz w:val="24"/>
        </w:rPr>
        <w:t>与质量控制</w:t>
      </w:r>
      <w:bookmarkEnd w:id="163"/>
      <w:bookmarkEnd w:id="164"/>
    </w:p>
    <w:p w14:paraId="3D0F3C22">
      <w:pPr>
        <w:widowControl/>
        <w:spacing w:line="360" w:lineRule="auto"/>
        <w:ind w:left="480" w:hanging="480" w:hangingChars="200"/>
        <w:contextualSpacing/>
        <w:rPr>
          <w:rFonts w:ascii="Times New Roman" w:hAnsi="宋体" w:eastAsia="宋体" w:cs="Times New Roman"/>
          <w:sz w:val="24"/>
        </w:rPr>
      </w:pPr>
      <w:r>
        <w:rPr>
          <w:rFonts w:hint="eastAsia" w:ascii="Times New Roman" w:hAnsi="宋体" w:eastAsia="宋体" w:cs="Times New Roman"/>
          <w:sz w:val="24"/>
        </w:rPr>
        <w:t>8.4.1质量保证要求</w:t>
      </w:r>
    </w:p>
    <w:p w14:paraId="6809344C">
      <w:pPr>
        <w:widowControl/>
        <w:numPr>
          <w:ilvl w:val="0"/>
          <w:numId w:val="15"/>
        </w:numPr>
        <w:spacing w:line="360" w:lineRule="auto"/>
        <w:ind w:firstLine="480" w:firstLineChars="200"/>
        <w:contextualSpacing/>
        <w:rPr>
          <w:rFonts w:ascii="Times New Roman" w:hAnsi="宋体" w:eastAsia="宋体" w:cs="Times New Roman"/>
          <w:sz w:val="24"/>
          <w:u w:val="single"/>
        </w:rPr>
      </w:pPr>
      <w:r>
        <w:rPr>
          <w:rFonts w:hint="eastAsia" w:ascii="Times New Roman" w:hAnsi="宋体" w:eastAsia="宋体" w:cs="Times New Roman"/>
          <w:sz w:val="24"/>
        </w:rPr>
        <w:t>乙方应提交经甲方审查或认可的文件：□质量手册、□专项质量保证大纲□专项质量保证措施、□过程质量计划、□</w:t>
      </w:r>
      <w:r>
        <w:rPr>
          <w:rFonts w:hint="eastAsia" w:ascii="Times New Roman" w:hAnsi="宋体" w:eastAsia="宋体" w:cs="Times New Roman"/>
          <w:color w:val="FF0000"/>
          <w:sz w:val="24"/>
          <w:u w:val="single"/>
        </w:rPr>
        <w:t xml:space="preserve">其他     </w:t>
      </w:r>
    </w:p>
    <w:p w14:paraId="0E10A222">
      <w:pPr>
        <w:widowControl/>
        <w:spacing w:line="360" w:lineRule="auto"/>
        <w:ind w:firstLine="480" w:firstLineChars="200"/>
        <w:contextualSpacing/>
        <w:rPr>
          <w:rFonts w:ascii="Times New Roman" w:hAnsi="宋体" w:eastAsia="宋体" w:cs="Times New Roman"/>
          <w:sz w:val="24"/>
        </w:rPr>
      </w:pPr>
      <w:r>
        <w:rPr>
          <w:rFonts w:hint="eastAsia" w:ascii="Times New Roman" w:hAnsi="宋体" w:eastAsia="宋体" w:cs="Times New Roman"/>
          <w:sz w:val="24"/>
        </w:rPr>
        <w:t>（2）甲方有权进入乙方工作场所实施检查和监查。</w:t>
      </w:r>
    </w:p>
    <w:p w14:paraId="16364A1E">
      <w:pPr>
        <w:widowControl/>
        <w:spacing w:line="360" w:lineRule="auto"/>
        <w:ind w:firstLine="480" w:firstLineChars="200"/>
        <w:contextualSpacing/>
        <w:rPr>
          <w:rFonts w:ascii="Times New Roman" w:hAnsi="宋体" w:eastAsia="宋体" w:cs="Times New Roman"/>
          <w:sz w:val="24"/>
        </w:rPr>
      </w:pPr>
      <w:r>
        <w:rPr>
          <w:rFonts w:hint="eastAsia" w:ascii="Times New Roman" w:hAnsi="宋体" w:eastAsia="宋体" w:cs="Times New Roman"/>
          <w:sz w:val="24"/>
        </w:rPr>
        <w:t>（3）根据设置的控制点对乙方生产过程中的关键工序及其结果进行验证。</w:t>
      </w:r>
    </w:p>
    <w:p w14:paraId="03757BA7">
      <w:pPr>
        <w:widowControl/>
        <w:spacing w:line="360" w:lineRule="auto"/>
        <w:ind w:firstLine="480" w:firstLineChars="200"/>
        <w:contextualSpacing/>
        <w:rPr>
          <w:rFonts w:ascii="Times New Roman" w:hAnsi="宋体" w:eastAsia="宋体" w:cs="Times New Roman"/>
          <w:sz w:val="24"/>
        </w:rPr>
      </w:pPr>
      <w:r>
        <w:rPr>
          <w:rFonts w:hint="eastAsia" w:ascii="Times New Roman" w:hAnsi="宋体" w:eastAsia="宋体" w:cs="Times New Roman"/>
          <w:sz w:val="24"/>
        </w:rPr>
        <w:t>（4）对乙方的设计验证过程及其结果进行验证。</w:t>
      </w:r>
    </w:p>
    <w:p w14:paraId="7272B93F">
      <w:pPr>
        <w:widowControl/>
        <w:spacing w:line="360" w:lineRule="auto"/>
        <w:ind w:firstLine="480" w:firstLineChars="200"/>
        <w:contextualSpacing/>
        <w:rPr>
          <w:rFonts w:ascii="Times New Roman" w:hAnsi="宋体" w:eastAsia="宋体" w:cs="Times New Roman"/>
          <w:sz w:val="24"/>
        </w:rPr>
      </w:pPr>
      <w:r>
        <w:rPr>
          <w:rFonts w:hint="eastAsia" w:ascii="Times New Roman" w:hAnsi="宋体" w:eastAsia="宋体" w:cs="Times New Roman"/>
          <w:sz w:val="24"/>
        </w:rPr>
        <w:t>（5）派驻厂代表对生产过程中影响质量的活动进行过程监督。</w:t>
      </w:r>
    </w:p>
    <w:p w14:paraId="0F141252">
      <w:pPr>
        <w:widowControl/>
        <w:spacing w:line="360" w:lineRule="auto"/>
        <w:ind w:left="480" w:hanging="480" w:hangingChars="200"/>
        <w:contextualSpacing/>
        <w:rPr>
          <w:rFonts w:ascii="宋体" w:hAnsi="宋体" w:eastAsia="宋体" w:cs="Times New Roman"/>
          <w:sz w:val="24"/>
        </w:rPr>
      </w:pPr>
      <w:r>
        <w:rPr>
          <w:rFonts w:hint="eastAsia" w:ascii="Times New Roman" w:hAnsi="宋体" w:eastAsia="宋体" w:cs="Times New Roman"/>
          <w:sz w:val="24"/>
        </w:rPr>
        <w:t>8.4.2</w:t>
      </w:r>
      <w:r>
        <w:rPr>
          <w:rFonts w:hint="eastAsia" w:ascii="宋体" w:hAnsi="宋体" w:eastAsia="宋体" w:cs="Times New Roman"/>
          <w:sz w:val="24"/>
        </w:rPr>
        <w:t>质量保证期为经甲方最终验收通之日起个月。在质量保证期届满后质量保证金在</w:t>
      </w:r>
      <w:r>
        <w:rPr>
          <w:rFonts w:ascii="Times New Roman" w:hAnsi="Times New Roman" w:eastAsia="宋体" w:cs="Times New Roman"/>
          <w:sz w:val="24"/>
        </w:rPr>
        <w:t>60</w:t>
      </w:r>
      <w:r>
        <w:rPr>
          <w:rFonts w:ascii="Times New Roman" w:hAnsi="宋体" w:eastAsia="宋体" w:cs="Times New Roman"/>
          <w:sz w:val="24"/>
        </w:rPr>
        <w:t>个工</w:t>
      </w:r>
      <w:r>
        <w:rPr>
          <w:rFonts w:hint="eastAsia" w:ascii="宋体" w:hAnsi="宋体" w:eastAsia="宋体" w:cs="Times New Roman"/>
          <w:sz w:val="24"/>
        </w:rPr>
        <w:t>作日内无息退还。在质量保证期内出现的任何问题，乙方应在接到甲方通知时起内到达指定地点进行检查、修复。若乙方逾期到达或拒绝甲方的通知，则甲方有权自行处理，所产生的费用由乙方承担，因此造成的损失由乙方负责赔偿，甲方有权不退还乙方质量保证金。</w:t>
      </w:r>
    </w:p>
    <w:p w14:paraId="24071AA2">
      <w:pPr>
        <w:spacing w:line="360" w:lineRule="auto"/>
        <w:ind w:firstLine="480" w:firstLineChars="200"/>
        <w:rPr>
          <w:rFonts w:ascii="宋体" w:hAnsi="宋体" w:eastAsia="宋体" w:cs="Times New Roman"/>
          <w:sz w:val="24"/>
        </w:rPr>
      </w:pPr>
      <w:r>
        <w:rPr>
          <w:rFonts w:ascii="宋体" w:hAnsi="宋体" w:eastAsia="宋体" w:cs="Times New Roman"/>
          <w:sz w:val="24"/>
        </w:rPr>
        <w:t>乙方采用以下第</w:t>
      </w:r>
      <w:r>
        <w:rPr>
          <w:rFonts w:hint="eastAsia" w:ascii="Times New Roman" w:hAnsi="Times New Roman" w:eastAsia="宋体" w:cs="Times New Roman"/>
          <w:b/>
          <w:color w:val="FF0000"/>
          <w:sz w:val="24"/>
          <w:u w:val="single"/>
        </w:rPr>
        <w:t>（3）</w:t>
      </w:r>
      <w:r>
        <w:rPr>
          <w:rFonts w:ascii="宋体" w:hAnsi="宋体" w:eastAsia="宋体" w:cs="Times New Roman"/>
          <w:sz w:val="24"/>
        </w:rPr>
        <w:t>种方式向甲方提供质量保证金：</w:t>
      </w:r>
    </w:p>
    <w:p w14:paraId="5210E8FE">
      <w:pPr>
        <w:spacing w:line="360" w:lineRule="auto"/>
        <w:ind w:firstLine="480" w:firstLineChars="200"/>
        <w:rPr>
          <w:rFonts w:ascii="宋体" w:hAnsi="宋体" w:eastAsia="宋体" w:cs="Times New Roman"/>
          <w:sz w:val="24"/>
        </w:rPr>
      </w:pPr>
      <w:r>
        <w:rPr>
          <w:rFonts w:ascii="宋体" w:hAnsi="宋体" w:eastAsia="宋体" w:cs="Times New Roman"/>
          <w:sz w:val="24"/>
        </w:rPr>
        <w:t>（1）</w:t>
      </w:r>
      <w:r>
        <w:rPr>
          <w:rFonts w:ascii="Times New Roman" w:hAnsi="宋体" w:eastAsia="宋体" w:cs="Times New Roman"/>
          <w:sz w:val="24"/>
        </w:rPr>
        <w:t>质量保证</w:t>
      </w:r>
      <w:r>
        <w:rPr>
          <w:rFonts w:ascii="宋体" w:hAnsi="宋体" w:eastAsia="宋体" w:cs="Times New Roman"/>
          <w:sz w:val="24"/>
        </w:rPr>
        <w:t xml:space="preserve">金保函，保证金额为：； </w:t>
      </w:r>
    </w:p>
    <w:p w14:paraId="001BFBE5">
      <w:pPr>
        <w:spacing w:line="360" w:lineRule="auto"/>
        <w:ind w:firstLine="480" w:firstLineChars="200"/>
        <w:rPr>
          <w:rFonts w:ascii="宋体" w:hAnsi="宋体" w:eastAsia="宋体" w:cs="Times New Roman"/>
          <w:sz w:val="24"/>
        </w:rPr>
      </w:pPr>
      <w:r>
        <w:rPr>
          <w:rFonts w:ascii="宋体" w:hAnsi="宋体" w:eastAsia="宋体" w:cs="Times New Roman"/>
          <w:sz w:val="24"/>
        </w:rPr>
        <w:t>（2）%的</w:t>
      </w:r>
      <w:r>
        <w:rPr>
          <w:rFonts w:ascii="Times New Roman" w:hAnsi="宋体" w:eastAsia="宋体" w:cs="Times New Roman"/>
          <w:sz w:val="24"/>
        </w:rPr>
        <w:t>合同</w:t>
      </w:r>
      <w:r>
        <w:rPr>
          <w:rFonts w:ascii="宋体" w:hAnsi="宋体" w:eastAsia="宋体" w:cs="Times New Roman"/>
          <w:sz w:val="24"/>
        </w:rPr>
        <w:t>款；</w:t>
      </w:r>
    </w:p>
    <w:p w14:paraId="0410CDDF">
      <w:pPr>
        <w:spacing w:line="360" w:lineRule="auto"/>
        <w:ind w:firstLine="480" w:firstLineChars="200"/>
        <w:rPr>
          <w:rFonts w:ascii="宋体" w:hAnsi="宋体" w:eastAsia="宋体" w:cs="Times New Roman"/>
          <w:sz w:val="24"/>
        </w:rPr>
      </w:pPr>
      <w:r>
        <w:rPr>
          <w:rFonts w:ascii="宋体" w:hAnsi="宋体" w:eastAsia="宋体" w:cs="Times New Roman"/>
          <w:sz w:val="24"/>
        </w:rPr>
        <w:t>（3）</w:t>
      </w:r>
      <w:r>
        <w:rPr>
          <w:rFonts w:ascii="Times New Roman" w:hAnsi="宋体" w:eastAsia="宋体" w:cs="Times New Roman"/>
          <w:sz w:val="24"/>
        </w:rPr>
        <w:t>其他</w:t>
      </w:r>
      <w:r>
        <w:rPr>
          <w:rFonts w:hint="eastAsia" w:ascii="宋体" w:hAnsi="宋体" w:eastAsia="宋体" w:cs="Times New Roman"/>
          <w:sz w:val="24"/>
        </w:rPr>
        <w:t>方</w:t>
      </w:r>
      <w:r>
        <w:rPr>
          <w:rFonts w:ascii="宋体" w:hAnsi="宋体" w:eastAsia="宋体" w:cs="Times New Roman"/>
          <w:sz w:val="24"/>
        </w:rPr>
        <w:t>式:</w:t>
      </w:r>
      <w:r>
        <w:rPr>
          <w:rFonts w:hint="eastAsia" w:ascii="Times New Roman" w:hAnsi="Times New Roman" w:eastAsia="宋体" w:cs="Times New Roman"/>
          <w:b/>
          <w:color w:val="FF0000"/>
          <w:sz w:val="24"/>
          <w:u w:val="single"/>
        </w:rPr>
        <w:t>合同金额5%的银行转账或银行保函或中核财务公司保函（若中标人为央企，则应提供银行保函或中核财务公司保函）</w:t>
      </w:r>
      <w:r>
        <w:rPr>
          <w:rFonts w:ascii="宋体" w:hAnsi="宋体" w:eastAsia="宋体" w:cs="Times New Roman"/>
          <w:sz w:val="24"/>
        </w:rPr>
        <w:t>。</w:t>
      </w:r>
    </w:p>
    <w:p w14:paraId="4BE86C6D">
      <w:pPr>
        <w:spacing w:line="360" w:lineRule="auto"/>
        <w:ind w:firstLine="480" w:firstLineChars="200"/>
        <w:rPr>
          <w:rFonts w:ascii="宋体" w:hAnsi="宋体" w:eastAsia="宋体" w:cs="Times New Roman"/>
          <w:sz w:val="24"/>
        </w:rPr>
      </w:pPr>
      <w:r>
        <w:rPr>
          <w:rFonts w:ascii="宋体" w:hAnsi="宋体" w:eastAsia="宋体" w:cs="Times New Roman"/>
          <w:sz w:val="24"/>
        </w:rPr>
        <w:t>关于</w:t>
      </w:r>
      <w:r>
        <w:rPr>
          <w:rFonts w:ascii="Times New Roman" w:hAnsi="宋体" w:eastAsia="宋体" w:cs="Times New Roman"/>
          <w:sz w:val="24"/>
        </w:rPr>
        <w:t>质量保证</w:t>
      </w:r>
      <w:r>
        <w:rPr>
          <w:rFonts w:ascii="宋体" w:hAnsi="宋体" w:eastAsia="宋体" w:cs="Times New Roman"/>
          <w:sz w:val="24"/>
        </w:rPr>
        <w:t>金的补充约定：。</w:t>
      </w:r>
    </w:p>
    <w:p w14:paraId="77DC3DDE">
      <w:pPr>
        <w:spacing w:line="360" w:lineRule="auto"/>
        <w:ind w:firstLine="240"/>
        <w:rPr>
          <w:rFonts w:ascii="宋体" w:hAnsi="宋体" w:eastAsia="宋体" w:cs="Times New Roman"/>
          <w:sz w:val="24"/>
        </w:rPr>
      </w:pPr>
    </w:p>
    <w:p w14:paraId="70EB6F68">
      <w:pPr>
        <w:keepNext/>
        <w:keepLines/>
        <w:spacing w:line="360" w:lineRule="auto"/>
        <w:jc w:val="left"/>
        <w:outlineLvl w:val="1"/>
        <w:rPr>
          <w:rFonts w:ascii="黑体" w:hAnsi="黑体" w:eastAsia="黑体" w:cs="Times New Roman"/>
          <w:b/>
          <w:bCs/>
          <w:sz w:val="24"/>
        </w:rPr>
      </w:pPr>
      <w:bookmarkStart w:id="165" w:name="_Toc466394064"/>
      <w:bookmarkStart w:id="166" w:name="_Toc15317527"/>
      <w:bookmarkStart w:id="167" w:name="_Toc509580326"/>
      <w:bookmarkStart w:id="168" w:name="_Toc336356846"/>
      <w:bookmarkStart w:id="169" w:name="_Toc466394456"/>
      <w:bookmarkStart w:id="170" w:name="_Toc359396404"/>
      <w:r>
        <w:rPr>
          <w:rFonts w:hint="eastAsia" w:ascii="黑体" w:hAnsi="黑体" w:eastAsia="黑体" w:cs="Times New Roman"/>
          <w:b/>
          <w:bCs/>
          <w:sz w:val="24"/>
        </w:rPr>
        <w:t>9.履约保证金</w:t>
      </w:r>
      <w:bookmarkEnd w:id="165"/>
      <w:bookmarkEnd w:id="166"/>
      <w:bookmarkEnd w:id="167"/>
      <w:bookmarkEnd w:id="168"/>
      <w:bookmarkEnd w:id="169"/>
      <w:bookmarkEnd w:id="170"/>
    </w:p>
    <w:p w14:paraId="70F1B077">
      <w:pPr>
        <w:widowControl/>
        <w:spacing w:line="360" w:lineRule="auto"/>
        <w:ind w:left="480" w:hanging="480" w:hangingChars="200"/>
        <w:contextualSpacing/>
        <w:rPr>
          <w:rFonts w:ascii="宋体" w:hAnsi="宋体" w:eastAsia="宋体" w:cs="Times New Roman"/>
          <w:sz w:val="24"/>
        </w:rPr>
      </w:pPr>
      <w:r>
        <w:rPr>
          <w:rFonts w:hint="eastAsia" w:ascii="Times New Roman" w:hAnsi="宋体" w:eastAsia="宋体" w:cs="Times New Roman"/>
          <w:sz w:val="24"/>
        </w:rPr>
        <w:t>9.1</w:t>
      </w:r>
      <w:r>
        <w:rPr>
          <w:rFonts w:hint="eastAsia" w:ascii="宋体" w:hAnsi="宋体" w:eastAsia="宋体" w:cs="Times New Roman"/>
          <w:sz w:val="24"/>
        </w:rPr>
        <w:t>乙方是否提供履约担保</w:t>
      </w:r>
      <w:r>
        <w:rPr>
          <w:rFonts w:hint="eastAsia" w:ascii="Times New Roman" w:hAnsi="Times New Roman" w:eastAsia="宋体" w:cs="Times New Roman"/>
          <w:b/>
          <w:color w:val="FF0000"/>
          <w:sz w:val="24"/>
        </w:rPr>
        <w:t>：</w:t>
      </w:r>
      <w:r>
        <w:rPr>
          <w:rFonts w:hint="eastAsia" w:ascii="Times New Roman" w:hAnsi="Times New Roman" w:eastAsia="宋体" w:cs="Times New Roman"/>
          <w:b/>
          <w:color w:val="FF0000"/>
          <w:sz w:val="24"/>
          <w:u w:val="single"/>
        </w:rPr>
        <w:t>否</w:t>
      </w:r>
      <w:r>
        <w:rPr>
          <w:rFonts w:ascii="宋体" w:hAnsi="宋体" w:eastAsia="宋体" w:cs="Times New Roman"/>
          <w:sz w:val="24"/>
        </w:rPr>
        <w:t>。</w:t>
      </w:r>
    </w:p>
    <w:p w14:paraId="33A9C858">
      <w:pPr>
        <w:widowControl/>
        <w:spacing w:line="360" w:lineRule="auto"/>
        <w:ind w:left="480" w:hanging="480" w:hangingChars="200"/>
        <w:contextualSpacing/>
        <w:rPr>
          <w:rFonts w:ascii="宋体" w:hAnsi="宋体" w:eastAsia="宋体" w:cs="Times New Roman"/>
          <w:sz w:val="24"/>
        </w:rPr>
      </w:pPr>
      <w:r>
        <w:rPr>
          <w:rFonts w:hint="eastAsia" w:ascii="Times New Roman" w:hAnsi="宋体" w:eastAsia="宋体" w:cs="Times New Roman"/>
          <w:sz w:val="24"/>
        </w:rPr>
        <w:t>9.3</w:t>
      </w:r>
      <w:r>
        <w:rPr>
          <w:rFonts w:ascii="Times New Roman" w:hAnsi="Times New Roman" w:eastAsia="宋体" w:cs="Calibri"/>
          <w:sz w:val="24"/>
        </w:rPr>
        <w:t>乙方</w:t>
      </w:r>
      <w:r>
        <w:rPr>
          <w:rFonts w:ascii="宋体" w:hAnsi="宋体" w:eastAsia="宋体" w:cs="Times New Roman"/>
          <w:sz w:val="24"/>
        </w:rPr>
        <w:t>提供履约担保的形式</w:t>
      </w:r>
      <w:r>
        <w:rPr>
          <w:rFonts w:hint="eastAsia" w:ascii="宋体" w:hAnsi="宋体" w:eastAsia="宋体" w:cs="Times New Roman"/>
          <w:sz w:val="24"/>
        </w:rPr>
        <w:t>、金额及期限</w:t>
      </w:r>
      <w:r>
        <w:rPr>
          <w:rFonts w:ascii="宋体" w:hAnsi="宋体" w:eastAsia="宋体" w:cs="Times New Roman"/>
          <w:sz w:val="24"/>
        </w:rPr>
        <w:t>：。</w:t>
      </w:r>
    </w:p>
    <w:p w14:paraId="46887ED2">
      <w:pPr>
        <w:keepNext/>
        <w:keepLines/>
        <w:spacing w:line="360" w:lineRule="auto"/>
        <w:jc w:val="left"/>
        <w:outlineLvl w:val="1"/>
        <w:rPr>
          <w:rFonts w:ascii="黑体" w:hAnsi="黑体" w:eastAsia="黑体" w:cs="Times New Roman"/>
          <w:b/>
          <w:bCs/>
          <w:sz w:val="24"/>
        </w:rPr>
      </w:pPr>
      <w:bookmarkStart w:id="171" w:name="_Toc15317528"/>
      <w:r>
        <w:rPr>
          <w:rFonts w:hint="eastAsia" w:ascii="黑体" w:hAnsi="黑体" w:eastAsia="黑体" w:cs="Times New Roman"/>
          <w:b/>
          <w:bCs/>
          <w:sz w:val="24"/>
        </w:rPr>
        <w:t>10.</w:t>
      </w:r>
      <w:r>
        <w:rPr>
          <w:rFonts w:ascii="黑体" w:hAnsi="黑体" w:eastAsia="黑体" w:cs="Times New Roman"/>
          <w:b/>
          <w:bCs/>
          <w:sz w:val="24"/>
        </w:rPr>
        <w:t>保险</w:t>
      </w:r>
      <w:bookmarkEnd w:id="171"/>
    </w:p>
    <w:p w14:paraId="232FF918">
      <w:pPr>
        <w:widowControl/>
        <w:spacing w:line="360" w:lineRule="auto"/>
        <w:ind w:left="480" w:hanging="480" w:hangingChars="200"/>
        <w:contextualSpacing/>
        <w:rPr>
          <w:rFonts w:ascii="宋体" w:hAnsi="宋体" w:eastAsia="宋体" w:cs="Times New Roman"/>
          <w:color w:val="FF0000"/>
          <w:sz w:val="24"/>
        </w:rPr>
      </w:pPr>
      <w:r>
        <w:rPr>
          <w:rFonts w:hint="eastAsia" w:ascii="Times New Roman" w:hAnsi="宋体" w:eastAsia="宋体" w:cs="Times New Roman"/>
          <w:sz w:val="24"/>
        </w:rPr>
        <w:t>10.1</w:t>
      </w:r>
      <w:r>
        <w:rPr>
          <w:rFonts w:ascii="宋体" w:hAnsi="宋体" w:eastAsia="宋体" w:cs="Times New Roman"/>
          <w:sz w:val="24"/>
        </w:rPr>
        <w:t>关于保险的</w:t>
      </w:r>
      <w:r>
        <w:rPr>
          <w:rFonts w:ascii="Times New Roman" w:hAnsi="Times New Roman" w:eastAsia="宋体" w:cs="Calibri"/>
          <w:sz w:val="24"/>
        </w:rPr>
        <w:t>特别</w:t>
      </w:r>
      <w:r>
        <w:rPr>
          <w:rFonts w:ascii="宋体" w:hAnsi="宋体" w:eastAsia="宋体" w:cs="Times New Roman"/>
          <w:sz w:val="24"/>
        </w:rPr>
        <w:t>约定：</w:t>
      </w:r>
      <w:r>
        <w:rPr>
          <w:rFonts w:hint="eastAsia" w:ascii="宋体" w:hAnsi="宋体" w:eastAsia="宋体" w:cs="Times New Roman"/>
          <w:sz w:val="24"/>
        </w:rPr>
        <w:t>。</w:t>
      </w:r>
    </w:p>
    <w:p w14:paraId="59B1EB1F">
      <w:pPr>
        <w:spacing w:line="360" w:lineRule="auto"/>
        <w:ind w:firstLine="480" w:firstLineChars="200"/>
        <w:rPr>
          <w:rFonts w:ascii="宋体" w:hAnsi="宋体" w:eastAsia="宋体" w:cs="Times New Roman"/>
          <w:color w:val="FF0000"/>
          <w:sz w:val="24"/>
          <w:u w:val="single"/>
        </w:rPr>
      </w:pPr>
    </w:p>
    <w:p w14:paraId="2FC686A6">
      <w:pPr>
        <w:keepNext/>
        <w:keepLines/>
        <w:spacing w:line="360" w:lineRule="auto"/>
        <w:jc w:val="left"/>
        <w:outlineLvl w:val="1"/>
        <w:rPr>
          <w:rFonts w:ascii="黑体" w:hAnsi="黑体" w:eastAsia="黑体" w:cs="Times New Roman"/>
          <w:b/>
          <w:bCs/>
          <w:sz w:val="24"/>
        </w:rPr>
      </w:pPr>
      <w:bookmarkStart w:id="172" w:name="_Toc15317529"/>
      <w:r>
        <w:rPr>
          <w:rFonts w:hint="eastAsia" w:ascii="黑体" w:hAnsi="黑体" w:eastAsia="黑体" w:cs="Times New Roman"/>
          <w:b/>
          <w:bCs/>
          <w:sz w:val="24"/>
        </w:rPr>
        <w:t>11.</w:t>
      </w:r>
      <w:r>
        <w:rPr>
          <w:rFonts w:ascii="黑体" w:hAnsi="黑体" w:eastAsia="黑体" w:cs="Times New Roman"/>
          <w:b/>
          <w:bCs/>
          <w:sz w:val="24"/>
        </w:rPr>
        <w:t>标准与规范</w:t>
      </w:r>
      <w:bookmarkEnd w:id="172"/>
    </w:p>
    <w:p w14:paraId="0C79CF04">
      <w:pPr>
        <w:widowControl/>
        <w:spacing w:line="360" w:lineRule="auto"/>
        <w:ind w:left="480" w:hanging="480" w:hangingChars="200"/>
        <w:contextualSpacing/>
        <w:rPr>
          <w:rFonts w:ascii="宋体" w:hAnsi="宋体" w:eastAsia="宋体" w:cs="宋体"/>
          <w:sz w:val="24"/>
        </w:rPr>
      </w:pPr>
      <w:r>
        <w:rPr>
          <w:rFonts w:hint="eastAsia" w:ascii="Times New Roman" w:hAnsi="宋体" w:eastAsia="宋体" w:cs="Times New Roman"/>
          <w:sz w:val="24"/>
        </w:rPr>
        <w:t>11.1</w:t>
      </w:r>
      <w:r>
        <w:rPr>
          <w:rFonts w:hint="eastAsia" w:ascii="宋体" w:hAnsi="宋体" w:eastAsia="宋体" w:cs="宋体"/>
          <w:sz w:val="24"/>
        </w:rPr>
        <w:t>适用于本合同的标准规范包括：。</w:t>
      </w:r>
    </w:p>
    <w:p w14:paraId="4BEC936F">
      <w:pPr>
        <w:widowControl/>
        <w:spacing w:line="360" w:lineRule="auto"/>
        <w:ind w:left="480" w:hanging="480" w:hangingChars="200"/>
        <w:contextualSpacing/>
        <w:rPr>
          <w:rFonts w:ascii="宋体" w:hAnsi="宋体" w:eastAsia="宋体" w:cs="宋体"/>
          <w:sz w:val="24"/>
        </w:rPr>
      </w:pPr>
      <w:r>
        <w:rPr>
          <w:rFonts w:hint="eastAsia" w:ascii="Times New Roman" w:hAnsi="宋体" w:eastAsia="宋体" w:cs="Times New Roman"/>
          <w:sz w:val="24"/>
        </w:rPr>
        <w:t>11.2</w:t>
      </w:r>
      <w:r>
        <w:rPr>
          <w:rFonts w:hint="eastAsia" w:ascii="宋体" w:hAnsi="宋体" w:eastAsia="宋体" w:cs="宋体"/>
          <w:sz w:val="24"/>
        </w:rPr>
        <w:t>甲方提供国外</w:t>
      </w:r>
      <w:r>
        <w:rPr>
          <w:rFonts w:hint="eastAsia" w:ascii="Times New Roman" w:hAnsi="Times New Roman" w:eastAsia="宋体" w:cs="Calibri"/>
          <w:sz w:val="24"/>
        </w:rPr>
        <w:t>标准</w:t>
      </w:r>
      <w:r>
        <w:rPr>
          <w:rFonts w:hint="eastAsia" w:ascii="宋体" w:hAnsi="宋体" w:eastAsia="宋体" w:cs="宋体"/>
          <w:sz w:val="24"/>
        </w:rPr>
        <w:t>、规范的名称：；甲方提供国外标准、规范的份数：；提供国外标准、规范的名称：。</w:t>
      </w:r>
    </w:p>
    <w:p w14:paraId="7AC354A6">
      <w:pPr>
        <w:widowControl/>
        <w:spacing w:line="360" w:lineRule="auto"/>
        <w:ind w:left="480" w:hanging="480" w:hangingChars="200"/>
        <w:contextualSpacing/>
        <w:rPr>
          <w:rFonts w:ascii="宋体" w:hAnsi="宋体" w:eastAsia="宋体" w:cs="宋体"/>
          <w:color w:val="FF0000"/>
          <w:sz w:val="24"/>
        </w:rPr>
      </w:pPr>
      <w:r>
        <w:rPr>
          <w:rFonts w:hint="eastAsia" w:ascii="Times New Roman" w:hAnsi="宋体" w:eastAsia="宋体" w:cs="Times New Roman"/>
          <w:sz w:val="24"/>
        </w:rPr>
        <w:t>11.3</w:t>
      </w:r>
      <w:r>
        <w:rPr>
          <w:rFonts w:hint="eastAsia" w:ascii="宋体" w:hAnsi="宋体" w:eastAsia="宋体" w:cs="宋体"/>
          <w:sz w:val="24"/>
        </w:rPr>
        <w:t>甲方对合同的技术标准和功能要求的特殊要求：。</w:t>
      </w:r>
    </w:p>
    <w:p w14:paraId="6096E672">
      <w:pPr>
        <w:spacing w:line="360" w:lineRule="auto"/>
        <w:ind w:firstLine="420" w:firstLineChars="200"/>
        <w:rPr>
          <w:rFonts w:ascii="Times New Roman" w:hAnsi="Times New Roman" w:eastAsia="宋体" w:cs="Times New Roman"/>
        </w:rPr>
      </w:pPr>
    </w:p>
    <w:p w14:paraId="0ECB88F6">
      <w:pPr>
        <w:keepNext/>
        <w:keepLines/>
        <w:spacing w:line="360" w:lineRule="auto"/>
        <w:jc w:val="left"/>
        <w:outlineLvl w:val="1"/>
        <w:rPr>
          <w:rFonts w:ascii="黑体" w:hAnsi="黑体" w:eastAsia="黑体" w:cs="Times New Roman"/>
          <w:b/>
          <w:bCs/>
          <w:sz w:val="24"/>
        </w:rPr>
      </w:pPr>
      <w:bookmarkStart w:id="173" w:name="_Toc15317530"/>
      <w:r>
        <w:rPr>
          <w:rFonts w:ascii="黑体" w:hAnsi="黑体" w:eastAsia="黑体" w:cs="Times New Roman"/>
          <w:b/>
          <w:bCs/>
          <w:sz w:val="24"/>
        </w:rPr>
        <w:t>12.安全、环境和职业健康管理</w:t>
      </w:r>
      <w:bookmarkEnd w:id="173"/>
    </w:p>
    <w:p w14:paraId="64656828">
      <w:pPr>
        <w:widowControl/>
        <w:spacing w:line="360" w:lineRule="auto"/>
        <w:ind w:left="480" w:hanging="480" w:hangingChars="200"/>
        <w:contextualSpacing/>
        <w:rPr>
          <w:rFonts w:ascii="宋体" w:hAnsi="宋体" w:eastAsia="宋体" w:cs="宋体"/>
          <w:sz w:val="24"/>
        </w:rPr>
      </w:pPr>
      <w:r>
        <w:rPr>
          <w:rFonts w:hint="eastAsia" w:ascii="Times New Roman" w:hAnsi="宋体" w:eastAsia="宋体" w:cs="Times New Roman"/>
          <w:sz w:val="24"/>
        </w:rPr>
        <w:t>12.1</w:t>
      </w:r>
      <w:r>
        <w:rPr>
          <w:rFonts w:hint="eastAsia" w:ascii="宋体" w:hAnsi="宋体" w:eastAsia="宋体" w:cs="宋体"/>
          <w:sz w:val="24"/>
        </w:rPr>
        <w:t>乙方在履行</w:t>
      </w:r>
      <w:r>
        <w:rPr>
          <w:rFonts w:hint="eastAsia" w:ascii="Times New Roman" w:hAnsi="Times New Roman" w:eastAsia="宋体" w:cs="Calibri"/>
          <w:sz w:val="24"/>
        </w:rPr>
        <w:t>合同</w:t>
      </w:r>
      <w:r>
        <w:rPr>
          <w:rFonts w:hint="eastAsia" w:ascii="宋体" w:hAnsi="宋体" w:eastAsia="宋体" w:cs="宋体"/>
          <w:sz w:val="24"/>
        </w:rPr>
        <w:t>过程中的特别要求：。</w:t>
      </w:r>
    </w:p>
    <w:p w14:paraId="5762D02B">
      <w:pPr>
        <w:widowControl/>
        <w:spacing w:line="360" w:lineRule="auto"/>
        <w:ind w:left="480" w:hanging="480" w:hangingChars="200"/>
        <w:contextualSpacing/>
        <w:rPr>
          <w:rFonts w:ascii="宋体" w:hAnsi="宋体" w:eastAsia="宋体" w:cs="宋体"/>
          <w:sz w:val="24"/>
        </w:rPr>
      </w:pPr>
      <w:r>
        <w:rPr>
          <w:rFonts w:hint="eastAsia" w:ascii="Times New Roman" w:hAnsi="宋体" w:eastAsia="宋体" w:cs="Times New Roman"/>
          <w:sz w:val="24"/>
        </w:rPr>
        <w:t>12.2</w:t>
      </w:r>
      <w:r>
        <w:rPr>
          <w:rFonts w:hint="eastAsia" w:ascii="宋体" w:hAnsi="宋体" w:eastAsia="宋体" w:cs="宋体"/>
          <w:sz w:val="24"/>
        </w:rPr>
        <w:t>乙方在提供</w:t>
      </w:r>
      <w:r>
        <w:rPr>
          <w:rFonts w:hint="eastAsia" w:ascii="Times New Roman" w:hAnsi="Times New Roman" w:eastAsia="宋体" w:cs="Calibri"/>
          <w:sz w:val="24"/>
        </w:rPr>
        <w:t>技术服务</w:t>
      </w:r>
      <w:r>
        <w:rPr>
          <w:rFonts w:hint="eastAsia" w:ascii="宋体" w:hAnsi="宋体" w:eastAsia="宋体" w:cs="宋体"/>
          <w:sz w:val="24"/>
        </w:rPr>
        <w:t>时应当考虑：。</w:t>
      </w:r>
    </w:p>
    <w:p w14:paraId="6DF171AE">
      <w:pPr>
        <w:spacing w:line="360" w:lineRule="auto"/>
        <w:ind w:firstLine="480" w:firstLineChars="200"/>
        <w:rPr>
          <w:rFonts w:ascii="宋体" w:hAnsi="宋体" w:eastAsia="宋体" w:cs="Times New Roman"/>
          <w:sz w:val="24"/>
        </w:rPr>
      </w:pPr>
    </w:p>
    <w:p w14:paraId="2EAFBF5B">
      <w:pPr>
        <w:keepNext/>
        <w:keepLines/>
        <w:spacing w:line="360" w:lineRule="auto"/>
        <w:jc w:val="left"/>
        <w:outlineLvl w:val="1"/>
        <w:rPr>
          <w:rFonts w:ascii="黑体" w:hAnsi="黑体" w:eastAsia="黑体" w:cs="Times New Roman"/>
          <w:b/>
          <w:bCs/>
          <w:sz w:val="24"/>
        </w:rPr>
      </w:pPr>
      <w:bookmarkStart w:id="174" w:name="_Toc15317531"/>
      <w:r>
        <w:rPr>
          <w:rFonts w:hint="eastAsia" w:ascii="黑体" w:hAnsi="黑体" w:eastAsia="黑体" w:cs="Times New Roman"/>
          <w:b/>
          <w:bCs/>
          <w:sz w:val="24"/>
        </w:rPr>
        <w:t>13.知识产权</w:t>
      </w:r>
      <w:bookmarkEnd w:id="174"/>
    </w:p>
    <w:p w14:paraId="1B3F778D">
      <w:pPr>
        <w:widowControl/>
        <w:spacing w:line="360" w:lineRule="auto"/>
        <w:ind w:left="480" w:hanging="480" w:hangingChars="200"/>
        <w:contextualSpacing/>
        <w:rPr>
          <w:rFonts w:ascii="Times New Roman" w:hAnsi="Times New Roman" w:eastAsia="宋体" w:cs="Times New Roman"/>
          <w:sz w:val="24"/>
        </w:rPr>
      </w:pPr>
      <w:r>
        <w:rPr>
          <w:rFonts w:hint="eastAsia" w:ascii="Times New Roman" w:hAnsi="宋体" w:eastAsia="宋体" w:cs="Times New Roman"/>
          <w:sz w:val="24"/>
        </w:rPr>
        <w:t>13.6</w:t>
      </w:r>
      <w:r>
        <w:rPr>
          <w:rFonts w:ascii="Times New Roman" w:hAnsi="宋体" w:eastAsia="宋体" w:cs="Times New Roman"/>
          <w:sz w:val="24"/>
        </w:rPr>
        <w:t>甲方提供给</w:t>
      </w:r>
      <w:r>
        <w:rPr>
          <w:rFonts w:ascii="Times New Roman" w:hAnsi="Times New Roman" w:eastAsia="宋体" w:cs="Calibri"/>
          <w:sz w:val="24"/>
        </w:rPr>
        <w:t>乙方</w:t>
      </w:r>
      <w:r>
        <w:rPr>
          <w:rFonts w:ascii="Times New Roman" w:hAnsi="宋体" w:eastAsia="宋体" w:cs="Times New Roman"/>
          <w:sz w:val="24"/>
        </w:rPr>
        <w:t>的以及反映甲方关于合同要求或其他类似性质的文件、资料的知识产权归属甲方。关于甲方提供的上述文件、资料使用限制的要求：。</w:t>
      </w:r>
    </w:p>
    <w:p w14:paraId="22817063">
      <w:pPr>
        <w:widowControl/>
        <w:spacing w:line="360" w:lineRule="auto"/>
        <w:ind w:left="480" w:hanging="480" w:hangingChars="200"/>
        <w:contextualSpacing/>
        <w:rPr>
          <w:rFonts w:ascii="宋体" w:hAnsi="宋体" w:eastAsia="宋体" w:cs="Times New Roman"/>
          <w:color w:val="FF0000"/>
          <w:sz w:val="24"/>
        </w:rPr>
      </w:pPr>
      <w:r>
        <w:rPr>
          <w:rFonts w:hint="eastAsia" w:ascii="Times New Roman" w:hAnsi="宋体" w:eastAsia="宋体" w:cs="Times New Roman"/>
          <w:sz w:val="24"/>
        </w:rPr>
        <w:t>13.7</w:t>
      </w:r>
      <w:r>
        <w:rPr>
          <w:rFonts w:ascii="Times New Roman" w:hAnsi="宋体" w:eastAsia="宋体" w:cs="Times New Roman"/>
          <w:sz w:val="24"/>
        </w:rPr>
        <w:t>关于乙方为实施合同所编制的文件、技术方案等的知识产权的归属：。乙方完成合同任务所形成的成果的知识产权归属于</w:t>
      </w:r>
      <w:r>
        <w:rPr>
          <w:rFonts w:ascii="Times New Roman" w:hAnsi="Times New Roman" w:eastAsia="宋体" w:cs="Times New Roman"/>
          <w:sz w:val="24"/>
        </w:rPr>
        <w:t>:</w:t>
      </w:r>
      <w:r>
        <w:rPr>
          <w:rFonts w:ascii="Times New Roman" w:hAnsi="宋体" w:eastAsia="宋体" w:cs="Times New Roman"/>
          <w:sz w:val="24"/>
        </w:rPr>
        <w:t>。若归属于双方，则双方均有权各自使用，收益或处分。</w:t>
      </w:r>
    </w:p>
    <w:p w14:paraId="094BAAD2">
      <w:pPr>
        <w:spacing w:line="360" w:lineRule="auto"/>
        <w:ind w:firstLine="480" w:firstLineChars="200"/>
        <w:rPr>
          <w:rFonts w:ascii="Times New Roman" w:hAnsi="Times New Roman" w:eastAsia="宋体" w:cs="Times New Roman"/>
          <w:sz w:val="24"/>
        </w:rPr>
      </w:pPr>
    </w:p>
    <w:p w14:paraId="1774021D">
      <w:pPr>
        <w:keepNext/>
        <w:keepLines/>
        <w:spacing w:line="360" w:lineRule="auto"/>
        <w:jc w:val="left"/>
        <w:outlineLvl w:val="1"/>
        <w:rPr>
          <w:rFonts w:ascii="宋体" w:hAnsi="宋体" w:eastAsia="宋体" w:cs="Times New Roman"/>
          <w:b/>
          <w:bCs/>
          <w:sz w:val="24"/>
        </w:rPr>
      </w:pPr>
      <w:bookmarkStart w:id="175" w:name="_Toc15317532"/>
      <w:bookmarkStart w:id="176" w:name="_Toc509580327"/>
      <w:r>
        <w:rPr>
          <w:rFonts w:hint="eastAsia" w:ascii="黑体" w:hAnsi="黑体" w:eastAsia="黑体" w:cs="Times New Roman"/>
          <w:b/>
          <w:bCs/>
          <w:sz w:val="24"/>
        </w:rPr>
        <w:t>14.违约责任</w:t>
      </w:r>
      <w:bookmarkEnd w:id="175"/>
      <w:bookmarkEnd w:id="176"/>
    </w:p>
    <w:p w14:paraId="19F2915F">
      <w:pPr>
        <w:widowControl/>
        <w:spacing w:line="360" w:lineRule="auto"/>
        <w:ind w:firstLine="482" w:firstLineChars="200"/>
        <w:contextualSpacing/>
        <w:rPr>
          <w:rFonts w:ascii="Times New Roman" w:hAnsi="Times New Roman" w:eastAsia="宋体" w:cs="Times New Roman"/>
          <w:b/>
          <w:color w:val="FF0000"/>
          <w:sz w:val="24"/>
        </w:rPr>
      </w:pPr>
      <w:r>
        <w:rPr>
          <w:rFonts w:ascii="Times New Roman" w:hAnsi="宋体" w:eastAsia="宋体" w:cs="Times New Roman"/>
          <w:b/>
          <w:color w:val="FF0000"/>
          <w:sz w:val="24"/>
        </w:rPr>
        <w:t>。</w:t>
      </w:r>
    </w:p>
    <w:p w14:paraId="11BFC4CF">
      <w:pPr>
        <w:spacing w:line="360" w:lineRule="auto"/>
        <w:ind w:firstLine="240"/>
        <w:rPr>
          <w:rFonts w:ascii="黑体" w:hAnsi="黑体" w:eastAsia="黑体" w:cs="Times New Roman"/>
          <w:b/>
          <w:bCs/>
          <w:vanish/>
          <w:color w:val="FF0000"/>
          <w:sz w:val="24"/>
        </w:rPr>
      </w:pPr>
      <w:bookmarkStart w:id="177" w:name="_Toc509580328"/>
    </w:p>
    <w:p w14:paraId="0F89F999">
      <w:pPr>
        <w:keepNext/>
        <w:keepLines/>
        <w:spacing w:line="360" w:lineRule="auto"/>
        <w:jc w:val="left"/>
        <w:outlineLvl w:val="1"/>
        <w:rPr>
          <w:rFonts w:ascii="黑体" w:hAnsi="黑体" w:eastAsia="黑体" w:cs="Times New Roman"/>
          <w:b/>
          <w:bCs/>
          <w:sz w:val="24"/>
        </w:rPr>
      </w:pPr>
      <w:bookmarkStart w:id="178" w:name="_Toc15317533"/>
      <w:r>
        <w:rPr>
          <w:rFonts w:hint="eastAsia" w:ascii="黑体" w:hAnsi="黑体" w:eastAsia="黑体" w:cs="Times New Roman"/>
          <w:b/>
          <w:bCs/>
          <w:sz w:val="24"/>
        </w:rPr>
        <w:t>20.保密</w:t>
      </w:r>
      <w:bookmarkEnd w:id="177"/>
      <w:bookmarkEnd w:id="178"/>
    </w:p>
    <w:p w14:paraId="6297B1F4">
      <w:pPr>
        <w:spacing w:line="360" w:lineRule="auto"/>
        <w:ind w:left="480" w:hanging="480" w:hangingChars="200"/>
        <w:rPr>
          <w:rFonts w:ascii="Times New Roman" w:hAnsi="宋体" w:eastAsia="宋体" w:cs="Times New Roman"/>
          <w:sz w:val="24"/>
        </w:rPr>
      </w:pPr>
      <w:r>
        <w:rPr>
          <w:rFonts w:hint="eastAsia" w:ascii="Times New Roman" w:hAnsi="宋体" w:eastAsia="宋体" w:cs="Times New Roman"/>
          <w:sz w:val="24"/>
        </w:rPr>
        <w:t>20.1本</w:t>
      </w:r>
      <w:r>
        <w:rPr>
          <w:rFonts w:hint="eastAsia" w:ascii="Times New Roman" w:hAnsi="Times New Roman" w:eastAsia="宋体" w:cs="Calibri"/>
          <w:sz w:val="24"/>
        </w:rPr>
        <w:t>项目</w:t>
      </w:r>
      <w:r>
        <w:rPr>
          <w:rFonts w:hint="eastAsia" w:ascii="Times New Roman" w:hAnsi="宋体" w:eastAsia="宋体" w:cs="Times New Roman"/>
          <w:sz w:val="24"/>
        </w:rPr>
        <w:t>的密级为</w:t>
      </w:r>
      <w:bookmarkStart w:id="179" w:name="_Toc519523036"/>
      <w:bookmarkEnd w:id="179"/>
      <w:bookmarkStart w:id="180" w:name="_Toc520796186"/>
      <w:bookmarkEnd w:id="180"/>
      <w:bookmarkStart w:id="181" w:name="_Toc518985230"/>
      <w:bookmarkEnd w:id="181"/>
      <w:bookmarkStart w:id="182" w:name="_Toc520795786"/>
      <w:bookmarkEnd w:id="182"/>
      <w:bookmarkStart w:id="183" w:name="_Toc518984683"/>
      <w:bookmarkEnd w:id="183"/>
      <w:bookmarkStart w:id="184" w:name="_Toc519279003"/>
      <w:bookmarkEnd w:id="184"/>
      <w:bookmarkStart w:id="185" w:name="_Toc518985525"/>
      <w:bookmarkEnd w:id="185"/>
      <w:r>
        <w:rPr>
          <w:rFonts w:hint="eastAsia" w:ascii="Times New Roman" w:hAnsi="宋体" w:eastAsia="宋体" w:cs="Times New Roman"/>
          <w:sz w:val="24"/>
        </w:rPr>
        <w:t>，</w:t>
      </w:r>
      <w:r>
        <w:rPr>
          <w:rFonts w:hint="eastAsia" w:ascii="宋体" w:hAnsi="宋体" w:eastAsia="宋体" w:cs="Times New Roman"/>
          <w:bCs/>
          <w:sz w:val="24"/>
        </w:rPr>
        <w:t>本项目的具体涉密事项为</w:t>
      </w:r>
      <w:r>
        <w:rPr>
          <w:rFonts w:hint="eastAsia" w:ascii="Times New Roman" w:hAnsi="宋体" w:eastAsia="宋体" w:cs="Times New Roman"/>
          <w:sz w:val="24"/>
        </w:rPr>
        <w:t>。</w:t>
      </w:r>
    </w:p>
    <w:p w14:paraId="560CD96E">
      <w:pPr>
        <w:spacing w:line="360" w:lineRule="auto"/>
        <w:ind w:firstLine="480" w:firstLineChars="200"/>
        <w:rPr>
          <w:rFonts w:ascii="Times New Roman" w:hAnsi="宋体" w:eastAsia="宋体" w:cs="Times New Roman"/>
          <w:sz w:val="24"/>
        </w:rPr>
      </w:pPr>
      <w:r>
        <w:rPr>
          <w:rFonts w:hint="eastAsia" w:ascii="Times New Roman" w:hAnsi="宋体" w:eastAsia="宋体" w:cs="Times New Roman"/>
          <w:sz w:val="24"/>
        </w:rPr>
        <w:t>（1）本项不涉及国家秘密，无具体涉密事项。</w:t>
      </w:r>
    </w:p>
    <w:p w14:paraId="07F1ADCE">
      <w:pPr>
        <w:widowControl/>
        <w:spacing w:line="360" w:lineRule="auto"/>
        <w:ind w:firstLine="480" w:firstLineChars="200"/>
        <w:contextualSpacing/>
        <w:rPr>
          <w:rFonts w:ascii="Times New Roman" w:hAnsi="宋体" w:eastAsia="宋体" w:cs="Times New Roman"/>
          <w:sz w:val="24"/>
        </w:rPr>
      </w:pPr>
      <w:r>
        <w:rPr>
          <w:rFonts w:hint="eastAsia" w:ascii="Times New Roman" w:hAnsi="宋体" w:eastAsia="宋体" w:cs="Times New Roman"/>
          <w:sz w:val="24"/>
        </w:rPr>
        <w:t>（2）本项目涉及国家秘密，详见</w:t>
      </w:r>
      <w:r>
        <w:rPr>
          <w:rFonts w:hint="eastAsia" w:ascii="Times New Roman" w:hAnsi="宋体" w:eastAsia="宋体" w:cs="Times New Roman"/>
          <w:b/>
          <w:color w:val="FF0000"/>
          <w:sz w:val="24"/>
          <w:u w:val="thick"/>
        </w:rPr>
        <w:t>本项目具体涉密事项清单（另册）</w:t>
      </w:r>
      <w:r>
        <w:rPr>
          <w:rFonts w:hint="eastAsia" w:ascii="Times New Roman" w:hAnsi="宋体" w:eastAsia="宋体" w:cs="Times New Roman"/>
          <w:sz w:val="24"/>
        </w:rPr>
        <w:t>。</w:t>
      </w:r>
    </w:p>
    <w:p w14:paraId="740DF876">
      <w:pPr>
        <w:widowControl/>
        <w:spacing w:line="360" w:lineRule="auto"/>
        <w:ind w:left="480" w:hanging="480" w:hangingChars="200"/>
        <w:contextualSpacing/>
        <w:rPr>
          <w:rFonts w:ascii="Times New Roman" w:hAnsi="Times New Roman" w:eastAsia="宋体" w:cs="Times New Roman"/>
          <w:sz w:val="24"/>
        </w:rPr>
      </w:pPr>
    </w:p>
    <w:p w14:paraId="2FCA2A13">
      <w:pPr>
        <w:keepNext/>
        <w:keepLines/>
        <w:spacing w:line="360" w:lineRule="auto"/>
        <w:jc w:val="left"/>
        <w:outlineLvl w:val="1"/>
        <w:rPr>
          <w:rFonts w:ascii="宋体" w:hAnsi="宋体" w:eastAsia="宋体" w:cs="Times New Roman"/>
          <w:b/>
          <w:bCs/>
          <w:sz w:val="24"/>
        </w:rPr>
      </w:pPr>
      <w:bookmarkStart w:id="186" w:name="_Toc15317534"/>
      <w:r>
        <w:rPr>
          <w:rFonts w:hint="eastAsia" w:ascii="黑体" w:hAnsi="黑体" w:eastAsia="黑体" w:cs="Times New Roman"/>
          <w:b/>
          <w:bCs/>
          <w:sz w:val="24"/>
        </w:rPr>
        <w:t>24.其他</w:t>
      </w:r>
      <w:r>
        <w:rPr>
          <w:rFonts w:ascii="黑体" w:hAnsi="黑体" w:eastAsia="黑体" w:cs="Times New Roman"/>
          <w:b/>
          <w:bCs/>
          <w:sz w:val="24"/>
        </w:rPr>
        <w:t>约定</w:t>
      </w:r>
      <w:bookmarkEnd w:id="186"/>
    </w:p>
    <w:p w14:paraId="09A2BD6B">
      <w:pPr>
        <w:spacing w:line="360" w:lineRule="auto"/>
        <w:rPr>
          <w:rFonts w:ascii="Times New Roman" w:hAnsi="Times New Roman" w:eastAsia="宋体" w:cs="Times New Roman"/>
          <w:sz w:val="24"/>
        </w:rPr>
      </w:pPr>
      <w:r>
        <w:rPr>
          <w:rFonts w:hint="eastAsia" w:ascii="Times New Roman" w:hAnsi="Times New Roman" w:eastAsia="宋体" w:cs="Times New Roman"/>
          <w:sz w:val="24"/>
        </w:rPr>
        <w:t>24.1绩效控制和监视</w:t>
      </w:r>
    </w:p>
    <w:p w14:paraId="60D8B2B2">
      <w:pPr>
        <w:widowControl/>
        <w:spacing w:line="360" w:lineRule="auto"/>
        <w:ind w:firstLine="480" w:firstLineChars="200"/>
        <w:contextualSpacing/>
        <w:rPr>
          <w:rFonts w:ascii="Times New Roman" w:hAnsi="宋体" w:eastAsia="宋体" w:cs="Times New Roman"/>
          <w:sz w:val="24"/>
        </w:rPr>
      </w:pPr>
      <w:r>
        <w:rPr>
          <w:rFonts w:hint="eastAsia" w:ascii="Times New Roman" w:hAnsi="宋体" w:eastAsia="宋体" w:cs="Times New Roman"/>
          <w:sz w:val="24"/>
        </w:rPr>
        <w:t>在合同执行过程中，为确保乙方有能力履行合同，甲方需对其运营情况、产品质量、履约能力进行绩效控制和监控。根据合同金额，乙方应按下列第条提供绩效报告，绩效报告应包含但不限于商务方面、进度控制方面、质量方面、技术方面等内容。</w:t>
      </w:r>
    </w:p>
    <w:p w14:paraId="725CF341">
      <w:pPr>
        <w:widowControl/>
        <w:spacing w:line="360" w:lineRule="auto"/>
        <w:ind w:firstLine="480" w:firstLineChars="200"/>
        <w:contextualSpacing/>
        <w:rPr>
          <w:rFonts w:ascii="Times New Roman" w:hAnsi="宋体" w:eastAsia="宋体" w:cs="Times New Roman"/>
          <w:sz w:val="24"/>
        </w:rPr>
      </w:pPr>
      <w:r>
        <w:rPr>
          <w:rFonts w:hint="eastAsia" w:ascii="Times New Roman" w:hAnsi="宋体" w:eastAsia="宋体" w:cs="Times New Roman"/>
          <w:sz w:val="24"/>
        </w:rPr>
        <w:t>（</w:t>
      </w:r>
      <w:r>
        <w:rPr>
          <w:rFonts w:ascii="Times New Roman" w:hAnsi="宋体" w:eastAsia="宋体" w:cs="Times New Roman"/>
          <w:sz w:val="24"/>
        </w:rPr>
        <w:t>1</w:t>
      </w:r>
      <w:r>
        <w:rPr>
          <w:rFonts w:hint="eastAsia" w:ascii="Times New Roman" w:hAnsi="宋体" w:eastAsia="宋体" w:cs="Times New Roman"/>
          <w:sz w:val="24"/>
        </w:rPr>
        <w:t>）合同金额≥2亿元时，乙方应每年度向甲方提供绩效报告。</w:t>
      </w:r>
    </w:p>
    <w:p w14:paraId="5932A8EB">
      <w:pPr>
        <w:widowControl/>
        <w:spacing w:line="360" w:lineRule="auto"/>
        <w:ind w:firstLine="480" w:firstLineChars="200"/>
        <w:contextualSpacing/>
        <w:rPr>
          <w:rFonts w:ascii="Times New Roman" w:hAnsi="宋体" w:eastAsia="宋体" w:cs="Times New Roman"/>
          <w:sz w:val="24"/>
        </w:rPr>
      </w:pPr>
      <w:r>
        <w:rPr>
          <w:rFonts w:hint="eastAsia" w:ascii="Times New Roman" w:hAnsi="宋体" w:eastAsia="宋体" w:cs="Times New Roman"/>
          <w:sz w:val="24"/>
        </w:rPr>
        <w:t>（</w:t>
      </w:r>
      <w:r>
        <w:rPr>
          <w:rFonts w:ascii="Times New Roman" w:hAnsi="宋体" w:eastAsia="宋体" w:cs="Times New Roman"/>
          <w:sz w:val="24"/>
        </w:rPr>
        <w:t>2</w:t>
      </w:r>
      <w:r>
        <w:rPr>
          <w:rFonts w:hint="eastAsia" w:ascii="Times New Roman" w:hAnsi="宋体" w:eastAsia="宋体" w:cs="Times New Roman"/>
          <w:sz w:val="24"/>
        </w:rPr>
        <w:t>）2000万元≤合同金额＜2亿元时，乙方应在合同执行期间向甲方提供至少一次绩效报告。</w:t>
      </w:r>
    </w:p>
    <w:p w14:paraId="03498409">
      <w:pPr>
        <w:widowControl/>
        <w:spacing w:line="360" w:lineRule="auto"/>
        <w:ind w:firstLine="480" w:firstLineChars="200"/>
        <w:contextualSpacing/>
        <w:rPr>
          <w:rFonts w:ascii="宋体" w:hAnsi="宋体" w:eastAsia="宋体" w:cs="Times New Roman"/>
          <w:color w:val="000000"/>
          <w:sz w:val="24"/>
        </w:rPr>
      </w:pPr>
      <w:r>
        <w:rPr>
          <w:rFonts w:hint="eastAsia" w:ascii="Times New Roman" w:hAnsi="宋体" w:eastAsia="宋体" w:cs="Times New Roman"/>
          <w:sz w:val="24"/>
        </w:rPr>
        <w:t>（</w:t>
      </w:r>
      <w:r>
        <w:rPr>
          <w:rFonts w:ascii="Times New Roman" w:hAnsi="宋体" w:eastAsia="宋体" w:cs="Times New Roman"/>
          <w:sz w:val="24"/>
        </w:rPr>
        <w:t>3</w:t>
      </w:r>
      <w:r>
        <w:rPr>
          <w:rFonts w:hint="eastAsia" w:ascii="Times New Roman" w:hAnsi="宋体" w:eastAsia="宋体" w:cs="Times New Roman"/>
          <w:sz w:val="24"/>
        </w:rPr>
        <w:t>）合同金额＜2000万元时，当乙方经营状况、管理关系、技术路线、质量保证能力等发生重大变化，可能影响合同执行时，乙方需向甲方提供绩效报告。</w:t>
      </w:r>
    </w:p>
    <w:p w14:paraId="79ED7D64">
      <w:pPr>
        <w:spacing w:line="360" w:lineRule="auto"/>
        <w:rPr>
          <w:rFonts w:ascii="宋体" w:hAnsi="宋体" w:eastAsia="宋体" w:cs="Times New Roman"/>
          <w:sz w:val="24"/>
        </w:rPr>
      </w:pPr>
      <w:r>
        <w:rPr>
          <w:rFonts w:ascii="Times New Roman" w:hAnsi="Times New Roman" w:eastAsia="宋体" w:cs="Calibri"/>
          <w:color w:val="FF0000"/>
          <w:sz w:val="24"/>
        </w:rPr>
        <w:t>24.2</w:t>
      </w:r>
      <w:r>
        <w:rPr>
          <w:rFonts w:hint="eastAsia" w:ascii="Times New Roman" w:hAnsi="Times New Roman" w:eastAsia="宋体" w:cs="Times New Roman"/>
          <w:b/>
          <w:color w:val="FF0000"/>
          <w:sz w:val="24"/>
          <w:u w:val="single"/>
        </w:rPr>
        <w:t xml:space="preserve">  </w:t>
      </w:r>
      <w:r>
        <w:rPr>
          <w:rFonts w:hint="eastAsia" w:ascii="Times New Roman" w:hAnsi="Times New Roman" w:eastAsia="宋体" w:cs="Times New Roman"/>
          <w:b/>
          <w:color w:val="FF0000"/>
          <w:sz w:val="24"/>
          <w:u w:val="single"/>
          <w:lang w:val="en-US" w:eastAsia="zh-CN"/>
        </w:rPr>
        <w:t xml:space="preserve">               </w:t>
      </w:r>
      <w:r>
        <w:rPr>
          <w:rFonts w:hint="eastAsia" w:ascii="宋体" w:hAnsi="宋体" w:eastAsia="宋体" w:cs="Times New Roman"/>
          <w:sz w:val="24"/>
        </w:rPr>
        <w:t>。</w:t>
      </w:r>
    </w:p>
    <w:p w14:paraId="5B9BE6D6">
      <w:pPr>
        <w:spacing w:line="360" w:lineRule="auto"/>
        <w:ind w:firstLine="482" w:firstLineChars="200"/>
        <w:rPr>
          <w:rFonts w:ascii="宋体" w:hAnsi="宋体" w:eastAsia="宋体" w:cs="Times New Roman"/>
          <w:b/>
          <w:color w:val="FF0000"/>
          <w:sz w:val="24"/>
        </w:rPr>
      </w:pPr>
    </w:p>
    <w:p w14:paraId="351D0599">
      <w:pPr>
        <w:spacing w:line="360" w:lineRule="auto"/>
        <w:ind w:firstLine="480" w:firstLineChars="200"/>
        <w:rPr>
          <w:rFonts w:ascii="宋体" w:hAnsi="宋体" w:eastAsia="宋体" w:cs="Times New Roman"/>
          <w:sz w:val="24"/>
        </w:rPr>
      </w:pPr>
    </w:p>
    <w:p w14:paraId="3489584D">
      <w:pPr>
        <w:spacing w:line="360" w:lineRule="auto"/>
        <w:ind w:firstLine="480" w:firstLineChars="200"/>
        <w:rPr>
          <w:rFonts w:ascii="宋体" w:hAnsi="宋体" w:eastAsia="宋体" w:cs="Times New Roman"/>
          <w:sz w:val="24"/>
        </w:rPr>
      </w:pPr>
      <w:r>
        <w:rPr>
          <w:rFonts w:ascii="宋体" w:hAnsi="宋体" w:eastAsia="宋体" w:cs="Times New Roman"/>
          <w:sz w:val="24"/>
        </w:rPr>
        <w:t>本页以下无正文，为</w:t>
      </w:r>
      <w:r>
        <w:rPr>
          <w:rFonts w:ascii="Times New Roman" w:hAnsi="宋体" w:eastAsia="宋体" w:cs="Times New Roman"/>
          <w:sz w:val="24"/>
        </w:rPr>
        <w:t>合同</w:t>
      </w:r>
      <w:r>
        <w:rPr>
          <w:rFonts w:ascii="宋体" w:hAnsi="宋体" w:eastAsia="宋体" w:cs="Times New Roman"/>
          <w:sz w:val="24"/>
        </w:rPr>
        <w:t>签署页。</w:t>
      </w:r>
    </w:p>
    <w:p w14:paraId="7192173C">
      <w:pPr>
        <w:widowControl/>
        <w:spacing w:line="360" w:lineRule="auto"/>
        <w:jc w:val="left"/>
        <w:rPr>
          <w:rFonts w:ascii="宋体" w:hAnsi="宋体" w:eastAsia="宋体" w:cs="Times New Roman"/>
          <w:snapToGrid w:val="0"/>
          <w:sz w:val="24"/>
        </w:rPr>
      </w:pPr>
      <w:bookmarkStart w:id="187" w:name="_Toc359396409"/>
      <w:bookmarkStart w:id="188" w:name="_Toc336356852"/>
      <w:bookmarkStart w:id="189" w:name="_Toc466394461"/>
      <w:bookmarkStart w:id="190" w:name="_Toc466394069"/>
      <w:r>
        <w:rPr>
          <w:rFonts w:ascii="宋体" w:hAnsi="宋体" w:eastAsia="宋体" w:cs="Times New Roman"/>
          <w:snapToGrid w:val="0"/>
          <w:sz w:val="24"/>
        </w:rPr>
        <w:br w:type="page"/>
      </w:r>
    </w:p>
    <w:tbl>
      <w:tblPr>
        <w:tblStyle w:val="22"/>
        <w:tblW w:w="8897" w:type="dxa"/>
        <w:jc w:val="center"/>
        <w:tblLayout w:type="fixed"/>
        <w:tblCellMar>
          <w:top w:w="0" w:type="dxa"/>
          <w:left w:w="108" w:type="dxa"/>
          <w:bottom w:w="0" w:type="dxa"/>
          <w:right w:w="108" w:type="dxa"/>
        </w:tblCellMar>
      </w:tblPr>
      <w:tblGrid>
        <w:gridCol w:w="4261"/>
        <w:gridCol w:w="4636"/>
      </w:tblGrid>
      <w:tr w14:paraId="3E751C0D">
        <w:tblPrEx>
          <w:tblCellMar>
            <w:top w:w="0" w:type="dxa"/>
            <w:left w:w="108" w:type="dxa"/>
            <w:bottom w:w="0" w:type="dxa"/>
            <w:right w:w="108" w:type="dxa"/>
          </w:tblCellMar>
        </w:tblPrEx>
        <w:trPr>
          <w:jc w:val="center"/>
        </w:trPr>
        <w:tc>
          <w:tcPr>
            <w:tcW w:w="4261" w:type="dxa"/>
            <w:noWrap/>
            <w:vAlign w:val="center"/>
          </w:tcPr>
          <w:p w14:paraId="460E97C1">
            <w:pPr>
              <w:spacing w:line="360" w:lineRule="auto"/>
              <w:rPr>
                <w:rFonts w:ascii="宋体" w:hAnsi="Times New Roman" w:eastAsia="宋体" w:cs="Times New Roman"/>
                <w:b/>
                <w:bCs/>
              </w:rPr>
            </w:pPr>
            <w:r>
              <w:rPr>
                <w:rFonts w:hint="eastAsia" w:ascii="宋体" w:hAnsi="宋体" w:eastAsia="宋体" w:cs="仿宋_GB2312"/>
                <w:b/>
                <w:bCs/>
                <w:sz w:val="24"/>
              </w:rPr>
              <w:t>甲方：中国核动力研究设计院</w:t>
            </w:r>
          </w:p>
        </w:tc>
        <w:tc>
          <w:tcPr>
            <w:tcW w:w="4636" w:type="dxa"/>
            <w:noWrap/>
            <w:vAlign w:val="center"/>
          </w:tcPr>
          <w:p w14:paraId="677FE7E1">
            <w:pPr>
              <w:spacing w:line="360" w:lineRule="auto"/>
              <w:ind w:left="420" w:leftChars="200"/>
              <w:rPr>
                <w:rFonts w:ascii="宋体" w:hAnsi="Times New Roman" w:eastAsia="宋体" w:cs="Times New Roman"/>
                <w:b/>
                <w:bCs/>
              </w:rPr>
            </w:pPr>
            <w:r>
              <w:rPr>
                <w:rFonts w:hint="eastAsia" w:ascii="宋体" w:hAnsi="宋体" w:eastAsia="宋体" w:cs="仿宋_GB2312"/>
                <w:b/>
                <w:bCs/>
                <w:sz w:val="24"/>
              </w:rPr>
              <w:t>乙方：</w:t>
            </w:r>
          </w:p>
        </w:tc>
      </w:tr>
      <w:tr w14:paraId="2E9E5D9C">
        <w:tblPrEx>
          <w:tblCellMar>
            <w:top w:w="0" w:type="dxa"/>
            <w:left w:w="108" w:type="dxa"/>
            <w:bottom w:w="0" w:type="dxa"/>
            <w:right w:w="108" w:type="dxa"/>
          </w:tblCellMar>
        </w:tblPrEx>
        <w:trPr>
          <w:jc w:val="center"/>
        </w:trPr>
        <w:tc>
          <w:tcPr>
            <w:tcW w:w="4261" w:type="dxa"/>
            <w:noWrap/>
            <w:vAlign w:val="center"/>
          </w:tcPr>
          <w:p w14:paraId="0C1BBD41">
            <w:pPr>
              <w:spacing w:line="360" w:lineRule="auto"/>
              <w:rPr>
                <w:rFonts w:ascii="宋体" w:hAnsi="Times New Roman" w:eastAsia="宋体" w:cs="仿宋_GB2312"/>
                <w:color w:val="000000"/>
              </w:rPr>
            </w:pPr>
            <w:r>
              <w:rPr>
                <w:rFonts w:hint="eastAsia" w:ascii="宋体" w:hAnsi="宋体" w:eastAsia="宋体" w:cs="仿宋_GB2312"/>
                <w:color w:val="000000"/>
                <w:sz w:val="24"/>
              </w:rPr>
              <w:t>法定代表人（单位负责人）或</w:t>
            </w:r>
          </w:p>
          <w:p w14:paraId="7F03ABB1">
            <w:pPr>
              <w:spacing w:line="360" w:lineRule="auto"/>
              <w:rPr>
                <w:rFonts w:ascii="宋体" w:hAnsi="Times New Roman" w:eastAsia="宋体" w:cs="仿宋_GB2312"/>
                <w:b/>
                <w:bCs/>
                <w:color w:val="000000"/>
              </w:rPr>
            </w:pPr>
            <w:r>
              <w:rPr>
                <w:rFonts w:hint="eastAsia" w:ascii="宋体" w:hAnsi="宋体" w:eastAsia="宋体" w:cs="仿宋_GB2312"/>
                <w:color w:val="000000"/>
                <w:sz w:val="24"/>
              </w:rPr>
              <w:t>其委托代理人（签字）：</w:t>
            </w:r>
          </w:p>
        </w:tc>
        <w:tc>
          <w:tcPr>
            <w:tcW w:w="4636" w:type="dxa"/>
            <w:noWrap/>
            <w:vAlign w:val="center"/>
          </w:tcPr>
          <w:p w14:paraId="67A707E8">
            <w:pPr>
              <w:spacing w:line="360" w:lineRule="auto"/>
              <w:ind w:left="420" w:leftChars="200"/>
              <w:rPr>
                <w:rFonts w:ascii="宋体" w:hAnsi="Times New Roman" w:eastAsia="宋体" w:cs="仿宋_GB2312"/>
                <w:color w:val="000000"/>
              </w:rPr>
            </w:pPr>
            <w:r>
              <w:rPr>
                <w:rFonts w:hint="eastAsia" w:ascii="宋体" w:hAnsi="宋体" w:eastAsia="宋体" w:cs="仿宋_GB2312"/>
                <w:color w:val="000000"/>
                <w:sz w:val="24"/>
              </w:rPr>
              <w:t>法定代表人（单位负责人）或</w:t>
            </w:r>
          </w:p>
          <w:p w14:paraId="71AB71B0">
            <w:pPr>
              <w:spacing w:line="360" w:lineRule="auto"/>
              <w:ind w:left="420" w:leftChars="200"/>
              <w:rPr>
                <w:rFonts w:ascii="宋体" w:hAnsi="Times New Roman" w:eastAsia="宋体" w:cs="仿宋_GB2312"/>
                <w:b/>
                <w:bCs/>
                <w:color w:val="000000"/>
              </w:rPr>
            </w:pPr>
            <w:r>
              <w:rPr>
                <w:rFonts w:hint="eastAsia" w:ascii="宋体" w:hAnsi="宋体" w:eastAsia="宋体" w:cs="仿宋_GB2312"/>
                <w:color w:val="000000"/>
                <w:sz w:val="24"/>
              </w:rPr>
              <w:t>其委托代理人（签字）：</w:t>
            </w:r>
          </w:p>
        </w:tc>
      </w:tr>
      <w:tr w14:paraId="6ED9EC8D">
        <w:tblPrEx>
          <w:tblCellMar>
            <w:top w:w="0" w:type="dxa"/>
            <w:left w:w="108" w:type="dxa"/>
            <w:bottom w:w="0" w:type="dxa"/>
            <w:right w:w="108" w:type="dxa"/>
          </w:tblCellMar>
        </w:tblPrEx>
        <w:trPr>
          <w:jc w:val="center"/>
        </w:trPr>
        <w:tc>
          <w:tcPr>
            <w:tcW w:w="4261" w:type="dxa"/>
            <w:noWrap/>
            <w:vAlign w:val="center"/>
          </w:tcPr>
          <w:p w14:paraId="54B8DF44">
            <w:pPr>
              <w:spacing w:line="360" w:lineRule="auto"/>
              <w:rPr>
                <w:rFonts w:ascii="宋体" w:hAnsi="Times New Roman" w:eastAsia="宋体" w:cs="仿宋_GB2312"/>
                <w:color w:val="000000"/>
              </w:rPr>
            </w:pPr>
          </w:p>
          <w:p w14:paraId="5FFD27CA">
            <w:pPr>
              <w:spacing w:line="360" w:lineRule="auto"/>
              <w:rPr>
                <w:rFonts w:ascii="宋体" w:hAnsi="Times New Roman" w:eastAsia="宋体" w:cs="仿宋_GB2312"/>
                <w:color w:val="000000"/>
              </w:rPr>
            </w:pPr>
          </w:p>
          <w:p w14:paraId="77439F21">
            <w:pPr>
              <w:spacing w:line="360" w:lineRule="auto"/>
              <w:rPr>
                <w:rFonts w:ascii="宋体" w:hAnsi="Times New Roman" w:eastAsia="宋体" w:cs="仿宋_GB2312"/>
                <w:color w:val="000000"/>
              </w:rPr>
            </w:pPr>
            <w:r>
              <w:rPr>
                <w:rFonts w:hint="eastAsia" w:ascii="宋体" w:hAnsi="宋体" w:eastAsia="宋体" w:cs="仿宋_GB2312"/>
                <w:color w:val="000000"/>
                <w:sz w:val="24"/>
              </w:rPr>
              <w:t>　　　年　　月　　日</w:t>
            </w:r>
          </w:p>
        </w:tc>
        <w:tc>
          <w:tcPr>
            <w:tcW w:w="4636" w:type="dxa"/>
            <w:noWrap/>
            <w:vAlign w:val="center"/>
          </w:tcPr>
          <w:p w14:paraId="68C451ED">
            <w:pPr>
              <w:spacing w:line="360" w:lineRule="auto"/>
              <w:ind w:left="420" w:leftChars="200"/>
              <w:rPr>
                <w:rFonts w:ascii="宋体" w:hAnsi="Times New Roman" w:eastAsia="宋体" w:cs="仿宋_GB2312"/>
                <w:color w:val="000000"/>
              </w:rPr>
            </w:pPr>
          </w:p>
          <w:p w14:paraId="73656995">
            <w:pPr>
              <w:spacing w:line="360" w:lineRule="auto"/>
              <w:ind w:left="420" w:leftChars="200"/>
              <w:rPr>
                <w:rFonts w:ascii="宋体" w:hAnsi="Times New Roman" w:eastAsia="宋体" w:cs="仿宋_GB2312"/>
                <w:color w:val="000000"/>
              </w:rPr>
            </w:pPr>
          </w:p>
          <w:p w14:paraId="218BAFA6">
            <w:pPr>
              <w:spacing w:line="360" w:lineRule="auto"/>
              <w:ind w:firstLine="2040" w:firstLineChars="850"/>
              <w:rPr>
                <w:rFonts w:ascii="宋体" w:hAnsi="Times New Roman" w:eastAsia="宋体" w:cs="仿宋_GB2312"/>
                <w:color w:val="000000"/>
              </w:rPr>
            </w:pPr>
            <w:r>
              <w:rPr>
                <w:rFonts w:hint="eastAsia" w:ascii="宋体" w:hAnsi="宋体" w:eastAsia="宋体" w:cs="仿宋_GB2312"/>
                <w:color w:val="000000"/>
                <w:sz w:val="24"/>
              </w:rPr>
              <w:t>年　　月　　日</w:t>
            </w:r>
          </w:p>
        </w:tc>
      </w:tr>
      <w:tr w14:paraId="38BE33EC">
        <w:tblPrEx>
          <w:tblCellMar>
            <w:top w:w="0" w:type="dxa"/>
            <w:left w:w="108" w:type="dxa"/>
            <w:bottom w:w="0" w:type="dxa"/>
            <w:right w:w="108" w:type="dxa"/>
          </w:tblCellMar>
        </w:tblPrEx>
        <w:trPr>
          <w:jc w:val="center"/>
        </w:trPr>
        <w:tc>
          <w:tcPr>
            <w:tcW w:w="4261" w:type="dxa"/>
            <w:noWrap/>
            <w:vAlign w:val="center"/>
          </w:tcPr>
          <w:p w14:paraId="6B935DB5">
            <w:pPr>
              <w:spacing w:line="360" w:lineRule="auto"/>
              <w:rPr>
                <w:rFonts w:ascii="宋体" w:hAnsi="Times New Roman" w:eastAsia="宋体" w:cs="仿宋_GB2312"/>
                <w:color w:val="000000"/>
              </w:rPr>
            </w:pPr>
          </w:p>
        </w:tc>
        <w:tc>
          <w:tcPr>
            <w:tcW w:w="4636" w:type="dxa"/>
            <w:noWrap/>
            <w:vAlign w:val="center"/>
          </w:tcPr>
          <w:p w14:paraId="4F41F7DE">
            <w:pPr>
              <w:spacing w:line="360" w:lineRule="auto"/>
              <w:rPr>
                <w:rFonts w:ascii="宋体" w:hAnsi="Times New Roman" w:eastAsia="宋体" w:cs="仿宋_GB2312"/>
                <w:color w:val="000000"/>
              </w:rPr>
            </w:pPr>
          </w:p>
        </w:tc>
      </w:tr>
      <w:tr w14:paraId="004919A2">
        <w:tblPrEx>
          <w:tblCellMar>
            <w:top w:w="0" w:type="dxa"/>
            <w:left w:w="108" w:type="dxa"/>
            <w:bottom w:w="0" w:type="dxa"/>
            <w:right w:w="108" w:type="dxa"/>
          </w:tblCellMar>
        </w:tblPrEx>
        <w:trPr>
          <w:jc w:val="center"/>
        </w:trPr>
        <w:tc>
          <w:tcPr>
            <w:tcW w:w="4261" w:type="dxa"/>
            <w:noWrap/>
          </w:tcPr>
          <w:p w14:paraId="5C3B8B3F">
            <w:pPr>
              <w:spacing w:line="360" w:lineRule="auto"/>
              <w:rPr>
                <w:rFonts w:ascii="宋体" w:hAnsi="宋体" w:eastAsia="宋体" w:cs="仿宋_GB2312"/>
                <w:color w:val="000000"/>
              </w:rPr>
            </w:pPr>
            <w:r>
              <w:rPr>
                <w:rFonts w:hint="eastAsia" w:ascii="宋体" w:hAnsi="宋体" w:eastAsia="宋体" w:cs="仿宋_GB2312"/>
                <w:color w:val="000000"/>
                <w:sz w:val="24"/>
              </w:rPr>
              <w:t>开户银行：</w:t>
            </w:r>
          </w:p>
        </w:tc>
        <w:tc>
          <w:tcPr>
            <w:tcW w:w="4636" w:type="dxa"/>
            <w:noWrap/>
          </w:tcPr>
          <w:p w14:paraId="33AAC537">
            <w:pPr>
              <w:spacing w:line="360" w:lineRule="auto"/>
              <w:ind w:left="420" w:leftChars="200"/>
              <w:rPr>
                <w:rFonts w:ascii="宋体" w:hAnsi="宋体" w:eastAsia="宋体" w:cs="仿宋_GB2312"/>
                <w:color w:val="000000"/>
              </w:rPr>
            </w:pPr>
            <w:r>
              <w:rPr>
                <w:rFonts w:hint="eastAsia" w:ascii="宋体" w:hAnsi="宋体" w:eastAsia="宋体" w:cs="仿宋_GB2312"/>
                <w:color w:val="000000"/>
                <w:sz w:val="24"/>
              </w:rPr>
              <w:t>开户银行：</w:t>
            </w:r>
          </w:p>
        </w:tc>
      </w:tr>
      <w:tr w14:paraId="0B6CB69B">
        <w:tblPrEx>
          <w:tblCellMar>
            <w:top w:w="0" w:type="dxa"/>
            <w:left w:w="108" w:type="dxa"/>
            <w:bottom w:w="0" w:type="dxa"/>
            <w:right w:w="108" w:type="dxa"/>
          </w:tblCellMar>
        </w:tblPrEx>
        <w:trPr>
          <w:trHeight w:val="559" w:hRule="atLeast"/>
          <w:jc w:val="center"/>
        </w:trPr>
        <w:tc>
          <w:tcPr>
            <w:tcW w:w="4261" w:type="dxa"/>
            <w:noWrap/>
          </w:tcPr>
          <w:p w14:paraId="020FBB02">
            <w:pPr>
              <w:spacing w:line="360" w:lineRule="auto"/>
              <w:rPr>
                <w:rFonts w:ascii="宋体" w:hAnsi="宋体" w:eastAsia="宋体" w:cs="仿宋_GB2312"/>
                <w:color w:val="000000"/>
              </w:rPr>
            </w:pPr>
            <w:r>
              <w:rPr>
                <w:rFonts w:hint="eastAsia" w:ascii="宋体" w:hAnsi="宋体" w:eastAsia="宋体" w:cs="仿宋_GB2312"/>
                <w:color w:val="000000"/>
                <w:sz w:val="24"/>
              </w:rPr>
              <w:t>银行账号：</w:t>
            </w:r>
          </w:p>
        </w:tc>
        <w:tc>
          <w:tcPr>
            <w:tcW w:w="4636" w:type="dxa"/>
            <w:noWrap/>
          </w:tcPr>
          <w:p w14:paraId="321AF9CA">
            <w:pPr>
              <w:spacing w:line="360" w:lineRule="auto"/>
              <w:ind w:left="420" w:leftChars="200"/>
              <w:rPr>
                <w:rFonts w:ascii="宋体" w:hAnsi="宋体" w:eastAsia="宋体" w:cs="仿宋_GB2312"/>
                <w:color w:val="000000"/>
              </w:rPr>
            </w:pPr>
            <w:r>
              <w:rPr>
                <w:rFonts w:hint="eastAsia" w:ascii="宋体" w:hAnsi="宋体" w:eastAsia="宋体" w:cs="仿宋_GB2312"/>
                <w:color w:val="000000"/>
                <w:sz w:val="24"/>
              </w:rPr>
              <w:t>银行账号：</w:t>
            </w:r>
          </w:p>
        </w:tc>
      </w:tr>
      <w:tr w14:paraId="5F989F41">
        <w:tblPrEx>
          <w:tblCellMar>
            <w:top w:w="0" w:type="dxa"/>
            <w:left w:w="108" w:type="dxa"/>
            <w:bottom w:w="0" w:type="dxa"/>
            <w:right w:w="108" w:type="dxa"/>
          </w:tblCellMar>
        </w:tblPrEx>
        <w:trPr>
          <w:jc w:val="center"/>
        </w:trPr>
        <w:tc>
          <w:tcPr>
            <w:tcW w:w="4261" w:type="dxa"/>
            <w:noWrap/>
          </w:tcPr>
          <w:p w14:paraId="22B7D2D3">
            <w:pPr>
              <w:spacing w:after="160" w:line="360" w:lineRule="auto"/>
              <w:rPr>
                <w:rFonts w:ascii="宋体" w:hAnsi="Times New Roman" w:eastAsia="宋体" w:cs="仿宋_GB2312"/>
                <w:color w:val="000000"/>
              </w:rPr>
            </w:pPr>
            <w:r>
              <w:rPr>
                <w:rFonts w:hint="eastAsia" w:ascii="宋体" w:hAnsi="宋体" w:eastAsia="宋体" w:cs="仿宋_GB2312"/>
                <w:color w:val="000000"/>
                <w:sz w:val="24"/>
              </w:rPr>
              <w:t>开户地址：</w:t>
            </w:r>
          </w:p>
        </w:tc>
        <w:tc>
          <w:tcPr>
            <w:tcW w:w="4636" w:type="dxa"/>
            <w:noWrap/>
          </w:tcPr>
          <w:p w14:paraId="64028901">
            <w:pPr>
              <w:spacing w:line="360" w:lineRule="auto"/>
              <w:ind w:left="420" w:leftChars="200"/>
              <w:rPr>
                <w:rFonts w:ascii="宋体" w:hAnsi="宋体" w:eastAsia="宋体" w:cs="仿宋_GB2312"/>
                <w:color w:val="000000"/>
              </w:rPr>
            </w:pPr>
            <w:r>
              <w:rPr>
                <w:rFonts w:hint="eastAsia" w:ascii="宋体" w:hAnsi="宋体" w:eastAsia="宋体" w:cs="仿宋_GB2312"/>
                <w:color w:val="000000"/>
                <w:sz w:val="24"/>
              </w:rPr>
              <w:t>开户地址：</w:t>
            </w:r>
          </w:p>
        </w:tc>
      </w:tr>
      <w:tr w14:paraId="2502EDE1">
        <w:tblPrEx>
          <w:tblCellMar>
            <w:top w:w="0" w:type="dxa"/>
            <w:left w:w="108" w:type="dxa"/>
            <w:bottom w:w="0" w:type="dxa"/>
            <w:right w:w="108" w:type="dxa"/>
          </w:tblCellMar>
        </w:tblPrEx>
        <w:trPr>
          <w:jc w:val="center"/>
        </w:trPr>
        <w:tc>
          <w:tcPr>
            <w:tcW w:w="4261" w:type="dxa"/>
            <w:noWrap/>
          </w:tcPr>
          <w:p w14:paraId="45AF0F72">
            <w:pPr>
              <w:spacing w:after="160" w:line="360" w:lineRule="auto"/>
              <w:rPr>
                <w:rFonts w:ascii="宋体" w:hAnsi="宋体" w:eastAsia="宋体" w:cs="仿宋_GB2312"/>
                <w:color w:val="000000"/>
              </w:rPr>
            </w:pPr>
            <w:r>
              <w:rPr>
                <w:rFonts w:hint="eastAsia" w:ascii="宋体" w:hAnsi="宋体" w:eastAsia="宋体" w:cs="仿宋_GB2312"/>
                <w:color w:val="000000"/>
                <w:sz w:val="24"/>
              </w:rPr>
              <w:t>纳税人识别号：</w:t>
            </w:r>
          </w:p>
        </w:tc>
        <w:tc>
          <w:tcPr>
            <w:tcW w:w="4636" w:type="dxa"/>
            <w:noWrap/>
          </w:tcPr>
          <w:p w14:paraId="22FE5007">
            <w:pPr>
              <w:spacing w:line="360" w:lineRule="auto"/>
              <w:ind w:left="420" w:leftChars="200"/>
              <w:rPr>
                <w:rFonts w:ascii="宋体" w:hAnsi="宋体" w:eastAsia="宋体" w:cs="仿宋_GB2312"/>
                <w:color w:val="000000"/>
              </w:rPr>
            </w:pPr>
            <w:r>
              <w:rPr>
                <w:rFonts w:hint="eastAsia" w:ascii="宋体" w:hAnsi="宋体" w:eastAsia="宋体" w:cs="仿宋_GB2312"/>
                <w:color w:val="000000"/>
                <w:sz w:val="24"/>
              </w:rPr>
              <w:t>纳税人识别号：</w:t>
            </w:r>
          </w:p>
        </w:tc>
      </w:tr>
    </w:tbl>
    <w:p w14:paraId="41C9360E">
      <w:pPr>
        <w:spacing w:line="360" w:lineRule="auto"/>
        <w:rPr>
          <w:rFonts w:ascii="宋体" w:hAnsi="Times New Roman" w:eastAsia="宋体" w:cs="Times New Roman"/>
          <w:color w:val="000000"/>
        </w:rPr>
      </w:pPr>
    </w:p>
    <w:tbl>
      <w:tblPr>
        <w:tblStyle w:val="22"/>
        <w:tblW w:w="8897" w:type="dxa"/>
        <w:jc w:val="center"/>
        <w:tblLayout w:type="fixed"/>
        <w:tblCellMar>
          <w:top w:w="0" w:type="dxa"/>
          <w:left w:w="108" w:type="dxa"/>
          <w:bottom w:w="0" w:type="dxa"/>
          <w:right w:w="108" w:type="dxa"/>
        </w:tblCellMar>
      </w:tblPr>
      <w:tblGrid>
        <w:gridCol w:w="4261"/>
        <w:gridCol w:w="4636"/>
      </w:tblGrid>
      <w:tr w14:paraId="7C4AC01A">
        <w:trPr>
          <w:jc w:val="center"/>
        </w:trPr>
        <w:tc>
          <w:tcPr>
            <w:tcW w:w="4261" w:type="dxa"/>
            <w:noWrap/>
          </w:tcPr>
          <w:p w14:paraId="310A0294">
            <w:pPr>
              <w:spacing w:line="360" w:lineRule="auto"/>
              <w:rPr>
                <w:rFonts w:ascii="宋体" w:hAnsi="宋体" w:eastAsia="宋体" w:cs="仿宋_GB2312"/>
                <w:color w:val="FF0000"/>
              </w:rPr>
            </w:pPr>
            <w:r>
              <w:rPr>
                <w:rFonts w:hint="eastAsia" w:ascii="宋体" w:hAnsi="宋体" w:eastAsia="宋体" w:cs="仿宋_GB2312"/>
                <w:color w:val="000000"/>
                <w:sz w:val="24"/>
              </w:rPr>
              <w:t>通讯地址：</w:t>
            </w:r>
          </w:p>
        </w:tc>
        <w:tc>
          <w:tcPr>
            <w:tcW w:w="4636" w:type="dxa"/>
            <w:noWrap/>
          </w:tcPr>
          <w:p w14:paraId="10A8A181">
            <w:pPr>
              <w:spacing w:line="360" w:lineRule="auto"/>
              <w:ind w:left="420" w:leftChars="200"/>
              <w:rPr>
                <w:rFonts w:ascii="宋体" w:hAnsi="宋体" w:eastAsia="宋体" w:cs="仿宋_GB2312"/>
                <w:color w:val="000000"/>
              </w:rPr>
            </w:pPr>
            <w:r>
              <w:rPr>
                <w:rFonts w:hint="eastAsia" w:ascii="宋体" w:hAnsi="宋体" w:eastAsia="宋体" w:cs="仿宋_GB2312"/>
                <w:color w:val="000000"/>
                <w:sz w:val="24"/>
              </w:rPr>
              <w:t>通讯地址：</w:t>
            </w:r>
          </w:p>
        </w:tc>
      </w:tr>
      <w:tr w14:paraId="220897F9">
        <w:tblPrEx>
          <w:tblCellMar>
            <w:top w:w="0" w:type="dxa"/>
            <w:left w:w="108" w:type="dxa"/>
            <w:bottom w:w="0" w:type="dxa"/>
            <w:right w:w="108" w:type="dxa"/>
          </w:tblCellMar>
        </w:tblPrEx>
        <w:trPr>
          <w:jc w:val="center"/>
        </w:trPr>
        <w:tc>
          <w:tcPr>
            <w:tcW w:w="4261" w:type="dxa"/>
            <w:noWrap/>
          </w:tcPr>
          <w:p w14:paraId="54A69440">
            <w:pPr>
              <w:spacing w:line="360" w:lineRule="auto"/>
              <w:rPr>
                <w:rFonts w:ascii="宋体" w:hAnsi="宋体" w:eastAsia="宋体" w:cs="仿宋_GB2312"/>
                <w:color w:val="000000"/>
              </w:rPr>
            </w:pPr>
            <w:r>
              <w:rPr>
                <w:rFonts w:hint="eastAsia" w:ascii="宋体" w:hAnsi="宋体" w:eastAsia="宋体" w:cs="仿宋_GB2312"/>
                <w:color w:val="000000"/>
                <w:sz w:val="24"/>
              </w:rPr>
              <w:t>邮编：</w:t>
            </w:r>
          </w:p>
        </w:tc>
        <w:tc>
          <w:tcPr>
            <w:tcW w:w="4636" w:type="dxa"/>
            <w:noWrap/>
          </w:tcPr>
          <w:p w14:paraId="182ACC8F">
            <w:pPr>
              <w:spacing w:line="360" w:lineRule="auto"/>
              <w:ind w:left="420" w:leftChars="200"/>
              <w:rPr>
                <w:rFonts w:ascii="宋体" w:hAnsi="宋体" w:eastAsia="宋体" w:cs="仿宋_GB2312"/>
                <w:color w:val="000000"/>
              </w:rPr>
            </w:pPr>
            <w:r>
              <w:rPr>
                <w:rFonts w:hint="eastAsia" w:ascii="宋体" w:hAnsi="宋体" w:eastAsia="宋体" w:cs="仿宋_GB2312"/>
                <w:color w:val="000000"/>
                <w:sz w:val="24"/>
              </w:rPr>
              <w:t>邮编：</w:t>
            </w:r>
          </w:p>
        </w:tc>
      </w:tr>
      <w:tr w14:paraId="6462B434">
        <w:tblPrEx>
          <w:tblCellMar>
            <w:top w:w="0" w:type="dxa"/>
            <w:left w:w="108" w:type="dxa"/>
            <w:bottom w:w="0" w:type="dxa"/>
            <w:right w:w="108" w:type="dxa"/>
          </w:tblCellMar>
        </w:tblPrEx>
        <w:trPr>
          <w:jc w:val="center"/>
        </w:trPr>
        <w:tc>
          <w:tcPr>
            <w:tcW w:w="4261" w:type="dxa"/>
            <w:noWrap/>
          </w:tcPr>
          <w:p w14:paraId="7743C636">
            <w:pPr>
              <w:spacing w:line="360" w:lineRule="auto"/>
              <w:rPr>
                <w:rFonts w:ascii="宋体" w:hAnsi="宋体" w:eastAsia="宋体" w:cs="仿宋_GB2312"/>
                <w:color w:val="000000"/>
              </w:rPr>
            </w:pPr>
            <w:r>
              <w:rPr>
                <w:rFonts w:hint="eastAsia" w:ascii="宋体" w:hAnsi="宋体" w:eastAsia="宋体" w:cs="仿宋_GB2312"/>
                <w:color w:val="000000"/>
                <w:sz w:val="24"/>
              </w:rPr>
              <w:t>技术联系人：</w:t>
            </w:r>
          </w:p>
        </w:tc>
        <w:tc>
          <w:tcPr>
            <w:tcW w:w="4636" w:type="dxa"/>
            <w:noWrap/>
          </w:tcPr>
          <w:p w14:paraId="59AF5227">
            <w:pPr>
              <w:spacing w:line="360" w:lineRule="auto"/>
              <w:ind w:left="420" w:leftChars="200"/>
              <w:rPr>
                <w:rFonts w:ascii="宋体" w:hAnsi="宋体" w:eastAsia="宋体" w:cs="仿宋_GB2312"/>
                <w:color w:val="000000"/>
              </w:rPr>
            </w:pPr>
            <w:r>
              <w:rPr>
                <w:rFonts w:hint="eastAsia" w:ascii="宋体" w:hAnsi="宋体" w:eastAsia="宋体" w:cs="仿宋_GB2312"/>
                <w:color w:val="000000"/>
                <w:sz w:val="24"/>
              </w:rPr>
              <w:t>技术联系人：</w:t>
            </w:r>
          </w:p>
        </w:tc>
      </w:tr>
      <w:tr w14:paraId="10481ADA">
        <w:tblPrEx>
          <w:tblCellMar>
            <w:top w:w="0" w:type="dxa"/>
            <w:left w:w="108" w:type="dxa"/>
            <w:bottom w:w="0" w:type="dxa"/>
            <w:right w:w="108" w:type="dxa"/>
          </w:tblCellMar>
        </w:tblPrEx>
        <w:trPr>
          <w:jc w:val="center"/>
        </w:trPr>
        <w:tc>
          <w:tcPr>
            <w:tcW w:w="4261" w:type="dxa"/>
            <w:noWrap/>
          </w:tcPr>
          <w:p w14:paraId="78331C79">
            <w:pPr>
              <w:spacing w:line="360" w:lineRule="auto"/>
              <w:rPr>
                <w:rFonts w:ascii="宋体" w:hAnsi="宋体" w:eastAsia="宋体" w:cs="仿宋_GB2312"/>
                <w:color w:val="000000"/>
              </w:rPr>
            </w:pPr>
            <w:r>
              <w:rPr>
                <w:rFonts w:hint="eastAsia" w:ascii="宋体" w:hAnsi="宋体" w:eastAsia="宋体" w:cs="仿宋_GB2312"/>
                <w:color w:val="000000"/>
                <w:sz w:val="24"/>
              </w:rPr>
              <w:t>电　　话：</w:t>
            </w:r>
          </w:p>
        </w:tc>
        <w:tc>
          <w:tcPr>
            <w:tcW w:w="4636" w:type="dxa"/>
            <w:noWrap/>
          </w:tcPr>
          <w:p w14:paraId="146CDA3D">
            <w:pPr>
              <w:spacing w:line="360" w:lineRule="auto"/>
              <w:ind w:left="420" w:leftChars="200"/>
              <w:rPr>
                <w:rFonts w:ascii="宋体" w:hAnsi="宋体" w:eastAsia="宋体" w:cs="仿宋_GB2312"/>
                <w:color w:val="000000"/>
              </w:rPr>
            </w:pPr>
            <w:r>
              <w:rPr>
                <w:rFonts w:hint="eastAsia" w:ascii="宋体" w:hAnsi="宋体" w:eastAsia="宋体" w:cs="仿宋_GB2312"/>
                <w:color w:val="000000"/>
                <w:sz w:val="24"/>
              </w:rPr>
              <w:t>电　　话：</w:t>
            </w:r>
          </w:p>
        </w:tc>
      </w:tr>
      <w:tr w14:paraId="38F958AF">
        <w:tblPrEx>
          <w:tblCellMar>
            <w:top w:w="0" w:type="dxa"/>
            <w:left w:w="108" w:type="dxa"/>
            <w:bottom w:w="0" w:type="dxa"/>
            <w:right w:w="108" w:type="dxa"/>
          </w:tblCellMar>
        </w:tblPrEx>
        <w:trPr>
          <w:jc w:val="center"/>
        </w:trPr>
        <w:tc>
          <w:tcPr>
            <w:tcW w:w="4261" w:type="dxa"/>
            <w:noWrap/>
          </w:tcPr>
          <w:p w14:paraId="40A901B3">
            <w:pPr>
              <w:spacing w:line="360" w:lineRule="auto"/>
              <w:rPr>
                <w:rFonts w:ascii="宋体" w:hAnsi="宋体" w:eastAsia="宋体" w:cs="仿宋_GB2312"/>
                <w:color w:val="000000"/>
              </w:rPr>
            </w:pPr>
            <w:r>
              <w:rPr>
                <w:rFonts w:hint="eastAsia" w:ascii="宋体" w:hAnsi="宋体" w:eastAsia="宋体" w:cs="仿宋_GB2312"/>
                <w:color w:val="000000"/>
                <w:sz w:val="24"/>
              </w:rPr>
              <w:t>商务联系人（经办人）：</w:t>
            </w:r>
          </w:p>
        </w:tc>
        <w:tc>
          <w:tcPr>
            <w:tcW w:w="4636" w:type="dxa"/>
            <w:noWrap/>
          </w:tcPr>
          <w:p w14:paraId="092DBAFF">
            <w:pPr>
              <w:spacing w:line="360" w:lineRule="auto"/>
              <w:ind w:left="420" w:leftChars="200"/>
              <w:rPr>
                <w:rFonts w:ascii="宋体" w:hAnsi="宋体" w:eastAsia="宋体" w:cs="仿宋_GB2312"/>
                <w:color w:val="000000"/>
              </w:rPr>
            </w:pPr>
            <w:r>
              <w:rPr>
                <w:rFonts w:hint="eastAsia" w:ascii="宋体" w:hAnsi="宋体" w:eastAsia="宋体" w:cs="仿宋_GB2312"/>
                <w:color w:val="000000"/>
                <w:sz w:val="24"/>
              </w:rPr>
              <w:t>商务联系人（经办人）：</w:t>
            </w:r>
          </w:p>
        </w:tc>
      </w:tr>
      <w:tr w14:paraId="6450A08F">
        <w:tblPrEx>
          <w:tblCellMar>
            <w:top w:w="0" w:type="dxa"/>
            <w:left w:w="108" w:type="dxa"/>
            <w:bottom w:w="0" w:type="dxa"/>
            <w:right w:w="108" w:type="dxa"/>
          </w:tblCellMar>
        </w:tblPrEx>
        <w:trPr>
          <w:jc w:val="center"/>
        </w:trPr>
        <w:tc>
          <w:tcPr>
            <w:tcW w:w="4261" w:type="dxa"/>
            <w:noWrap/>
          </w:tcPr>
          <w:p w14:paraId="7487D8BF">
            <w:pPr>
              <w:spacing w:line="360" w:lineRule="auto"/>
              <w:rPr>
                <w:rFonts w:ascii="宋体" w:hAnsi="宋体" w:eastAsia="宋体" w:cs="仿宋_GB2312"/>
                <w:color w:val="000000"/>
              </w:rPr>
            </w:pPr>
            <w:r>
              <w:rPr>
                <w:rFonts w:hint="eastAsia" w:ascii="宋体" w:hAnsi="宋体" w:eastAsia="宋体" w:cs="仿宋_GB2312"/>
                <w:color w:val="000000"/>
                <w:sz w:val="24"/>
              </w:rPr>
              <w:t>电话：</w:t>
            </w:r>
          </w:p>
        </w:tc>
        <w:tc>
          <w:tcPr>
            <w:tcW w:w="4636" w:type="dxa"/>
            <w:noWrap/>
          </w:tcPr>
          <w:p w14:paraId="0D24C57C">
            <w:pPr>
              <w:spacing w:line="360" w:lineRule="auto"/>
              <w:ind w:left="420" w:leftChars="200"/>
              <w:rPr>
                <w:rFonts w:ascii="宋体" w:hAnsi="宋体" w:eastAsia="宋体" w:cs="仿宋_GB2312"/>
                <w:color w:val="000000"/>
              </w:rPr>
            </w:pPr>
            <w:r>
              <w:rPr>
                <w:rFonts w:hint="eastAsia" w:ascii="宋体" w:hAnsi="宋体" w:eastAsia="宋体" w:cs="仿宋_GB2312"/>
                <w:color w:val="000000"/>
                <w:sz w:val="24"/>
              </w:rPr>
              <w:t>电话：</w:t>
            </w:r>
          </w:p>
        </w:tc>
      </w:tr>
      <w:tr w14:paraId="5CEA5F06">
        <w:tblPrEx>
          <w:tblCellMar>
            <w:top w:w="0" w:type="dxa"/>
            <w:left w:w="108" w:type="dxa"/>
            <w:bottom w:w="0" w:type="dxa"/>
            <w:right w:w="108" w:type="dxa"/>
          </w:tblCellMar>
        </w:tblPrEx>
        <w:trPr>
          <w:jc w:val="center"/>
        </w:trPr>
        <w:tc>
          <w:tcPr>
            <w:tcW w:w="4261" w:type="dxa"/>
            <w:noWrap/>
            <w:vAlign w:val="center"/>
          </w:tcPr>
          <w:p w14:paraId="26AF1414">
            <w:pPr>
              <w:spacing w:line="360" w:lineRule="auto"/>
              <w:rPr>
                <w:rFonts w:ascii="宋体" w:hAnsi="宋体" w:eastAsia="宋体" w:cs="仿宋_GB2312"/>
                <w:color w:val="000000"/>
              </w:rPr>
            </w:pPr>
            <w:r>
              <w:rPr>
                <w:rFonts w:hint="eastAsia" w:ascii="宋体" w:hAnsi="宋体" w:eastAsia="宋体" w:cs="仿宋_GB2312"/>
                <w:color w:val="000000"/>
                <w:sz w:val="24"/>
              </w:rPr>
              <w:t>传真：</w:t>
            </w:r>
          </w:p>
        </w:tc>
        <w:tc>
          <w:tcPr>
            <w:tcW w:w="4636" w:type="dxa"/>
            <w:noWrap/>
            <w:vAlign w:val="center"/>
          </w:tcPr>
          <w:p w14:paraId="174A4DD3">
            <w:pPr>
              <w:spacing w:line="360" w:lineRule="auto"/>
              <w:ind w:left="420" w:leftChars="200"/>
              <w:rPr>
                <w:rFonts w:ascii="宋体" w:hAnsi="宋体" w:eastAsia="宋体" w:cs="仿宋_GB2312"/>
                <w:color w:val="000000"/>
              </w:rPr>
            </w:pPr>
            <w:r>
              <w:rPr>
                <w:rFonts w:hint="eastAsia" w:ascii="宋体" w:hAnsi="宋体" w:eastAsia="宋体" w:cs="仿宋_GB2312"/>
                <w:color w:val="000000"/>
                <w:sz w:val="24"/>
              </w:rPr>
              <w:t>传真：</w:t>
            </w:r>
          </w:p>
        </w:tc>
      </w:tr>
      <w:tr w14:paraId="4252856B">
        <w:tblPrEx>
          <w:tblCellMar>
            <w:top w:w="0" w:type="dxa"/>
            <w:left w:w="108" w:type="dxa"/>
            <w:bottom w:w="0" w:type="dxa"/>
            <w:right w:w="108" w:type="dxa"/>
          </w:tblCellMar>
        </w:tblPrEx>
        <w:trPr>
          <w:jc w:val="center"/>
        </w:trPr>
        <w:tc>
          <w:tcPr>
            <w:tcW w:w="4261" w:type="dxa"/>
            <w:noWrap/>
            <w:vAlign w:val="center"/>
          </w:tcPr>
          <w:p w14:paraId="45BEB104">
            <w:pPr>
              <w:spacing w:line="360" w:lineRule="auto"/>
              <w:rPr>
                <w:rFonts w:ascii="宋体" w:hAnsi="Times New Roman" w:eastAsia="宋体" w:cs="仿宋_GB2312"/>
                <w:color w:val="000000"/>
              </w:rPr>
            </w:pPr>
            <w:r>
              <w:rPr>
                <w:rFonts w:ascii="宋体" w:hAnsi="宋体" w:eastAsia="宋体" w:cs="仿宋_GB2312"/>
                <w:color w:val="000000"/>
                <w:sz w:val="24"/>
              </w:rPr>
              <w:t>Email</w:t>
            </w:r>
            <w:r>
              <w:rPr>
                <w:rFonts w:hint="eastAsia" w:ascii="宋体" w:hAnsi="宋体" w:eastAsia="宋体" w:cs="仿宋_GB2312"/>
                <w:color w:val="000000"/>
                <w:sz w:val="24"/>
              </w:rPr>
              <w:t>：</w:t>
            </w:r>
          </w:p>
        </w:tc>
        <w:tc>
          <w:tcPr>
            <w:tcW w:w="4636" w:type="dxa"/>
            <w:noWrap/>
            <w:vAlign w:val="center"/>
          </w:tcPr>
          <w:p w14:paraId="45B9312F">
            <w:pPr>
              <w:spacing w:line="360" w:lineRule="auto"/>
              <w:ind w:left="420" w:leftChars="200"/>
              <w:rPr>
                <w:rFonts w:ascii="宋体" w:hAnsi="Times New Roman" w:eastAsia="宋体" w:cs="仿宋_GB2312"/>
                <w:color w:val="000000"/>
              </w:rPr>
            </w:pPr>
            <w:r>
              <w:rPr>
                <w:rFonts w:ascii="宋体" w:hAnsi="宋体" w:eastAsia="宋体" w:cs="仿宋_GB2312"/>
                <w:color w:val="000000"/>
                <w:sz w:val="24"/>
              </w:rPr>
              <w:t>Email</w:t>
            </w:r>
            <w:r>
              <w:rPr>
                <w:rFonts w:hint="eastAsia" w:ascii="宋体" w:hAnsi="宋体" w:eastAsia="宋体" w:cs="仿宋_GB2312"/>
                <w:color w:val="000000"/>
                <w:sz w:val="24"/>
              </w:rPr>
              <w:t>：</w:t>
            </w:r>
          </w:p>
        </w:tc>
        <w:bookmarkStart w:id="191" w:name="page64"/>
      </w:tr>
      <w:bookmarkEnd w:id="187"/>
      <w:bookmarkEnd w:id="188"/>
      <w:bookmarkEnd w:id="189"/>
      <w:bookmarkEnd w:id="190"/>
      <w:bookmarkEnd w:id="191"/>
    </w:tbl>
    <w:p w14:paraId="3B1BFD62">
      <w:pPr>
        <w:widowControl/>
        <w:spacing w:line="360" w:lineRule="auto"/>
        <w:jc w:val="left"/>
        <w:rPr>
          <w:rFonts w:ascii="宋体" w:hAnsi="Times New Roman" w:eastAsia="宋体" w:cs="Times New Roman"/>
        </w:rPr>
      </w:pPr>
      <w:bookmarkStart w:id="192" w:name="_Toc509563727"/>
      <w:bookmarkStart w:id="193" w:name="_Toc509840990"/>
    </w:p>
    <w:p w14:paraId="17F7277C">
      <w:pPr>
        <w:widowControl/>
        <w:spacing w:line="360" w:lineRule="auto"/>
        <w:jc w:val="left"/>
        <w:rPr>
          <w:rFonts w:ascii="宋体" w:hAnsi="Times New Roman" w:eastAsia="宋体" w:cs="Times New Roman"/>
        </w:rPr>
      </w:pPr>
      <w:r>
        <w:rPr>
          <w:rFonts w:ascii="宋体" w:hAnsi="Times New Roman" w:eastAsia="宋体" w:cs="Times New Roman"/>
        </w:rPr>
        <w:br w:type="page"/>
      </w:r>
    </w:p>
    <w:p w14:paraId="66B1717C">
      <w:pPr>
        <w:keepNext/>
        <w:keepLines/>
        <w:spacing w:after="330" w:line="360" w:lineRule="auto"/>
        <w:jc w:val="center"/>
        <w:outlineLvl w:val="0"/>
        <w:rPr>
          <w:rFonts w:ascii="Times New Roman" w:hAnsi="Times New Roman" w:eastAsia="黑体" w:cs="Times New Roman"/>
          <w:b/>
          <w:bCs/>
          <w:kern w:val="44"/>
          <w:sz w:val="28"/>
          <w:szCs w:val="44"/>
        </w:rPr>
      </w:pPr>
      <w:bookmarkStart w:id="194" w:name="_Toc390607694"/>
      <w:bookmarkStart w:id="195" w:name="_Toc25469"/>
      <w:bookmarkStart w:id="196" w:name="_Toc526009644"/>
      <w:bookmarkStart w:id="197" w:name="_Toc26887_WPSOffice_Level1"/>
      <w:bookmarkStart w:id="198" w:name="_Toc16278"/>
      <w:bookmarkStart w:id="199" w:name="_Toc531332363"/>
      <w:bookmarkStart w:id="200" w:name="_Toc15317535"/>
      <w:r>
        <w:rPr>
          <w:rFonts w:hint="eastAsia" w:ascii="Times New Roman" w:hAnsi="Times New Roman" w:eastAsia="黑体" w:cs="Times New Roman"/>
          <w:b/>
          <w:bCs/>
          <w:kern w:val="44"/>
          <w:sz w:val="28"/>
          <w:szCs w:val="44"/>
        </w:rPr>
        <w:t>附件A-1  支付申请</w:t>
      </w:r>
      <w:bookmarkStart w:id="201" w:name="_Hlt15317583"/>
      <w:bookmarkEnd w:id="201"/>
      <w:r>
        <w:rPr>
          <w:rFonts w:hint="eastAsia" w:ascii="Times New Roman" w:hAnsi="Times New Roman" w:eastAsia="黑体" w:cs="Times New Roman"/>
          <w:b/>
          <w:bCs/>
          <w:kern w:val="44"/>
          <w:sz w:val="28"/>
          <w:szCs w:val="44"/>
        </w:rPr>
        <w:t>函</w:t>
      </w:r>
      <w:bookmarkEnd w:id="194"/>
      <w:bookmarkEnd w:id="195"/>
      <w:bookmarkEnd w:id="196"/>
      <w:bookmarkEnd w:id="197"/>
      <w:bookmarkEnd w:id="198"/>
      <w:bookmarkEnd w:id="199"/>
      <w:bookmarkEnd w:id="200"/>
    </w:p>
    <w:tbl>
      <w:tblPr>
        <w:tblStyle w:val="22"/>
        <w:tblW w:w="825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8"/>
        <w:gridCol w:w="3051"/>
        <w:gridCol w:w="1559"/>
        <w:gridCol w:w="1525"/>
      </w:tblGrid>
      <w:tr w14:paraId="2A09C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8" w:type="dxa"/>
            <w:noWrap/>
            <w:vAlign w:val="center"/>
          </w:tcPr>
          <w:p w14:paraId="318BF60B">
            <w:pPr>
              <w:widowControl/>
              <w:spacing w:line="360" w:lineRule="auto"/>
              <w:contextualSpacing/>
              <w:jc w:val="center"/>
              <w:rPr>
                <w:rFonts w:ascii="宋体" w:hAnsi="宋体" w:eastAsia="宋体" w:cs="Times New Roman"/>
                <w:sz w:val="24"/>
              </w:rPr>
            </w:pPr>
            <w:bookmarkStart w:id="202" w:name="_Toc526009645"/>
            <w:r>
              <w:rPr>
                <w:rFonts w:ascii="宋体" w:hAnsi="宋体" w:eastAsia="宋体" w:cs="Times New Roman"/>
                <w:sz w:val="24"/>
              </w:rPr>
              <w:t>合同名称</w:t>
            </w:r>
            <w:bookmarkEnd w:id="202"/>
          </w:p>
        </w:tc>
        <w:tc>
          <w:tcPr>
            <w:tcW w:w="3051" w:type="dxa"/>
            <w:noWrap/>
          </w:tcPr>
          <w:p w14:paraId="3A2F7766">
            <w:pPr>
              <w:widowControl/>
              <w:spacing w:line="360" w:lineRule="auto"/>
              <w:ind w:firstLine="480"/>
              <w:contextualSpacing/>
              <w:jc w:val="center"/>
              <w:rPr>
                <w:rFonts w:ascii="宋体" w:hAnsi="宋体" w:eastAsia="宋体" w:cs="Times New Roman"/>
                <w:sz w:val="24"/>
              </w:rPr>
            </w:pPr>
          </w:p>
        </w:tc>
        <w:tc>
          <w:tcPr>
            <w:tcW w:w="1559" w:type="dxa"/>
            <w:noWrap/>
            <w:vAlign w:val="center"/>
          </w:tcPr>
          <w:p w14:paraId="78B570BF">
            <w:pPr>
              <w:widowControl/>
              <w:spacing w:line="360" w:lineRule="auto"/>
              <w:contextualSpacing/>
              <w:jc w:val="center"/>
              <w:rPr>
                <w:rFonts w:ascii="宋体" w:hAnsi="宋体" w:eastAsia="宋体" w:cs="Times New Roman"/>
                <w:sz w:val="24"/>
              </w:rPr>
            </w:pPr>
            <w:bookmarkStart w:id="203" w:name="_Toc526009646"/>
            <w:r>
              <w:rPr>
                <w:rFonts w:ascii="宋体" w:hAnsi="宋体" w:eastAsia="宋体" w:cs="Times New Roman"/>
                <w:sz w:val="24"/>
              </w:rPr>
              <w:t>合同编号</w:t>
            </w:r>
            <w:bookmarkEnd w:id="203"/>
          </w:p>
        </w:tc>
        <w:tc>
          <w:tcPr>
            <w:tcW w:w="1525" w:type="dxa"/>
            <w:noWrap/>
          </w:tcPr>
          <w:p w14:paraId="2A417754">
            <w:pPr>
              <w:widowControl/>
              <w:spacing w:line="360" w:lineRule="auto"/>
              <w:ind w:firstLine="480"/>
              <w:contextualSpacing/>
              <w:jc w:val="center"/>
              <w:rPr>
                <w:rFonts w:ascii="宋体" w:hAnsi="宋体" w:eastAsia="宋体" w:cs="Times New Roman"/>
                <w:sz w:val="24"/>
              </w:rPr>
            </w:pPr>
          </w:p>
        </w:tc>
      </w:tr>
      <w:tr w14:paraId="354A1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8" w:type="dxa"/>
            <w:noWrap/>
            <w:vAlign w:val="center"/>
          </w:tcPr>
          <w:p w14:paraId="0CE1F56C">
            <w:pPr>
              <w:widowControl/>
              <w:spacing w:line="360" w:lineRule="auto"/>
              <w:contextualSpacing/>
              <w:jc w:val="center"/>
              <w:rPr>
                <w:rFonts w:ascii="宋体" w:hAnsi="宋体" w:eastAsia="宋体" w:cs="Times New Roman"/>
                <w:sz w:val="24"/>
              </w:rPr>
            </w:pPr>
            <w:bookmarkStart w:id="204" w:name="_Toc526009647"/>
            <w:r>
              <w:rPr>
                <w:rFonts w:ascii="宋体" w:hAnsi="宋体" w:eastAsia="宋体" w:cs="Times New Roman"/>
                <w:sz w:val="24"/>
              </w:rPr>
              <w:t>本次申请支付金额（元）</w:t>
            </w:r>
            <w:bookmarkEnd w:id="204"/>
          </w:p>
        </w:tc>
        <w:tc>
          <w:tcPr>
            <w:tcW w:w="3051" w:type="dxa"/>
            <w:noWrap/>
          </w:tcPr>
          <w:p w14:paraId="04A6F8E0">
            <w:pPr>
              <w:widowControl/>
              <w:spacing w:line="360" w:lineRule="auto"/>
              <w:ind w:firstLine="480"/>
              <w:contextualSpacing/>
              <w:jc w:val="center"/>
              <w:rPr>
                <w:rFonts w:ascii="宋体" w:hAnsi="宋体" w:eastAsia="宋体" w:cs="Times New Roman"/>
                <w:sz w:val="24"/>
              </w:rPr>
            </w:pPr>
          </w:p>
        </w:tc>
        <w:tc>
          <w:tcPr>
            <w:tcW w:w="1559" w:type="dxa"/>
            <w:noWrap/>
            <w:vAlign w:val="center"/>
          </w:tcPr>
          <w:p w14:paraId="03CC4D4E">
            <w:pPr>
              <w:widowControl/>
              <w:spacing w:line="360" w:lineRule="auto"/>
              <w:contextualSpacing/>
              <w:jc w:val="center"/>
              <w:rPr>
                <w:rFonts w:ascii="宋体" w:hAnsi="宋体" w:eastAsia="宋体" w:cs="Times New Roman"/>
                <w:sz w:val="24"/>
              </w:rPr>
            </w:pPr>
            <w:bookmarkStart w:id="205" w:name="_Toc526009648"/>
            <w:r>
              <w:rPr>
                <w:rFonts w:ascii="宋体" w:hAnsi="宋体" w:eastAsia="宋体" w:cs="Times New Roman"/>
                <w:sz w:val="24"/>
              </w:rPr>
              <w:t>人民币（大写）</w:t>
            </w:r>
            <w:bookmarkEnd w:id="205"/>
          </w:p>
        </w:tc>
        <w:tc>
          <w:tcPr>
            <w:tcW w:w="1525" w:type="dxa"/>
            <w:noWrap/>
          </w:tcPr>
          <w:p w14:paraId="74490E13">
            <w:pPr>
              <w:widowControl/>
              <w:spacing w:line="360" w:lineRule="auto"/>
              <w:ind w:firstLine="480"/>
              <w:contextualSpacing/>
              <w:jc w:val="center"/>
              <w:rPr>
                <w:rFonts w:ascii="宋体" w:hAnsi="宋体" w:eastAsia="宋体" w:cs="Times New Roman"/>
                <w:sz w:val="24"/>
              </w:rPr>
            </w:pPr>
          </w:p>
        </w:tc>
      </w:tr>
      <w:tr w14:paraId="10D40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2118" w:type="dxa"/>
            <w:vMerge w:val="restart"/>
            <w:noWrap/>
            <w:vAlign w:val="center"/>
          </w:tcPr>
          <w:p w14:paraId="2AC2DAEC">
            <w:pPr>
              <w:widowControl/>
              <w:spacing w:line="360" w:lineRule="auto"/>
              <w:contextualSpacing/>
              <w:jc w:val="center"/>
              <w:rPr>
                <w:rFonts w:ascii="宋体" w:hAnsi="宋体" w:eastAsia="宋体" w:cs="Times New Roman"/>
                <w:sz w:val="24"/>
              </w:rPr>
            </w:pPr>
            <w:bookmarkStart w:id="206" w:name="_Toc526009649"/>
            <w:r>
              <w:rPr>
                <w:rFonts w:ascii="宋体" w:hAnsi="宋体" w:eastAsia="宋体" w:cs="Times New Roman"/>
                <w:sz w:val="24"/>
              </w:rPr>
              <w:t>支付情况</w:t>
            </w:r>
            <w:bookmarkEnd w:id="206"/>
          </w:p>
        </w:tc>
        <w:tc>
          <w:tcPr>
            <w:tcW w:w="3051" w:type="dxa"/>
            <w:noWrap/>
            <w:vAlign w:val="center"/>
          </w:tcPr>
          <w:p w14:paraId="593A5C63">
            <w:pPr>
              <w:widowControl/>
              <w:spacing w:line="360" w:lineRule="auto"/>
              <w:contextualSpacing/>
              <w:jc w:val="center"/>
              <w:rPr>
                <w:rFonts w:ascii="宋体" w:hAnsi="宋体" w:eastAsia="宋体" w:cs="Times New Roman"/>
                <w:sz w:val="24"/>
              </w:rPr>
            </w:pPr>
            <w:bookmarkStart w:id="207" w:name="_Toc526009650"/>
            <w:r>
              <w:rPr>
                <w:rFonts w:ascii="宋体" w:hAnsi="宋体" w:eastAsia="宋体" w:cs="Times New Roman"/>
                <w:sz w:val="24"/>
              </w:rPr>
              <w:t>合同金额（元）</w:t>
            </w:r>
            <w:bookmarkEnd w:id="207"/>
          </w:p>
        </w:tc>
        <w:tc>
          <w:tcPr>
            <w:tcW w:w="3084" w:type="dxa"/>
            <w:gridSpan w:val="2"/>
            <w:noWrap/>
          </w:tcPr>
          <w:p w14:paraId="2B5B2007">
            <w:pPr>
              <w:widowControl/>
              <w:spacing w:line="360" w:lineRule="auto"/>
              <w:ind w:firstLine="480"/>
              <w:contextualSpacing/>
              <w:jc w:val="center"/>
              <w:rPr>
                <w:rFonts w:ascii="宋体" w:hAnsi="宋体" w:eastAsia="宋体" w:cs="Times New Roman"/>
                <w:sz w:val="24"/>
              </w:rPr>
            </w:pPr>
          </w:p>
        </w:tc>
      </w:tr>
      <w:tr w14:paraId="196FA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2118" w:type="dxa"/>
            <w:vMerge w:val="continue"/>
            <w:noWrap/>
            <w:vAlign w:val="center"/>
          </w:tcPr>
          <w:p w14:paraId="564954C0">
            <w:pPr>
              <w:widowControl/>
              <w:spacing w:line="360" w:lineRule="auto"/>
              <w:ind w:firstLine="480"/>
              <w:contextualSpacing/>
              <w:jc w:val="center"/>
              <w:rPr>
                <w:rFonts w:ascii="宋体" w:hAnsi="宋体" w:eastAsia="宋体" w:cs="Times New Roman"/>
                <w:sz w:val="24"/>
              </w:rPr>
            </w:pPr>
          </w:p>
        </w:tc>
        <w:tc>
          <w:tcPr>
            <w:tcW w:w="3051" w:type="dxa"/>
            <w:noWrap/>
            <w:vAlign w:val="center"/>
          </w:tcPr>
          <w:p w14:paraId="475E9CF8">
            <w:pPr>
              <w:spacing w:line="360" w:lineRule="auto"/>
              <w:contextualSpacing/>
              <w:jc w:val="center"/>
              <w:rPr>
                <w:rFonts w:ascii="宋体" w:hAnsi="宋体" w:eastAsia="宋体" w:cs="Times New Roman"/>
                <w:sz w:val="24"/>
              </w:rPr>
            </w:pPr>
            <w:bookmarkStart w:id="208" w:name="_Toc526009651"/>
            <w:r>
              <w:rPr>
                <w:rFonts w:ascii="宋体" w:hAnsi="宋体" w:eastAsia="宋体" w:cs="Times New Roman"/>
                <w:sz w:val="24"/>
              </w:rPr>
              <w:t>前期累计已支付金额（元）</w:t>
            </w:r>
            <w:bookmarkEnd w:id="208"/>
          </w:p>
        </w:tc>
        <w:tc>
          <w:tcPr>
            <w:tcW w:w="3084" w:type="dxa"/>
            <w:gridSpan w:val="2"/>
            <w:noWrap/>
          </w:tcPr>
          <w:p w14:paraId="482C8BCD">
            <w:pPr>
              <w:widowControl/>
              <w:spacing w:line="360" w:lineRule="auto"/>
              <w:ind w:firstLine="480"/>
              <w:contextualSpacing/>
              <w:jc w:val="center"/>
              <w:rPr>
                <w:rFonts w:ascii="宋体" w:hAnsi="宋体" w:eastAsia="宋体" w:cs="Times New Roman"/>
                <w:sz w:val="24"/>
              </w:rPr>
            </w:pPr>
          </w:p>
        </w:tc>
      </w:tr>
      <w:tr w14:paraId="4989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7" w:hRule="atLeast"/>
        </w:trPr>
        <w:tc>
          <w:tcPr>
            <w:tcW w:w="2118" w:type="dxa"/>
            <w:vMerge w:val="continue"/>
            <w:noWrap/>
            <w:vAlign w:val="center"/>
          </w:tcPr>
          <w:p w14:paraId="131426AD">
            <w:pPr>
              <w:widowControl/>
              <w:spacing w:line="360" w:lineRule="auto"/>
              <w:ind w:firstLine="480"/>
              <w:contextualSpacing/>
              <w:jc w:val="center"/>
              <w:rPr>
                <w:rFonts w:ascii="宋体" w:hAnsi="宋体" w:eastAsia="宋体" w:cs="Times New Roman"/>
                <w:sz w:val="24"/>
              </w:rPr>
            </w:pPr>
          </w:p>
        </w:tc>
        <w:tc>
          <w:tcPr>
            <w:tcW w:w="3051" w:type="dxa"/>
            <w:noWrap/>
            <w:vAlign w:val="center"/>
          </w:tcPr>
          <w:p w14:paraId="3C846CAC">
            <w:pPr>
              <w:spacing w:line="360" w:lineRule="auto"/>
              <w:contextualSpacing/>
              <w:jc w:val="center"/>
              <w:rPr>
                <w:rFonts w:ascii="宋体" w:hAnsi="宋体" w:eastAsia="宋体" w:cs="Times New Roman"/>
                <w:sz w:val="24"/>
              </w:rPr>
            </w:pPr>
            <w:bookmarkStart w:id="209" w:name="_Toc526009652"/>
            <w:r>
              <w:rPr>
                <w:rFonts w:ascii="宋体" w:hAnsi="宋体" w:eastAsia="宋体" w:cs="Times New Roman"/>
                <w:sz w:val="24"/>
              </w:rPr>
              <w:t>合同约定本次支付节点</w:t>
            </w:r>
            <w:bookmarkEnd w:id="209"/>
          </w:p>
        </w:tc>
        <w:tc>
          <w:tcPr>
            <w:tcW w:w="3084" w:type="dxa"/>
            <w:gridSpan w:val="2"/>
            <w:noWrap/>
          </w:tcPr>
          <w:p w14:paraId="7B52D978">
            <w:pPr>
              <w:widowControl/>
              <w:spacing w:line="360" w:lineRule="auto"/>
              <w:ind w:firstLine="480"/>
              <w:contextualSpacing/>
              <w:jc w:val="center"/>
              <w:rPr>
                <w:rFonts w:ascii="宋体" w:hAnsi="宋体" w:eastAsia="宋体" w:cs="Times New Roman"/>
                <w:sz w:val="24"/>
              </w:rPr>
            </w:pPr>
          </w:p>
        </w:tc>
      </w:tr>
      <w:tr w14:paraId="7F8D6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118" w:type="dxa"/>
            <w:vMerge w:val="continue"/>
            <w:noWrap/>
            <w:vAlign w:val="center"/>
          </w:tcPr>
          <w:p w14:paraId="583DC4A1">
            <w:pPr>
              <w:widowControl/>
              <w:spacing w:line="360" w:lineRule="auto"/>
              <w:ind w:firstLine="480"/>
              <w:contextualSpacing/>
              <w:jc w:val="center"/>
              <w:rPr>
                <w:rFonts w:ascii="宋体" w:hAnsi="宋体" w:eastAsia="宋体" w:cs="Times New Roman"/>
                <w:sz w:val="24"/>
              </w:rPr>
            </w:pPr>
          </w:p>
        </w:tc>
        <w:tc>
          <w:tcPr>
            <w:tcW w:w="3051" w:type="dxa"/>
            <w:noWrap/>
            <w:vAlign w:val="center"/>
          </w:tcPr>
          <w:p w14:paraId="175D4EC2">
            <w:pPr>
              <w:spacing w:line="360" w:lineRule="auto"/>
              <w:contextualSpacing/>
              <w:jc w:val="center"/>
              <w:rPr>
                <w:rFonts w:ascii="宋体" w:hAnsi="宋体" w:eastAsia="宋体" w:cs="Times New Roman"/>
                <w:sz w:val="24"/>
              </w:rPr>
            </w:pPr>
            <w:bookmarkStart w:id="210" w:name="_Toc526009653"/>
            <w:r>
              <w:rPr>
                <w:rFonts w:ascii="宋体" w:hAnsi="宋体" w:eastAsia="宋体" w:cs="Times New Roman"/>
                <w:sz w:val="24"/>
              </w:rPr>
              <w:t>本次支付节点完成情况</w:t>
            </w:r>
            <w:bookmarkEnd w:id="210"/>
          </w:p>
        </w:tc>
        <w:tc>
          <w:tcPr>
            <w:tcW w:w="3084" w:type="dxa"/>
            <w:gridSpan w:val="2"/>
            <w:noWrap/>
          </w:tcPr>
          <w:p w14:paraId="79305FA5">
            <w:pPr>
              <w:widowControl/>
              <w:spacing w:line="360" w:lineRule="auto"/>
              <w:ind w:firstLine="480"/>
              <w:contextualSpacing/>
              <w:jc w:val="center"/>
              <w:rPr>
                <w:rFonts w:ascii="宋体" w:hAnsi="宋体" w:eastAsia="宋体" w:cs="Times New Roman"/>
                <w:sz w:val="24"/>
              </w:rPr>
            </w:pPr>
          </w:p>
        </w:tc>
      </w:tr>
      <w:tr w14:paraId="4C6C5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118" w:type="dxa"/>
            <w:vMerge w:val="continue"/>
            <w:noWrap/>
            <w:vAlign w:val="center"/>
          </w:tcPr>
          <w:p w14:paraId="535DC372">
            <w:pPr>
              <w:widowControl/>
              <w:spacing w:line="360" w:lineRule="auto"/>
              <w:ind w:firstLine="480"/>
              <w:contextualSpacing/>
              <w:jc w:val="center"/>
              <w:rPr>
                <w:rFonts w:ascii="宋体" w:hAnsi="宋体" w:eastAsia="宋体" w:cs="Times New Roman"/>
                <w:sz w:val="24"/>
              </w:rPr>
            </w:pPr>
          </w:p>
        </w:tc>
        <w:tc>
          <w:tcPr>
            <w:tcW w:w="3051" w:type="dxa"/>
            <w:noWrap/>
            <w:vAlign w:val="center"/>
          </w:tcPr>
          <w:p w14:paraId="79E91D88">
            <w:pPr>
              <w:spacing w:line="360" w:lineRule="auto"/>
              <w:contextualSpacing/>
              <w:jc w:val="center"/>
              <w:rPr>
                <w:rFonts w:ascii="宋体" w:hAnsi="宋体" w:eastAsia="宋体" w:cs="Times New Roman"/>
                <w:sz w:val="24"/>
              </w:rPr>
            </w:pPr>
            <w:bookmarkStart w:id="211" w:name="_Toc526009654"/>
            <w:r>
              <w:rPr>
                <w:rFonts w:ascii="宋体" w:hAnsi="宋体" w:eastAsia="宋体" w:cs="Times New Roman"/>
                <w:sz w:val="24"/>
              </w:rPr>
              <w:t>截止本次累计已支付金额（元）</w:t>
            </w:r>
            <w:bookmarkEnd w:id="211"/>
          </w:p>
        </w:tc>
        <w:tc>
          <w:tcPr>
            <w:tcW w:w="3084" w:type="dxa"/>
            <w:gridSpan w:val="2"/>
            <w:noWrap/>
          </w:tcPr>
          <w:p w14:paraId="21CF4978">
            <w:pPr>
              <w:widowControl/>
              <w:spacing w:line="360" w:lineRule="auto"/>
              <w:ind w:firstLine="480"/>
              <w:contextualSpacing/>
              <w:jc w:val="center"/>
              <w:rPr>
                <w:rFonts w:ascii="宋体" w:hAnsi="宋体" w:eastAsia="宋体" w:cs="Times New Roman"/>
                <w:sz w:val="24"/>
              </w:rPr>
            </w:pPr>
          </w:p>
        </w:tc>
      </w:tr>
      <w:tr w14:paraId="10316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8" w:type="dxa"/>
            <w:noWrap/>
            <w:vAlign w:val="center"/>
          </w:tcPr>
          <w:p w14:paraId="78DCD8F6">
            <w:pPr>
              <w:widowControl/>
              <w:spacing w:line="360" w:lineRule="auto"/>
              <w:contextualSpacing/>
              <w:jc w:val="center"/>
              <w:rPr>
                <w:rFonts w:ascii="宋体" w:hAnsi="宋体" w:eastAsia="宋体" w:cs="Times New Roman"/>
                <w:sz w:val="24"/>
              </w:rPr>
            </w:pPr>
            <w:bookmarkStart w:id="212" w:name="_Toc526009655"/>
            <w:r>
              <w:rPr>
                <w:rFonts w:ascii="宋体" w:hAnsi="宋体" w:eastAsia="宋体" w:cs="Times New Roman"/>
                <w:sz w:val="24"/>
              </w:rPr>
              <w:t>附件</w:t>
            </w:r>
            <w:bookmarkEnd w:id="212"/>
          </w:p>
        </w:tc>
        <w:tc>
          <w:tcPr>
            <w:tcW w:w="6135" w:type="dxa"/>
            <w:gridSpan w:val="3"/>
            <w:noWrap/>
          </w:tcPr>
          <w:p w14:paraId="2DD34612">
            <w:pPr>
              <w:widowControl/>
              <w:spacing w:line="360" w:lineRule="auto"/>
              <w:ind w:firstLine="480"/>
              <w:contextualSpacing/>
              <w:jc w:val="center"/>
              <w:rPr>
                <w:rFonts w:ascii="宋体" w:hAnsi="宋体" w:eastAsia="宋体" w:cs="Times New Roman"/>
                <w:sz w:val="24"/>
              </w:rPr>
            </w:pPr>
          </w:p>
        </w:tc>
      </w:tr>
      <w:tr w14:paraId="6DF2B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3" w:type="dxa"/>
            <w:gridSpan w:val="4"/>
            <w:noWrap/>
          </w:tcPr>
          <w:p w14:paraId="3624EEB0">
            <w:pPr>
              <w:widowControl/>
              <w:spacing w:line="360" w:lineRule="auto"/>
              <w:ind w:firstLine="480"/>
              <w:contextualSpacing/>
              <w:rPr>
                <w:rFonts w:ascii="宋体" w:hAnsi="宋体" w:eastAsia="宋体" w:cs="Times New Roman"/>
                <w:sz w:val="24"/>
              </w:rPr>
            </w:pPr>
            <w:bookmarkStart w:id="213" w:name="_Toc526009656"/>
            <w:r>
              <w:rPr>
                <w:rFonts w:ascii="宋体" w:hAnsi="宋体" w:eastAsia="宋体" w:cs="Times New Roman"/>
                <w:sz w:val="24"/>
              </w:rPr>
              <w:t>1.</w:t>
            </w:r>
            <w:r>
              <w:rPr>
                <w:rFonts w:hint="eastAsia" w:ascii="宋体" w:hAnsi="宋体" w:eastAsia="宋体" w:cs="Times New Roman"/>
                <w:sz w:val="24"/>
              </w:rPr>
              <w:t>发票</w:t>
            </w:r>
            <w:r>
              <w:rPr>
                <w:rFonts w:ascii="宋体" w:hAnsi="宋体" w:eastAsia="宋体" w:cs="Times New Roman"/>
                <w:sz w:val="24"/>
              </w:rPr>
              <w:t>类型及金额：</w:t>
            </w:r>
            <w:bookmarkEnd w:id="213"/>
          </w:p>
        </w:tc>
      </w:tr>
      <w:tr w14:paraId="54401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3" w:type="dxa"/>
            <w:gridSpan w:val="4"/>
            <w:noWrap/>
          </w:tcPr>
          <w:p w14:paraId="1269F2E3">
            <w:pPr>
              <w:widowControl/>
              <w:spacing w:line="360" w:lineRule="auto"/>
              <w:ind w:firstLine="480"/>
              <w:contextualSpacing/>
              <w:rPr>
                <w:rFonts w:ascii="宋体" w:hAnsi="宋体" w:eastAsia="宋体" w:cs="Times New Roman"/>
                <w:sz w:val="24"/>
              </w:rPr>
            </w:pPr>
            <w:bookmarkStart w:id="214" w:name="_Toc526009657"/>
            <w:r>
              <w:rPr>
                <w:rFonts w:ascii="宋体" w:hAnsi="宋体" w:eastAsia="宋体" w:cs="Times New Roman"/>
                <w:sz w:val="24"/>
              </w:rPr>
              <w:t>2.</w:t>
            </w:r>
            <w:r>
              <w:rPr>
                <w:rFonts w:hint="eastAsia" w:ascii="宋体" w:hAnsi="宋体" w:eastAsia="宋体" w:cs="Times New Roman"/>
                <w:sz w:val="24"/>
              </w:rPr>
              <w:t>节点</w:t>
            </w:r>
            <w:r>
              <w:rPr>
                <w:rFonts w:ascii="宋体" w:hAnsi="宋体" w:eastAsia="宋体" w:cs="Times New Roman"/>
                <w:sz w:val="24"/>
              </w:rPr>
              <w:t>完成支付性材料：</w:t>
            </w:r>
            <w:bookmarkEnd w:id="214"/>
          </w:p>
        </w:tc>
      </w:tr>
      <w:tr w14:paraId="0F864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3" w:type="dxa"/>
            <w:gridSpan w:val="4"/>
            <w:noWrap/>
          </w:tcPr>
          <w:p w14:paraId="38C7F34C">
            <w:pPr>
              <w:widowControl/>
              <w:spacing w:line="360" w:lineRule="auto"/>
              <w:ind w:firstLine="480"/>
              <w:contextualSpacing/>
              <w:rPr>
                <w:rFonts w:ascii="宋体" w:hAnsi="宋体" w:eastAsia="宋体" w:cs="Times New Roman"/>
                <w:sz w:val="24"/>
              </w:rPr>
            </w:pPr>
            <w:bookmarkStart w:id="215" w:name="_Toc526009658"/>
            <w:r>
              <w:rPr>
                <w:rFonts w:ascii="宋体" w:hAnsi="宋体" w:eastAsia="宋体" w:cs="Times New Roman"/>
                <w:sz w:val="24"/>
              </w:rPr>
              <w:t>3.</w:t>
            </w:r>
            <w:r>
              <w:rPr>
                <w:rFonts w:hint="eastAsia" w:ascii="宋体" w:hAnsi="宋体" w:eastAsia="宋体" w:cs="Times New Roman"/>
                <w:sz w:val="24"/>
              </w:rPr>
              <w:t>其他</w:t>
            </w:r>
            <w:r>
              <w:rPr>
                <w:rFonts w:ascii="宋体" w:hAnsi="宋体" w:eastAsia="宋体" w:cs="Times New Roman"/>
                <w:sz w:val="24"/>
              </w:rPr>
              <w:t>材料（如：</w:t>
            </w:r>
            <w:r>
              <w:rPr>
                <w:rFonts w:hint="eastAsia" w:ascii="宋体" w:hAnsi="宋体" w:eastAsia="宋体" w:cs="Times New Roman"/>
                <w:sz w:val="24"/>
              </w:rPr>
              <w:t>账户</w:t>
            </w:r>
            <w:r>
              <w:rPr>
                <w:rFonts w:ascii="宋体" w:hAnsi="宋体" w:eastAsia="宋体" w:cs="Times New Roman"/>
                <w:sz w:val="24"/>
              </w:rPr>
              <w:t>变更材料）：</w:t>
            </w:r>
            <w:bookmarkEnd w:id="215"/>
          </w:p>
        </w:tc>
      </w:tr>
      <w:tr w14:paraId="36B05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8" w:type="dxa"/>
            <w:noWrap/>
            <w:vAlign w:val="center"/>
          </w:tcPr>
          <w:p w14:paraId="19C0DF70">
            <w:pPr>
              <w:widowControl/>
              <w:spacing w:line="360" w:lineRule="auto"/>
              <w:contextualSpacing/>
              <w:jc w:val="center"/>
              <w:rPr>
                <w:rFonts w:ascii="宋体" w:hAnsi="宋体" w:eastAsia="宋体" w:cs="Times New Roman"/>
                <w:sz w:val="24"/>
              </w:rPr>
            </w:pPr>
            <w:bookmarkStart w:id="216" w:name="_Toc526009659"/>
            <w:r>
              <w:rPr>
                <w:rFonts w:ascii="宋体" w:hAnsi="宋体" w:eastAsia="宋体" w:cs="Times New Roman"/>
                <w:sz w:val="24"/>
              </w:rPr>
              <w:t>申请单位</w:t>
            </w:r>
            <w:r>
              <w:rPr>
                <w:rFonts w:hint="eastAsia" w:ascii="宋体" w:hAnsi="宋体" w:eastAsia="宋体" w:cs="Times New Roman"/>
                <w:sz w:val="24"/>
              </w:rPr>
              <w:t>联系人</w:t>
            </w:r>
            <w:bookmarkEnd w:id="216"/>
          </w:p>
        </w:tc>
        <w:tc>
          <w:tcPr>
            <w:tcW w:w="3051" w:type="dxa"/>
            <w:noWrap/>
          </w:tcPr>
          <w:p w14:paraId="4836B2B9">
            <w:pPr>
              <w:widowControl/>
              <w:spacing w:line="360" w:lineRule="auto"/>
              <w:ind w:firstLine="480"/>
              <w:contextualSpacing/>
              <w:jc w:val="center"/>
              <w:rPr>
                <w:rFonts w:ascii="宋体" w:hAnsi="宋体" w:eastAsia="宋体" w:cs="Times New Roman"/>
                <w:sz w:val="24"/>
              </w:rPr>
            </w:pPr>
          </w:p>
        </w:tc>
        <w:tc>
          <w:tcPr>
            <w:tcW w:w="1559" w:type="dxa"/>
            <w:noWrap/>
            <w:vAlign w:val="center"/>
          </w:tcPr>
          <w:p w14:paraId="4C263B22">
            <w:pPr>
              <w:widowControl/>
              <w:spacing w:line="360" w:lineRule="auto"/>
              <w:contextualSpacing/>
              <w:jc w:val="center"/>
              <w:rPr>
                <w:rFonts w:ascii="宋体" w:hAnsi="宋体" w:eastAsia="宋体" w:cs="Times New Roman"/>
                <w:sz w:val="24"/>
              </w:rPr>
            </w:pPr>
            <w:bookmarkStart w:id="217" w:name="_Toc526009660"/>
            <w:r>
              <w:rPr>
                <w:rFonts w:ascii="宋体" w:hAnsi="宋体" w:eastAsia="宋体" w:cs="Times New Roman"/>
                <w:sz w:val="24"/>
              </w:rPr>
              <w:t>电话</w:t>
            </w:r>
            <w:bookmarkEnd w:id="217"/>
          </w:p>
        </w:tc>
        <w:tc>
          <w:tcPr>
            <w:tcW w:w="1525" w:type="dxa"/>
            <w:noWrap/>
          </w:tcPr>
          <w:p w14:paraId="63F38DD1">
            <w:pPr>
              <w:widowControl/>
              <w:spacing w:line="360" w:lineRule="auto"/>
              <w:ind w:firstLine="480"/>
              <w:contextualSpacing/>
              <w:jc w:val="center"/>
              <w:rPr>
                <w:rFonts w:ascii="宋体" w:hAnsi="宋体" w:eastAsia="宋体" w:cs="Times New Roman"/>
                <w:sz w:val="24"/>
              </w:rPr>
            </w:pPr>
          </w:p>
        </w:tc>
      </w:tr>
      <w:tr w14:paraId="0E906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8" w:type="dxa"/>
            <w:noWrap/>
            <w:vAlign w:val="center"/>
          </w:tcPr>
          <w:p w14:paraId="45EBDCD6">
            <w:pPr>
              <w:widowControl/>
              <w:spacing w:line="360" w:lineRule="auto"/>
              <w:contextualSpacing/>
              <w:jc w:val="center"/>
              <w:rPr>
                <w:rFonts w:ascii="宋体" w:hAnsi="宋体" w:eastAsia="宋体" w:cs="Times New Roman"/>
                <w:sz w:val="24"/>
              </w:rPr>
            </w:pPr>
            <w:bookmarkStart w:id="218" w:name="_Toc526009661"/>
            <w:r>
              <w:rPr>
                <w:rFonts w:ascii="宋体" w:hAnsi="宋体" w:eastAsia="宋体" w:cs="Times New Roman"/>
                <w:sz w:val="24"/>
              </w:rPr>
              <w:t>申请单位</w:t>
            </w:r>
            <w:bookmarkEnd w:id="218"/>
          </w:p>
        </w:tc>
        <w:tc>
          <w:tcPr>
            <w:tcW w:w="6135" w:type="dxa"/>
            <w:gridSpan w:val="3"/>
            <w:noWrap/>
          </w:tcPr>
          <w:p w14:paraId="70D24357">
            <w:pPr>
              <w:widowControl/>
              <w:spacing w:line="360" w:lineRule="auto"/>
              <w:ind w:firstLine="480"/>
              <w:contextualSpacing/>
              <w:jc w:val="center"/>
              <w:rPr>
                <w:rFonts w:ascii="宋体" w:hAnsi="宋体" w:eastAsia="宋体" w:cs="Times New Roman"/>
                <w:sz w:val="24"/>
              </w:rPr>
            </w:pPr>
          </w:p>
        </w:tc>
      </w:tr>
      <w:tr w14:paraId="77FEA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trPr>
        <w:tc>
          <w:tcPr>
            <w:tcW w:w="8253" w:type="dxa"/>
            <w:gridSpan w:val="4"/>
            <w:noWrap/>
          </w:tcPr>
          <w:p w14:paraId="74588650">
            <w:pPr>
              <w:widowControl/>
              <w:spacing w:line="360" w:lineRule="auto"/>
              <w:ind w:firstLine="480"/>
              <w:contextualSpacing/>
              <w:jc w:val="center"/>
              <w:rPr>
                <w:rFonts w:ascii="宋体" w:hAnsi="宋体" w:eastAsia="宋体" w:cs="Times New Roman"/>
                <w:sz w:val="24"/>
              </w:rPr>
            </w:pPr>
          </w:p>
          <w:p w14:paraId="63E546E5">
            <w:pPr>
              <w:widowControl/>
              <w:spacing w:line="360" w:lineRule="auto"/>
              <w:ind w:firstLine="480"/>
              <w:contextualSpacing/>
              <w:jc w:val="center"/>
              <w:rPr>
                <w:rFonts w:ascii="宋体" w:hAnsi="宋体" w:eastAsia="宋体" w:cs="Times New Roman"/>
                <w:sz w:val="24"/>
              </w:rPr>
            </w:pPr>
          </w:p>
          <w:p w14:paraId="26D27354">
            <w:pPr>
              <w:widowControl/>
              <w:spacing w:line="360" w:lineRule="auto"/>
              <w:ind w:firstLine="480"/>
              <w:contextualSpacing/>
              <w:jc w:val="center"/>
              <w:rPr>
                <w:rFonts w:ascii="宋体" w:hAnsi="宋体" w:eastAsia="宋体" w:cs="Times New Roman"/>
                <w:sz w:val="24"/>
              </w:rPr>
            </w:pPr>
          </w:p>
          <w:p w14:paraId="43279562">
            <w:pPr>
              <w:widowControl/>
              <w:spacing w:line="360" w:lineRule="auto"/>
              <w:ind w:firstLine="480"/>
              <w:contextualSpacing/>
              <w:jc w:val="center"/>
              <w:rPr>
                <w:rFonts w:ascii="宋体" w:hAnsi="宋体" w:eastAsia="宋体" w:cs="Times New Roman"/>
                <w:sz w:val="24"/>
              </w:rPr>
            </w:pPr>
          </w:p>
          <w:p w14:paraId="53BC184F">
            <w:pPr>
              <w:widowControl/>
              <w:spacing w:line="360" w:lineRule="auto"/>
              <w:ind w:firstLine="480"/>
              <w:contextualSpacing/>
              <w:rPr>
                <w:rFonts w:ascii="宋体" w:hAnsi="宋体" w:eastAsia="宋体" w:cs="Times New Roman"/>
                <w:sz w:val="24"/>
              </w:rPr>
            </w:pPr>
          </w:p>
          <w:p w14:paraId="798CCBEE">
            <w:pPr>
              <w:widowControl/>
              <w:spacing w:line="360" w:lineRule="auto"/>
              <w:ind w:firstLine="480"/>
              <w:contextualSpacing/>
              <w:jc w:val="center"/>
              <w:rPr>
                <w:rFonts w:ascii="宋体" w:hAnsi="宋体" w:eastAsia="宋体" w:cs="Times New Roman"/>
                <w:sz w:val="24"/>
              </w:rPr>
            </w:pPr>
            <w:bookmarkStart w:id="219" w:name="_Toc526009662"/>
            <w:r>
              <w:rPr>
                <w:rFonts w:ascii="宋体" w:hAnsi="宋体" w:eastAsia="宋体" w:cs="Times New Roman"/>
                <w:sz w:val="24"/>
              </w:rPr>
              <w:t>（申请单位签字/</w:t>
            </w:r>
            <w:r>
              <w:rPr>
                <w:rFonts w:hint="eastAsia" w:ascii="宋体" w:hAnsi="宋体" w:eastAsia="宋体" w:cs="Times New Roman"/>
                <w:sz w:val="24"/>
              </w:rPr>
              <w:t>盖章</w:t>
            </w:r>
            <w:r>
              <w:rPr>
                <w:rFonts w:ascii="宋体" w:hAnsi="宋体" w:eastAsia="宋体" w:cs="Times New Roman"/>
                <w:sz w:val="24"/>
              </w:rPr>
              <w:t>）</w:t>
            </w:r>
            <w:bookmarkEnd w:id="219"/>
          </w:p>
          <w:p w14:paraId="32FBC0B5">
            <w:pPr>
              <w:widowControl/>
              <w:spacing w:line="360" w:lineRule="auto"/>
              <w:ind w:firstLine="480"/>
              <w:contextualSpacing/>
              <w:jc w:val="center"/>
              <w:rPr>
                <w:rFonts w:ascii="宋体" w:hAnsi="宋体" w:eastAsia="宋体" w:cs="Times New Roman"/>
                <w:sz w:val="24"/>
              </w:rPr>
            </w:pPr>
            <w:bookmarkStart w:id="220" w:name="_Toc526009663"/>
            <w:r>
              <w:rPr>
                <w:rFonts w:hint="eastAsia" w:ascii="宋体" w:hAnsi="宋体" w:eastAsia="宋体" w:cs="Times New Roman"/>
                <w:sz w:val="24"/>
              </w:rPr>
              <w:t>年</w:t>
            </w:r>
            <w:r>
              <w:rPr>
                <w:rFonts w:ascii="宋体" w:hAnsi="宋体" w:eastAsia="宋体" w:cs="Times New Roman"/>
                <w:sz w:val="24"/>
              </w:rPr>
              <w:t xml:space="preserve">   月  日</w:t>
            </w:r>
            <w:bookmarkEnd w:id="220"/>
          </w:p>
        </w:tc>
      </w:tr>
    </w:tbl>
    <w:p w14:paraId="3E8BF253">
      <w:pPr>
        <w:snapToGrid w:val="0"/>
        <w:spacing w:line="360" w:lineRule="auto"/>
        <w:ind w:firstLine="480"/>
        <w:rPr>
          <w:rFonts w:ascii="宋体" w:hAnsi="宋体" w:eastAsia="宋体" w:cs="Times New Roman"/>
        </w:rPr>
      </w:pPr>
    </w:p>
    <w:p w14:paraId="7BD1882A">
      <w:pPr>
        <w:widowControl/>
        <w:spacing w:line="360" w:lineRule="auto"/>
        <w:jc w:val="left"/>
        <w:rPr>
          <w:rFonts w:ascii="宋体" w:hAnsi="宋体" w:eastAsia="宋体" w:cs="Times New Roman"/>
          <w:b/>
          <w:bCs/>
          <w:sz w:val="24"/>
          <w:szCs w:val="32"/>
        </w:rPr>
      </w:pPr>
      <w:r>
        <w:rPr>
          <w:rFonts w:ascii="宋体" w:hAnsi="宋体" w:eastAsia="宋体" w:cs="Times New Roman"/>
          <w:sz w:val="24"/>
          <w:szCs w:val="32"/>
        </w:rPr>
        <w:br w:type="page"/>
      </w:r>
    </w:p>
    <w:p w14:paraId="50DBBE0F">
      <w:pPr>
        <w:keepNext/>
        <w:keepLines/>
        <w:spacing w:line="360" w:lineRule="auto"/>
        <w:jc w:val="center"/>
        <w:outlineLvl w:val="0"/>
        <w:rPr>
          <w:rFonts w:ascii="Times New Roman" w:hAnsi="Times New Roman" w:eastAsia="黑体" w:cs="Times New Roman"/>
          <w:b/>
          <w:bCs/>
          <w:kern w:val="44"/>
          <w:sz w:val="28"/>
          <w:szCs w:val="44"/>
        </w:rPr>
      </w:pPr>
      <w:bookmarkStart w:id="221" w:name="_Toc15317536"/>
      <w:r>
        <w:rPr>
          <w:rFonts w:hint="eastAsia" w:ascii="Times New Roman" w:hAnsi="Times New Roman" w:eastAsia="黑体" w:cs="Times New Roman"/>
          <w:b/>
          <w:bCs/>
          <w:kern w:val="44"/>
          <w:sz w:val="28"/>
          <w:szCs w:val="44"/>
        </w:rPr>
        <w:t>附件</w:t>
      </w:r>
      <w:r>
        <w:rPr>
          <w:rFonts w:ascii="Times New Roman" w:hAnsi="Times New Roman" w:eastAsia="黑体" w:cs="Times New Roman"/>
          <w:b/>
          <w:bCs/>
          <w:kern w:val="44"/>
          <w:sz w:val="28"/>
          <w:szCs w:val="44"/>
        </w:rPr>
        <w:t xml:space="preserve">A-2  </w:t>
      </w:r>
      <w:r>
        <w:rPr>
          <w:rFonts w:hint="eastAsia" w:ascii="Times New Roman" w:hAnsi="Times New Roman" w:eastAsia="黑体" w:cs="Times New Roman"/>
          <w:b/>
          <w:bCs/>
          <w:kern w:val="44"/>
          <w:sz w:val="28"/>
          <w:szCs w:val="44"/>
        </w:rPr>
        <w:t>采购廉洁协议书</w:t>
      </w:r>
      <w:bookmarkEnd w:id="192"/>
      <w:bookmarkEnd w:id="193"/>
      <w:bookmarkEnd w:id="221"/>
    </w:p>
    <w:p w14:paraId="0B21174D">
      <w:pPr>
        <w:spacing w:line="440" w:lineRule="exact"/>
        <w:rPr>
          <w:rFonts w:ascii="Times New Roman" w:hAnsi="Times New Roman" w:eastAsia="宋体" w:cs="Times New Roman"/>
          <w:b/>
          <w:color w:val="FF0000"/>
          <w:sz w:val="24"/>
        </w:rPr>
      </w:pPr>
      <w:r>
        <w:rPr>
          <w:rFonts w:hint="eastAsia" w:ascii="Times New Roman" w:hAnsi="Times New Roman" w:eastAsia="宋体" w:cs="Times New Roman"/>
          <w:b/>
          <w:color w:val="FF0000"/>
          <w:sz w:val="24"/>
        </w:rPr>
        <w:t>项目名称：</w:t>
      </w:r>
      <w:r>
        <w:rPr>
          <w:rFonts w:ascii="Times New Roman" w:hAnsi="Times New Roman" w:eastAsia="宋体" w:cs="Times New Roman"/>
          <w:b/>
          <w:color w:val="FF0000"/>
          <w:sz w:val="24"/>
        </w:rPr>
        <w:t>XXX</w:t>
      </w:r>
    </w:p>
    <w:p w14:paraId="1046ECE9">
      <w:pPr>
        <w:spacing w:line="440" w:lineRule="exact"/>
        <w:rPr>
          <w:rFonts w:ascii="Times New Roman" w:hAnsi="Times New Roman" w:eastAsia="宋体" w:cs="Times New Roman"/>
          <w:b/>
          <w:sz w:val="24"/>
        </w:rPr>
      </w:pPr>
      <w:r>
        <w:rPr>
          <w:rFonts w:hint="eastAsia" w:ascii="Times New Roman" w:hAnsi="Times New Roman" w:eastAsia="宋体" w:cs="Times New Roman"/>
          <w:b/>
          <w:sz w:val="24"/>
        </w:rPr>
        <w:t>甲方：</w:t>
      </w:r>
      <w:r>
        <w:rPr>
          <w:rFonts w:hint="eastAsia" w:ascii="宋体" w:hAnsi="宋体" w:eastAsia="宋体" w:cs="仿宋_GB2312"/>
          <w:b/>
          <w:bCs/>
          <w:sz w:val="24"/>
        </w:rPr>
        <w:t>中国核动力研究设计院</w:t>
      </w:r>
    </w:p>
    <w:p w14:paraId="6B036310">
      <w:pPr>
        <w:spacing w:line="440" w:lineRule="exact"/>
        <w:rPr>
          <w:rFonts w:ascii="Times New Roman" w:hAnsi="Times New Roman" w:eastAsia="宋体" w:cs="Times New Roman"/>
          <w:b/>
          <w:color w:val="FF0000"/>
          <w:sz w:val="24"/>
        </w:rPr>
      </w:pPr>
      <w:r>
        <w:rPr>
          <w:rFonts w:hint="eastAsia" w:ascii="Times New Roman" w:hAnsi="Times New Roman" w:eastAsia="宋体" w:cs="Times New Roman"/>
          <w:b/>
          <w:color w:val="FF0000"/>
          <w:sz w:val="24"/>
        </w:rPr>
        <w:t>乙方：</w:t>
      </w:r>
      <w:r>
        <w:rPr>
          <w:rFonts w:ascii="Times New Roman" w:hAnsi="Times New Roman" w:eastAsia="宋体" w:cs="Times New Roman"/>
          <w:b/>
          <w:color w:val="FF0000"/>
          <w:sz w:val="24"/>
        </w:rPr>
        <w:t>XXX</w:t>
      </w:r>
    </w:p>
    <w:p w14:paraId="3D1A4AF8">
      <w:pPr>
        <w:spacing w:line="360" w:lineRule="auto"/>
        <w:ind w:firstLine="480" w:firstLineChars="200"/>
        <w:jc w:val="left"/>
        <w:rPr>
          <w:rFonts w:ascii="仿宋_GB2312" w:hAnsi="Times New Roman" w:eastAsia="宋体" w:cs="Times New Roman"/>
          <w:color w:val="000000"/>
          <w:sz w:val="24"/>
        </w:rPr>
      </w:pPr>
      <w:r>
        <w:rPr>
          <w:rFonts w:hint="eastAsia" w:ascii="仿宋_GB2312" w:hAnsi="Times New Roman" w:eastAsia="宋体" w:cs="Times New Roman"/>
          <w:color w:val="000000"/>
          <w:sz w:val="24"/>
        </w:rPr>
        <w:t>为加强对采购工作的监管，促进合同双方诚信共廉，防止违法违纪行为的发生，特订立本协议。</w:t>
      </w:r>
    </w:p>
    <w:p w14:paraId="403653BF">
      <w:pPr>
        <w:spacing w:line="360" w:lineRule="auto"/>
        <w:ind w:firstLine="482" w:firstLineChars="200"/>
        <w:jc w:val="left"/>
        <w:rPr>
          <w:rFonts w:ascii="仿宋_GB2312" w:hAnsi="Times New Roman" w:eastAsia="宋体" w:cs="Times New Roman"/>
          <w:b/>
          <w:color w:val="000000"/>
          <w:sz w:val="24"/>
        </w:rPr>
      </w:pPr>
      <w:r>
        <w:rPr>
          <w:rFonts w:hint="eastAsia" w:ascii="仿宋_GB2312" w:hAnsi="Times New Roman" w:eastAsia="宋体" w:cs="Times New Roman"/>
          <w:b/>
          <w:color w:val="000000"/>
          <w:sz w:val="24"/>
        </w:rPr>
        <w:t>第一条甲乙双方的责任</w:t>
      </w:r>
    </w:p>
    <w:p w14:paraId="464BFF22">
      <w:pPr>
        <w:spacing w:line="360" w:lineRule="auto"/>
        <w:ind w:firstLine="480" w:firstLineChars="200"/>
        <w:jc w:val="left"/>
        <w:rPr>
          <w:rFonts w:ascii="仿宋_GB2312" w:hAnsi="Times New Roman" w:eastAsia="宋体" w:cs="Times New Roman"/>
          <w:color w:val="000000"/>
          <w:sz w:val="24"/>
        </w:rPr>
      </w:pPr>
      <w:r>
        <w:rPr>
          <w:rFonts w:hint="eastAsia" w:ascii="仿宋_GB2312" w:hAnsi="Times New Roman" w:eastAsia="宋体" w:cs="Times New Roman"/>
          <w:color w:val="000000"/>
          <w:sz w:val="24"/>
        </w:rPr>
        <w:t>（一）双方应加强对本方工作人员的法治教育和廉洁从业教育，建立和健全采购管理规章制度，并监督执行；</w:t>
      </w:r>
    </w:p>
    <w:p w14:paraId="5B5C4B24">
      <w:pPr>
        <w:spacing w:line="360" w:lineRule="auto"/>
        <w:ind w:firstLine="480" w:firstLineChars="200"/>
        <w:jc w:val="left"/>
        <w:rPr>
          <w:rFonts w:ascii="仿宋_GB2312" w:hAnsi="Times New Roman" w:eastAsia="宋体" w:cs="Times New Roman"/>
          <w:color w:val="000000"/>
          <w:sz w:val="24"/>
        </w:rPr>
      </w:pPr>
      <w:r>
        <w:rPr>
          <w:rFonts w:hint="eastAsia" w:ascii="仿宋_GB2312" w:hAnsi="Times New Roman" w:eastAsia="宋体" w:cs="Times New Roman"/>
          <w:color w:val="000000"/>
          <w:sz w:val="24"/>
        </w:rPr>
        <w:t>（二）双方应严格遵守国家有关法律法规、相关政策和规定；</w:t>
      </w:r>
    </w:p>
    <w:p w14:paraId="17CAF919">
      <w:pPr>
        <w:tabs>
          <w:tab w:val="left" w:pos="315"/>
        </w:tabs>
        <w:spacing w:line="360" w:lineRule="auto"/>
        <w:ind w:firstLine="480" w:firstLineChars="200"/>
        <w:jc w:val="left"/>
        <w:rPr>
          <w:rFonts w:ascii="仿宋_GB2312" w:hAnsi="Times New Roman" w:eastAsia="宋体" w:cs="Times New Roman"/>
          <w:color w:val="000000"/>
          <w:sz w:val="24"/>
        </w:rPr>
      </w:pPr>
      <w:r>
        <w:rPr>
          <w:rFonts w:hint="eastAsia" w:ascii="仿宋_GB2312" w:hAnsi="Times New Roman" w:eastAsia="宋体" w:cs="Times New Roman"/>
          <w:color w:val="000000"/>
          <w:sz w:val="24"/>
        </w:rPr>
        <w:t>（三）双方必须坚持公开、公平、公正、诚信、透明的原则</w:t>
      </w:r>
      <w:r>
        <w:rPr>
          <w:rFonts w:ascii="仿宋_GB2312" w:hAnsi="Times New Roman" w:eastAsia="宋体" w:cs="Times New Roman"/>
          <w:color w:val="000000"/>
          <w:sz w:val="24"/>
        </w:rPr>
        <w:t>（</w:t>
      </w:r>
      <w:r>
        <w:rPr>
          <w:rFonts w:hint="eastAsia" w:ascii="仿宋_GB2312" w:hAnsi="Times New Roman" w:eastAsia="宋体" w:cs="Times New Roman"/>
          <w:color w:val="000000"/>
          <w:sz w:val="24"/>
        </w:rPr>
        <w:t>除法律法规另有规定者外</w:t>
      </w:r>
      <w:r>
        <w:rPr>
          <w:rFonts w:ascii="仿宋_GB2312" w:hAnsi="Times New Roman" w:eastAsia="宋体" w:cs="Times New Roman"/>
          <w:color w:val="000000"/>
          <w:sz w:val="24"/>
        </w:rPr>
        <w:t>）</w:t>
      </w:r>
      <w:r>
        <w:rPr>
          <w:rFonts w:hint="eastAsia" w:ascii="仿宋_GB2312" w:hAnsi="Times New Roman" w:eastAsia="宋体" w:cs="Times New Roman"/>
          <w:color w:val="000000"/>
          <w:sz w:val="24"/>
        </w:rPr>
        <w:t>，在公开的办公场所洽谈业务，不得在非工作场所洽谈业务，不得私下单独交易；不得为获取不正当的利益，损害国家、集体和对方利益；</w:t>
      </w:r>
    </w:p>
    <w:p w14:paraId="08B9A443">
      <w:pPr>
        <w:spacing w:line="360" w:lineRule="auto"/>
        <w:ind w:firstLine="480" w:firstLineChars="200"/>
        <w:jc w:val="left"/>
        <w:rPr>
          <w:rFonts w:ascii="仿宋_GB2312" w:hAnsi="Times New Roman" w:eastAsia="宋体" w:cs="Times New Roman"/>
          <w:color w:val="000000"/>
          <w:sz w:val="24"/>
        </w:rPr>
      </w:pPr>
      <w:r>
        <w:rPr>
          <w:rFonts w:hint="eastAsia" w:ascii="仿宋_GB2312" w:hAnsi="Times New Roman" w:eastAsia="宋体" w:cs="Times New Roman"/>
          <w:color w:val="000000"/>
          <w:sz w:val="24"/>
        </w:rPr>
        <w:t>（四）如发现对方工作人员在业务活动中有违规、违纪、违法行为的，应及时提醒，情节严重的，应主动向对方有关领导、主管部门反映情况，并有权向纪检纪律检查机关、司法机关举报。</w:t>
      </w:r>
    </w:p>
    <w:p w14:paraId="0B021402">
      <w:pPr>
        <w:spacing w:line="360" w:lineRule="auto"/>
        <w:ind w:firstLine="482" w:firstLineChars="200"/>
        <w:jc w:val="left"/>
        <w:rPr>
          <w:rFonts w:ascii="仿宋_GB2312" w:hAnsi="Times New Roman" w:eastAsia="宋体" w:cs="Times New Roman"/>
          <w:b/>
          <w:color w:val="000000"/>
          <w:sz w:val="24"/>
        </w:rPr>
      </w:pPr>
      <w:r>
        <w:rPr>
          <w:rFonts w:hint="eastAsia" w:ascii="仿宋_GB2312" w:hAnsi="Times New Roman" w:eastAsia="宋体" w:cs="Times New Roman"/>
          <w:b/>
          <w:color w:val="000000"/>
          <w:sz w:val="24"/>
        </w:rPr>
        <w:t>第二条甲方的责任</w:t>
      </w:r>
    </w:p>
    <w:p w14:paraId="4448B6D5">
      <w:pPr>
        <w:spacing w:line="360" w:lineRule="auto"/>
        <w:ind w:firstLine="480" w:firstLineChars="200"/>
        <w:jc w:val="left"/>
        <w:rPr>
          <w:rFonts w:ascii="仿宋_GB2312" w:hAnsi="Times New Roman" w:eastAsia="宋体" w:cs="Times New Roman"/>
          <w:color w:val="000000"/>
          <w:sz w:val="24"/>
        </w:rPr>
      </w:pPr>
      <w:r>
        <w:rPr>
          <w:rFonts w:hint="eastAsia" w:ascii="仿宋_GB2312" w:hAnsi="Times New Roman" w:eastAsia="宋体" w:cs="Times New Roman"/>
          <w:color w:val="000000"/>
          <w:sz w:val="24"/>
        </w:rPr>
        <w:t>甲方的领导人员和有关工作人员，应遵守以下规定：</w:t>
      </w:r>
    </w:p>
    <w:p w14:paraId="2D52A17A">
      <w:pPr>
        <w:spacing w:line="360" w:lineRule="auto"/>
        <w:ind w:firstLine="480" w:firstLineChars="200"/>
        <w:jc w:val="left"/>
        <w:rPr>
          <w:rFonts w:ascii="仿宋_GB2312" w:hAnsi="Times New Roman" w:eastAsia="宋体" w:cs="Times New Roman"/>
          <w:color w:val="000000"/>
          <w:sz w:val="24"/>
        </w:rPr>
      </w:pPr>
      <w:r>
        <w:rPr>
          <w:rFonts w:hint="eastAsia" w:ascii="仿宋_GB2312" w:hAnsi="Times New Roman" w:eastAsia="宋体" w:cs="Times New Roman"/>
          <w:color w:val="000000"/>
          <w:sz w:val="24"/>
        </w:rPr>
        <w:t>（一）不以任何方式和理由索要或接受乙方的回扣、礼金、有价证券、礼品和好处费、感谢费等；</w:t>
      </w:r>
    </w:p>
    <w:p w14:paraId="2AC9A0DE">
      <w:pPr>
        <w:spacing w:line="360" w:lineRule="auto"/>
        <w:ind w:firstLine="480" w:firstLineChars="200"/>
        <w:jc w:val="left"/>
        <w:rPr>
          <w:rFonts w:ascii="仿宋_GB2312" w:hAnsi="Times New Roman" w:eastAsia="宋体" w:cs="Times New Roman"/>
          <w:color w:val="000000"/>
          <w:sz w:val="24"/>
        </w:rPr>
      </w:pPr>
      <w:r>
        <w:rPr>
          <w:rFonts w:hint="eastAsia" w:ascii="仿宋_GB2312" w:hAnsi="Times New Roman" w:eastAsia="宋体" w:cs="Times New Roman"/>
          <w:color w:val="000000"/>
          <w:sz w:val="24"/>
        </w:rPr>
        <w:t>（二）不在乙方报销任何应由甲方或个人支付的费用，不得向乙方借款私用；</w:t>
      </w:r>
    </w:p>
    <w:p w14:paraId="731CA3D7">
      <w:pPr>
        <w:spacing w:line="360" w:lineRule="auto"/>
        <w:ind w:firstLine="480" w:firstLineChars="200"/>
        <w:jc w:val="left"/>
        <w:rPr>
          <w:rFonts w:ascii="仿宋_GB2312" w:hAnsi="Times New Roman" w:eastAsia="宋体" w:cs="Times New Roman"/>
          <w:color w:val="000000"/>
          <w:sz w:val="24"/>
        </w:rPr>
      </w:pPr>
      <w:r>
        <w:rPr>
          <w:rFonts w:hint="eastAsia" w:ascii="仿宋_GB2312" w:hAnsi="Times New Roman" w:eastAsia="宋体" w:cs="Times New Roman"/>
          <w:color w:val="000000"/>
          <w:sz w:val="24"/>
        </w:rPr>
        <w:t>（三）不要求、暗示和接受乙方为个人装修住房、婚丧嫁娶、配偶子女的工作安排以及出国（境）、旅游等方面提供方便；</w:t>
      </w:r>
    </w:p>
    <w:p w14:paraId="7B5B614B">
      <w:pPr>
        <w:spacing w:line="360" w:lineRule="auto"/>
        <w:ind w:firstLine="480" w:firstLineChars="200"/>
        <w:jc w:val="left"/>
        <w:rPr>
          <w:rFonts w:ascii="仿宋_GB2312" w:hAnsi="Times New Roman" w:eastAsia="宋体" w:cs="Times New Roman"/>
          <w:color w:val="000000"/>
          <w:sz w:val="24"/>
        </w:rPr>
      </w:pPr>
      <w:r>
        <w:rPr>
          <w:rFonts w:hint="eastAsia" w:ascii="仿宋_GB2312" w:hAnsi="Times New Roman" w:eastAsia="宋体" w:cs="Times New Roman"/>
          <w:color w:val="000000"/>
          <w:sz w:val="24"/>
        </w:rPr>
        <w:t>（四）不参加有可能影响公正执行公务的宴请或健身、娱乐等消费活动；</w:t>
      </w:r>
    </w:p>
    <w:p w14:paraId="23360697">
      <w:pPr>
        <w:spacing w:line="360" w:lineRule="auto"/>
        <w:ind w:firstLine="480" w:firstLineChars="200"/>
        <w:jc w:val="left"/>
        <w:rPr>
          <w:rFonts w:ascii="仿宋_GB2312" w:hAnsi="Times New Roman" w:eastAsia="宋体" w:cs="Times New Roman"/>
          <w:color w:val="000000"/>
          <w:sz w:val="24"/>
        </w:rPr>
      </w:pPr>
      <w:r>
        <w:rPr>
          <w:rFonts w:hint="eastAsia" w:ascii="仿宋_GB2312" w:hAnsi="Times New Roman" w:eastAsia="宋体" w:cs="Times New Roman"/>
          <w:color w:val="000000"/>
          <w:sz w:val="24"/>
        </w:rPr>
        <w:t>（五）不得因个人原因使用乙方提供的通讯工具、交通工具、电脑或其它办公用品；</w:t>
      </w:r>
    </w:p>
    <w:p w14:paraId="5480B0AE">
      <w:pPr>
        <w:spacing w:line="360" w:lineRule="auto"/>
        <w:ind w:firstLine="480" w:firstLineChars="200"/>
        <w:jc w:val="left"/>
        <w:rPr>
          <w:rFonts w:ascii="仿宋_GB2312" w:hAnsi="Times New Roman" w:eastAsia="宋体" w:cs="Times New Roman"/>
          <w:color w:val="000000"/>
          <w:sz w:val="24"/>
        </w:rPr>
      </w:pPr>
      <w:r>
        <w:rPr>
          <w:rFonts w:hint="eastAsia" w:ascii="仿宋_GB2312" w:hAnsi="Times New Roman" w:eastAsia="宋体" w:cs="Times New Roman"/>
          <w:color w:val="000000"/>
          <w:sz w:val="24"/>
        </w:rPr>
        <w:t>（六）不得有其他违背廉洁从业规定的行为。</w:t>
      </w:r>
    </w:p>
    <w:p w14:paraId="20B54581">
      <w:pPr>
        <w:spacing w:line="360" w:lineRule="auto"/>
        <w:ind w:firstLine="482" w:firstLineChars="200"/>
        <w:jc w:val="left"/>
        <w:rPr>
          <w:rFonts w:ascii="仿宋_GB2312" w:hAnsi="Times New Roman" w:eastAsia="宋体" w:cs="Times New Roman"/>
          <w:b/>
          <w:color w:val="000000"/>
          <w:sz w:val="24"/>
        </w:rPr>
      </w:pPr>
      <w:r>
        <w:rPr>
          <w:rFonts w:hint="eastAsia" w:ascii="仿宋_GB2312" w:hAnsi="Times New Roman" w:eastAsia="宋体" w:cs="Times New Roman"/>
          <w:b/>
          <w:color w:val="000000"/>
          <w:sz w:val="24"/>
        </w:rPr>
        <w:t>第三条乙方的责任</w:t>
      </w:r>
    </w:p>
    <w:p w14:paraId="56141C6E">
      <w:pPr>
        <w:spacing w:line="360" w:lineRule="auto"/>
        <w:ind w:firstLine="480" w:firstLineChars="200"/>
        <w:jc w:val="left"/>
        <w:rPr>
          <w:rFonts w:ascii="仿宋_GB2312" w:hAnsi="Times New Roman" w:eastAsia="宋体" w:cs="Times New Roman"/>
          <w:color w:val="000000"/>
          <w:sz w:val="24"/>
        </w:rPr>
      </w:pPr>
      <w:r>
        <w:rPr>
          <w:rFonts w:hint="eastAsia" w:ascii="仿宋_GB2312" w:hAnsi="Times New Roman" w:eastAsia="宋体" w:cs="Times New Roman"/>
          <w:color w:val="000000"/>
          <w:sz w:val="24"/>
        </w:rPr>
        <w:t>乙方应与甲方保持正常的业务交往，按照有关法律法规和程序开展工作，并遵守以下规定：</w:t>
      </w:r>
    </w:p>
    <w:p w14:paraId="0EEF9E26">
      <w:pPr>
        <w:spacing w:line="360" w:lineRule="auto"/>
        <w:ind w:firstLine="480" w:firstLineChars="200"/>
        <w:jc w:val="left"/>
        <w:rPr>
          <w:rFonts w:ascii="仿宋_GB2312" w:hAnsi="Times New Roman" w:eastAsia="宋体" w:cs="Times New Roman"/>
          <w:color w:val="000000"/>
          <w:sz w:val="24"/>
        </w:rPr>
      </w:pPr>
      <w:r>
        <w:rPr>
          <w:rFonts w:ascii="仿宋_GB2312" w:hAnsi="Times New Roman" w:eastAsia="宋体" w:cs="Times New Roman"/>
          <w:color w:val="000000"/>
          <w:sz w:val="24"/>
        </w:rPr>
        <w:t>（一）</w:t>
      </w:r>
      <w:r>
        <w:rPr>
          <w:rFonts w:hint="eastAsia" w:ascii="仿宋_GB2312" w:hAnsi="Times New Roman" w:eastAsia="宋体" w:cs="Times New Roman"/>
          <w:color w:val="000000"/>
          <w:sz w:val="24"/>
        </w:rPr>
        <w:t>不以任何理由向甲方及其工作人员赠送礼金、有价证券、礼品和感谢费、咨询费等；</w:t>
      </w:r>
    </w:p>
    <w:p w14:paraId="686FF091">
      <w:pPr>
        <w:spacing w:line="360" w:lineRule="auto"/>
        <w:ind w:firstLine="480" w:firstLineChars="200"/>
        <w:jc w:val="left"/>
        <w:rPr>
          <w:rFonts w:ascii="仿宋_GB2312" w:hAnsi="Times New Roman" w:eastAsia="宋体" w:cs="Times New Roman"/>
          <w:color w:val="000000"/>
          <w:sz w:val="24"/>
        </w:rPr>
      </w:pPr>
      <w:r>
        <w:rPr>
          <w:rFonts w:hint="eastAsia" w:ascii="仿宋_GB2312" w:hAnsi="Times New Roman" w:eastAsia="宋体" w:cs="Times New Roman"/>
          <w:color w:val="000000"/>
          <w:sz w:val="24"/>
        </w:rPr>
        <w:t>（二）不以任何理由报销应由甲方或个人支付的费用；</w:t>
      </w:r>
    </w:p>
    <w:p w14:paraId="2819CAB9">
      <w:pPr>
        <w:spacing w:line="360" w:lineRule="auto"/>
        <w:ind w:firstLine="480" w:firstLineChars="200"/>
        <w:jc w:val="left"/>
        <w:rPr>
          <w:rFonts w:ascii="仿宋_GB2312" w:hAnsi="Times New Roman" w:eastAsia="宋体" w:cs="Times New Roman"/>
          <w:color w:val="000000"/>
          <w:sz w:val="24"/>
        </w:rPr>
      </w:pPr>
      <w:r>
        <w:rPr>
          <w:rFonts w:hint="eastAsia" w:ascii="仿宋_GB2312" w:hAnsi="Times New Roman" w:eastAsia="宋体" w:cs="Times New Roman"/>
          <w:color w:val="000000"/>
          <w:sz w:val="24"/>
        </w:rPr>
        <w:t>（三）不以任何方式为甲方个人装修住房、婚丧嫁娶、配偶子女的工作安排以及出国（境）、旅游等方面提供方便；</w:t>
      </w:r>
    </w:p>
    <w:p w14:paraId="6923C95D">
      <w:pPr>
        <w:spacing w:line="360" w:lineRule="auto"/>
        <w:ind w:firstLine="480" w:firstLineChars="200"/>
        <w:jc w:val="left"/>
        <w:rPr>
          <w:rFonts w:ascii="仿宋_GB2312" w:hAnsi="Times New Roman" w:eastAsia="宋体" w:cs="Times New Roman"/>
          <w:color w:val="000000"/>
          <w:sz w:val="24"/>
        </w:rPr>
      </w:pPr>
      <w:r>
        <w:rPr>
          <w:rFonts w:hint="eastAsia" w:ascii="仿宋_GB2312" w:hAnsi="Times New Roman" w:eastAsia="宋体" w:cs="Times New Roman"/>
          <w:color w:val="000000"/>
          <w:sz w:val="24"/>
        </w:rPr>
        <w:t>（四）不以任何理由为甲方工作人员组织有可能影响公正执行公务的宴请或健身、娱乐等消费活动；</w:t>
      </w:r>
    </w:p>
    <w:p w14:paraId="2524EE9E">
      <w:pPr>
        <w:spacing w:line="360" w:lineRule="auto"/>
        <w:ind w:firstLine="480" w:firstLineChars="200"/>
        <w:jc w:val="left"/>
        <w:rPr>
          <w:rFonts w:ascii="仿宋_GB2312" w:hAnsi="Times New Roman" w:eastAsia="宋体" w:cs="Times New Roman"/>
          <w:color w:val="000000"/>
          <w:sz w:val="24"/>
        </w:rPr>
      </w:pPr>
      <w:r>
        <w:rPr>
          <w:rFonts w:hint="eastAsia" w:ascii="仿宋_GB2312" w:hAnsi="Times New Roman" w:eastAsia="宋体" w:cs="Times New Roman"/>
          <w:color w:val="000000"/>
          <w:sz w:val="24"/>
        </w:rPr>
        <w:t>（五）不以任何不正当手段与甲方工作人员发生金钱、实物等往来。</w:t>
      </w:r>
    </w:p>
    <w:p w14:paraId="5711B76D">
      <w:pPr>
        <w:spacing w:line="360" w:lineRule="auto"/>
        <w:ind w:firstLine="480" w:firstLineChars="200"/>
        <w:jc w:val="left"/>
        <w:rPr>
          <w:rFonts w:ascii="仿宋_GB2312" w:hAnsi="Times New Roman" w:eastAsia="宋体" w:cs="Times New Roman"/>
          <w:color w:val="000000"/>
          <w:sz w:val="24"/>
        </w:rPr>
      </w:pPr>
      <w:r>
        <w:rPr>
          <w:rFonts w:hint="eastAsia" w:ascii="仿宋_GB2312" w:hAnsi="Times New Roman" w:eastAsia="宋体" w:cs="Times New Roman"/>
          <w:color w:val="000000"/>
          <w:sz w:val="24"/>
        </w:rPr>
        <w:t>（六）不得有其他违背廉洁从业规定的行为。</w:t>
      </w:r>
    </w:p>
    <w:p w14:paraId="3C07AFDC">
      <w:pPr>
        <w:spacing w:line="360" w:lineRule="auto"/>
        <w:ind w:firstLine="482" w:firstLineChars="200"/>
        <w:jc w:val="left"/>
        <w:rPr>
          <w:rFonts w:ascii="仿宋_GB2312" w:hAnsi="Times New Roman" w:eastAsia="宋体" w:cs="Times New Roman"/>
          <w:b/>
          <w:color w:val="000000"/>
          <w:sz w:val="24"/>
        </w:rPr>
      </w:pPr>
      <w:r>
        <w:rPr>
          <w:rFonts w:hint="eastAsia" w:ascii="仿宋_GB2312" w:hAnsi="Times New Roman" w:eastAsia="宋体" w:cs="Times New Roman"/>
          <w:b/>
          <w:color w:val="000000"/>
          <w:sz w:val="24"/>
        </w:rPr>
        <w:t>第四条违反廉洁约定的处理</w:t>
      </w:r>
    </w:p>
    <w:p w14:paraId="4C4BBF08">
      <w:pPr>
        <w:spacing w:line="360" w:lineRule="auto"/>
        <w:ind w:firstLine="480" w:firstLineChars="200"/>
        <w:jc w:val="left"/>
        <w:rPr>
          <w:rFonts w:ascii="仿宋_GB2312" w:hAnsi="Times New Roman" w:eastAsia="宋体" w:cs="Times New Roman"/>
          <w:color w:val="000000"/>
          <w:sz w:val="24"/>
        </w:rPr>
      </w:pPr>
      <w:r>
        <w:rPr>
          <w:rFonts w:hint="eastAsia" w:ascii="仿宋_GB2312" w:hAnsi="Times New Roman" w:eastAsia="宋体" w:cs="Times New Roman"/>
          <w:color w:val="000000"/>
          <w:sz w:val="24"/>
        </w:rPr>
        <w:t>双方一致保证信守廉洁约定，并同意：</w:t>
      </w:r>
    </w:p>
    <w:p w14:paraId="01E7CDC2">
      <w:pPr>
        <w:spacing w:line="360" w:lineRule="auto"/>
        <w:ind w:firstLine="480" w:firstLineChars="200"/>
        <w:jc w:val="left"/>
        <w:rPr>
          <w:rFonts w:ascii="仿宋_GB2312" w:hAnsi="Times New Roman" w:eastAsia="宋体" w:cs="Times New Roman"/>
          <w:color w:val="000000"/>
          <w:sz w:val="24"/>
        </w:rPr>
      </w:pPr>
      <w:r>
        <w:rPr>
          <w:rFonts w:ascii="仿宋_GB2312" w:hAnsi="Times New Roman" w:eastAsia="宋体" w:cs="Times New Roman"/>
          <w:color w:val="000000"/>
          <w:sz w:val="24"/>
        </w:rPr>
        <w:t>（一）</w:t>
      </w:r>
      <w:r>
        <w:rPr>
          <w:rFonts w:hint="eastAsia" w:ascii="仿宋_GB2312" w:hAnsi="Times New Roman" w:eastAsia="宋体" w:cs="Times New Roman"/>
          <w:color w:val="000000"/>
          <w:sz w:val="24"/>
        </w:rPr>
        <w:t xml:space="preserve"> 如甲方工作人员违反廉洁约定，乙方人员主动举报，甲方承诺严格保护举报人的合法权益。对有受贿索贿等违法违纪行为的当事人，经查证属实的，甲方要给予相应的纪律处分；涉嫌犯罪的，移送司法机关处理。同时，向乙方通报处理结果。</w:t>
      </w:r>
    </w:p>
    <w:p w14:paraId="292C2A0D">
      <w:pPr>
        <w:spacing w:line="360" w:lineRule="auto"/>
        <w:ind w:firstLine="480" w:firstLineChars="200"/>
        <w:jc w:val="left"/>
        <w:rPr>
          <w:rFonts w:ascii="仿宋_GB2312" w:hAnsi="Times New Roman" w:eastAsia="宋体" w:cs="Times New Roman"/>
          <w:color w:val="000000"/>
          <w:sz w:val="24"/>
        </w:rPr>
      </w:pPr>
      <w:r>
        <w:rPr>
          <w:rFonts w:hint="eastAsia" w:ascii="仿宋_GB2312" w:hAnsi="Times New Roman" w:eastAsia="宋体" w:cs="Times New Roman"/>
          <w:color w:val="000000"/>
          <w:sz w:val="24"/>
        </w:rPr>
        <w:t>（二） 如乙方</w:t>
      </w:r>
      <w:r>
        <w:rPr>
          <w:rFonts w:ascii="仿宋_GB2312" w:hAnsi="Times New Roman" w:eastAsia="宋体" w:cs="Times New Roman"/>
          <w:color w:val="000000"/>
          <w:sz w:val="24"/>
        </w:rPr>
        <w:t>（</w:t>
      </w:r>
      <w:r>
        <w:rPr>
          <w:rFonts w:hint="eastAsia" w:ascii="仿宋_GB2312" w:hAnsi="Times New Roman" w:eastAsia="宋体" w:cs="Times New Roman"/>
          <w:color w:val="000000"/>
          <w:sz w:val="24"/>
        </w:rPr>
        <w:t>或委托他人</w:t>
      </w:r>
      <w:r>
        <w:rPr>
          <w:rFonts w:ascii="仿宋_GB2312" w:hAnsi="Times New Roman" w:eastAsia="宋体" w:cs="Times New Roman"/>
          <w:color w:val="000000"/>
          <w:sz w:val="24"/>
        </w:rPr>
        <w:t>）</w:t>
      </w:r>
      <w:r>
        <w:rPr>
          <w:rFonts w:hint="eastAsia" w:ascii="仿宋_GB2312" w:hAnsi="Times New Roman" w:eastAsia="宋体" w:cs="Times New Roman"/>
          <w:color w:val="000000"/>
          <w:sz w:val="24"/>
        </w:rPr>
        <w:t>向甲方工作人员行贿或有其他违反廉洁约定的行为，经查证属实的，乙方承诺按照司法机关</w:t>
      </w:r>
      <w:r>
        <w:rPr>
          <w:rFonts w:ascii="仿宋_GB2312" w:hAnsi="Times New Roman" w:eastAsia="宋体" w:cs="Times New Roman"/>
          <w:color w:val="000000"/>
          <w:sz w:val="24"/>
        </w:rPr>
        <w:t>（</w:t>
      </w:r>
      <w:r>
        <w:rPr>
          <w:rFonts w:hint="eastAsia" w:ascii="仿宋_GB2312" w:hAnsi="Times New Roman" w:eastAsia="宋体" w:cs="Times New Roman"/>
          <w:color w:val="000000"/>
          <w:sz w:val="24"/>
        </w:rPr>
        <w:t>或纪检监察机构</w:t>
      </w:r>
      <w:r>
        <w:rPr>
          <w:rFonts w:ascii="仿宋_GB2312" w:hAnsi="Times New Roman" w:eastAsia="宋体" w:cs="Times New Roman"/>
          <w:color w:val="000000"/>
          <w:sz w:val="24"/>
        </w:rPr>
        <w:t>）</w:t>
      </w:r>
      <w:r>
        <w:rPr>
          <w:rFonts w:hint="eastAsia" w:ascii="仿宋_GB2312" w:hAnsi="Times New Roman" w:eastAsia="宋体" w:cs="Times New Roman"/>
          <w:color w:val="000000"/>
          <w:sz w:val="24"/>
        </w:rPr>
        <w:t>确认的违纪金额的双倍向甲方支付赔偿金，如赔偿金低于甲方实际损失的，乙方应赔偿甲方实际损失。同时甲方还可视情节轻重，对乙方采取警告、解除采购合同、取消</w:t>
      </w:r>
      <w:r>
        <w:rPr>
          <w:rFonts w:ascii="仿宋_GB2312" w:hAnsi="Times New Roman" w:eastAsia="宋体" w:cs="Times New Roman"/>
          <w:color w:val="000000"/>
          <w:sz w:val="24"/>
        </w:rPr>
        <w:t>3</w:t>
      </w:r>
      <w:r>
        <w:rPr>
          <w:rFonts w:hint="eastAsia" w:ascii="仿宋_GB2312" w:hAnsi="Times New Roman" w:eastAsia="宋体" w:cs="Times New Roman"/>
          <w:color w:val="000000"/>
          <w:sz w:val="24"/>
        </w:rPr>
        <w:t>年以上在中国核动力研究设计院承揽项目的资格等处理措施。对有行贿等违法违纪行为的当事人，经查证属实的，乙方要给予相应的纪律处分；涉嫌犯罪的，移送司法机关处理。</w:t>
      </w:r>
    </w:p>
    <w:p w14:paraId="2DB1F3D1">
      <w:pPr>
        <w:spacing w:line="360" w:lineRule="auto"/>
        <w:ind w:firstLine="480" w:firstLineChars="200"/>
        <w:jc w:val="left"/>
        <w:rPr>
          <w:rFonts w:ascii="仿宋_GB2312" w:hAnsi="Times New Roman" w:eastAsia="宋体" w:cs="Times New Roman"/>
          <w:color w:val="000000"/>
          <w:sz w:val="24"/>
        </w:rPr>
      </w:pPr>
      <w:r>
        <w:rPr>
          <w:rFonts w:hint="eastAsia" w:ascii="仿宋_GB2312" w:hAnsi="Times New Roman" w:eastAsia="宋体" w:cs="Times New Roman"/>
          <w:color w:val="000000"/>
          <w:sz w:val="24"/>
        </w:rPr>
        <w:t>（三） 如因发生上述情形甲方提出解除合同的，乙方要赔偿因此给甲方造成的实际损失。</w:t>
      </w:r>
    </w:p>
    <w:p w14:paraId="27C6E1F2">
      <w:pPr>
        <w:spacing w:line="360" w:lineRule="auto"/>
        <w:ind w:firstLine="482" w:firstLineChars="200"/>
        <w:jc w:val="left"/>
        <w:rPr>
          <w:rFonts w:ascii="Times New Roman" w:hAnsi="Times New Roman" w:eastAsia="宋体" w:cs="Times New Roman"/>
          <w:sz w:val="24"/>
        </w:rPr>
      </w:pPr>
      <w:r>
        <w:rPr>
          <w:rFonts w:hint="eastAsia" w:ascii="仿宋_GB2312" w:hAnsi="Times New Roman" w:eastAsia="宋体" w:cs="Times New Roman"/>
          <w:b/>
          <w:color w:val="000000"/>
          <w:sz w:val="24"/>
        </w:rPr>
        <w:t>第五条</w:t>
      </w:r>
      <w:r>
        <w:rPr>
          <w:rFonts w:hint="eastAsia" w:ascii="仿宋_GB2312" w:hAnsi="Times New Roman" w:eastAsia="宋体" w:cs="Times New Roman"/>
          <w:color w:val="000000"/>
          <w:sz w:val="24"/>
        </w:rPr>
        <w:t>双方保证已全面理解本协议的内容，并采取有效措施相关人员知悉其所应承担的廉洁责任。</w:t>
      </w:r>
    </w:p>
    <w:p w14:paraId="23C741CA">
      <w:pPr>
        <w:widowControl/>
        <w:spacing w:line="360" w:lineRule="auto"/>
        <w:jc w:val="left"/>
        <w:rPr>
          <w:rFonts w:ascii="Times New Roman" w:hAnsi="Times New Roman" w:eastAsia="宋体" w:cs="Times New Roman"/>
          <w:sz w:val="24"/>
        </w:rPr>
      </w:pPr>
      <w:r>
        <w:rPr>
          <w:rFonts w:ascii="Times New Roman" w:hAnsi="Times New Roman" w:eastAsia="宋体" w:cs="Times New Roman"/>
          <w:sz w:val="24"/>
        </w:rPr>
        <w:br w:type="page"/>
      </w:r>
    </w:p>
    <w:p w14:paraId="232E5B30">
      <w:pPr>
        <w:adjustRightInd w:val="0"/>
        <w:snapToGrid w:val="0"/>
        <w:spacing w:line="360" w:lineRule="auto"/>
        <w:ind w:firstLine="562" w:firstLineChars="200"/>
        <w:jc w:val="left"/>
        <w:rPr>
          <w:rFonts w:ascii="宋体" w:hAnsi="宋体" w:eastAsia="宋体" w:cs="宋体"/>
          <w:b/>
          <w:bCs/>
          <w:kern w:val="44"/>
          <w:sz w:val="28"/>
          <w:szCs w:val="44"/>
        </w:rPr>
      </w:pPr>
      <w:bookmarkStart w:id="222" w:name="_Toc389050083"/>
      <w:bookmarkStart w:id="223" w:name="_Toc466394463"/>
      <w:bookmarkStart w:id="224" w:name="_Toc500243131"/>
      <w:bookmarkStart w:id="225" w:name="_Toc15317537"/>
      <w:bookmarkStart w:id="226" w:name="_Toc466394071"/>
      <w:r>
        <w:rPr>
          <w:rFonts w:hint="eastAsia" w:ascii="Times New Roman" w:hAnsi="Times New Roman" w:eastAsia="黑体" w:cs="Times New Roman"/>
          <w:b/>
          <w:bCs/>
          <w:kern w:val="44"/>
          <w:sz w:val="28"/>
          <w:szCs w:val="44"/>
        </w:rPr>
        <w:t>附件</w:t>
      </w:r>
      <w:r>
        <w:rPr>
          <w:rFonts w:hint="eastAsia" w:ascii="Times New Roman" w:hAnsi="Times New Roman" w:eastAsia="黑体" w:cs="Times New Roman"/>
          <w:b/>
          <w:bCs/>
          <w:kern w:val="44"/>
          <w:sz w:val="28"/>
          <w:szCs w:val="32"/>
        </w:rPr>
        <w:t>A-3</w:t>
      </w:r>
      <w:bookmarkEnd w:id="222"/>
      <w:bookmarkEnd w:id="223"/>
      <w:bookmarkEnd w:id="224"/>
      <w:bookmarkEnd w:id="225"/>
      <w:bookmarkEnd w:id="226"/>
      <w:bookmarkStart w:id="227" w:name="_Toc15317538"/>
      <w:bookmarkStart w:id="228" w:name="_Toc5286964"/>
      <w:r>
        <w:rPr>
          <w:rFonts w:hint="eastAsia" w:ascii="宋体" w:hAnsi="宋体" w:eastAsia="宋体" w:cs="宋体"/>
          <w:b/>
          <w:bCs/>
          <w:kern w:val="44"/>
          <w:sz w:val="28"/>
          <w:szCs w:val="32"/>
        </w:rPr>
        <w:t>保密协议</w:t>
      </w:r>
      <w:bookmarkEnd w:id="227"/>
      <w:bookmarkEnd w:id="228"/>
    </w:p>
    <w:p w14:paraId="13121176">
      <w:pPr>
        <w:spacing w:line="360" w:lineRule="auto"/>
        <w:jc w:val="left"/>
        <w:rPr>
          <w:rFonts w:ascii="宋体" w:hAnsi="宋体" w:eastAsia="宋体" w:cs="宋体"/>
          <w:b/>
          <w:color w:val="FF0000"/>
          <w:sz w:val="24"/>
        </w:rPr>
      </w:pPr>
      <w:r>
        <w:rPr>
          <w:rFonts w:hint="eastAsia" w:ascii="宋体" w:hAnsi="宋体" w:eastAsia="宋体" w:cs="宋体"/>
          <w:b/>
          <w:color w:val="000000"/>
          <w:sz w:val="24"/>
        </w:rPr>
        <w:t>项目名称：</w:t>
      </w:r>
      <w:r>
        <w:rPr>
          <w:rFonts w:hint="eastAsia" w:ascii="宋体" w:hAnsi="宋体" w:eastAsia="宋体" w:cs="宋体"/>
          <w:b/>
          <w:color w:val="FF0000"/>
          <w:sz w:val="24"/>
        </w:rPr>
        <w:t>XXX</w:t>
      </w:r>
    </w:p>
    <w:p w14:paraId="17E27140">
      <w:pPr>
        <w:spacing w:line="360" w:lineRule="auto"/>
        <w:jc w:val="left"/>
        <w:rPr>
          <w:rFonts w:ascii="宋体" w:hAnsi="宋体" w:eastAsia="宋体" w:cs="宋体"/>
          <w:b/>
          <w:sz w:val="24"/>
        </w:rPr>
      </w:pPr>
      <w:r>
        <w:rPr>
          <w:rFonts w:hint="eastAsia" w:ascii="宋体" w:hAnsi="宋体" w:eastAsia="宋体" w:cs="宋体"/>
          <w:b/>
          <w:sz w:val="24"/>
        </w:rPr>
        <w:t>甲方：</w:t>
      </w:r>
      <w:r>
        <w:rPr>
          <w:rFonts w:hint="eastAsia" w:ascii="宋体" w:hAnsi="宋体" w:eastAsia="宋体" w:cs="仿宋_GB2312"/>
          <w:b/>
          <w:bCs/>
          <w:sz w:val="24"/>
        </w:rPr>
        <w:t>中国核动力研究设计院</w:t>
      </w:r>
    </w:p>
    <w:p w14:paraId="4CB240EF">
      <w:pPr>
        <w:spacing w:line="360" w:lineRule="auto"/>
        <w:jc w:val="left"/>
        <w:rPr>
          <w:rFonts w:ascii="宋体" w:hAnsi="宋体" w:eastAsia="宋体" w:cs="宋体"/>
          <w:b/>
          <w:color w:val="FF0000"/>
          <w:sz w:val="24"/>
        </w:rPr>
      </w:pPr>
      <w:r>
        <w:rPr>
          <w:rFonts w:hint="eastAsia" w:ascii="宋体" w:hAnsi="宋体" w:eastAsia="宋体" w:cs="宋体"/>
          <w:b/>
          <w:color w:val="000000"/>
          <w:sz w:val="24"/>
        </w:rPr>
        <w:t>乙方：</w:t>
      </w:r>
      <w:r>
        <w:rPr>
          <w:rFonts w:hint="eastAsia" w:ascii="宋体" w:hAnsi="宋体" w:eastAsia="宋体" w:cs="宋体"/>
          <w:b/>
          <w:color w:val="FF0000"/>
          <w:sz w:val="24"/>
        </w:rPr>
        <w:t>XXX</w:t>
      </w:r>
    </w:p>
    <w:p w14:paraId="4249A84B">
      <w:pPr>
        <w:adjustRightInd w:val="0"/>
        <w:spacing w:line="360" w:lineRule="auto"/>
        <w:ind w:firstLine="480" w:firstLineChars="200"/>
        <w:contextualSpacing/>
        <w:rPr>
          <w:rFonts w:ascii="宋体" w:hAnsi="宋体" w:eastAsia="宋体" w:cs="宋体"/>
          <w:sz w:val="24"/>
        </w:rPr>
      </w:pPr>
      <w:r>
        <w:rPr>
          <w:rFonts w:hint="eastAsia" w:ascii="宋体" w:hAnsi="宋体" w:eastAsia="宋体" w:cs="宋体"/>
          <w:sz w:val="24"/>
        </w:rPr>
        <w:t>为了保证本项目的顺利实施，保护项目涉及的甲方商业秘密、工作秘密。经甲乙双方友好协商，特签订如下保密协议，要求乙方严格执行。</w:t>
      </w:r>
    </w:p>
    <w:p w14:paraId="3BF3FA72">
      <w:pPr>
        <w:widowControl/>
        <w:spacing w:beforeLines="100" w:afterLines="100" w:line="360" w:lineRule="auto"/>
        <w:ind w:firstLine="482" w:firstLineChars="200"/>
        <w:contextualSpacing/>
        <w:jc w:val="left"/>
        <w:rPr>
          <w:rFonts w:ascii="宋体" w:hAnsi="宋体" w:eastAsia="宋体" w:cs="宋体"/>
          <w:color w:val="000000"/>
          <w:kern w:val="0"/>
          <w:sz w:val="24"/>
        </w:rPr>
      </w:pPr>
      <w:r>
        <w:rPr>
          <w:rFonts w:hint="eastAsia" w:ascii="宋体" w:hAnsi="宋体" w:eastAsia="宋体" w:cs="宋体"/>
          <w:b/>
          <w:color w:val="000000"/>
          <w:kern w:val="0"/>
          <w:sz w:val="24"/>
        </w:rPr>
        <w:t>第一条</w:t>
      </w:r>
      <w:r>
        <w:rPr>
          <w:rFonts w:hint="eastAsia" w:ascii="宋体" w:hAnsi="宋体" w:eastAsia="宋体" w:cs="宋体"/>
          <w:color w:val="000000"/>
          <w:kern w:val="0"/>
          <w:sz w:val="24"/>
        </w:rPr>
        <w:t xml:space="preserve">  甲方授权乙方在本合同范围内使用甲方提供的涉及甲方商业秘密、工作秘密的技术信息和经营信息，其载体包括但不限于</w:t>
      </w:r>
      <w:r>
        <w:rPr>
          <w:rFonts w:hint="eastAsia" w:ascii="宋体" w:hAnsi="宋体" w:eastAsia="宋体" w:cs="宋体"/>
          <w:sz w:val="24"/>
        </w:rPr>
        <w:t>文件、资料、电子数据等</w:t>
      </w:r>
      <w:r>
        <w:rPr>
          <w:rFonts w:hint="eastAsia" w:ascii="宋体" w:hAnsi="宋体" w:eastAsia="宋体" w:cs="宋体"/>
          <w:color w:val="000000"/>
          <w:kern w:val="0"/>
          <w:sz w:val="24"/>
        </w:rPr>
        <w:t>。</w:t>
      </w:r>
    </w:p>
    <w:p w14:paraId="00D9A10F">
      <w:pPr>
        <w:spacing w:beforeLines="100" w:afterLines="100" w:line="360" w:lineRule="auto"/>
        <w:ind w:firstLine="482" w:firstLineChars="200"/>
        <w:contextualSpacing/>
        <w:rPr>
          <w:rFonts w:ascii="宋体" w:hAnsi="宋体" w:eastAsia="宋体" w:cs="宋体"/>
          <w:sz w:val="24"/>
        </w:rPr>
      </w:pPr>
      <w:r>
        <w:rPr>
          <w:rFonts w:hint="eastAsia" w:ascii="宋体" w:hAnsi="宋体" w:eastAsia="宋体" w:cs="宋体"/>
          <w:b/>
          <w:color w:val="000000"/>
          <w:kern w:val="0"/>
          <w:sz w:val="24"/>
        </w:rPr>
        <w:t>第二条</w:t>
      </w:r>
      <w:r>
        <w:rPr>
          <w:rFonts w:hint="eastAsia" w:ascii="宋体" w:hAnsi="宋体" w:eastAsia="宋体" w:cs="宋体"/>
          <w:sz w:val="24"/>
        </w:rPr>
        <w:t>乙方应遵守国家的保密法律法规和甲方保密要求，在项目管理和实施中确保本项目中甲方商业秘密、工作秘密的安全。</w:t>
      </w:r>
    </w:p>
    <w:p w14:paraId="6D2ABC21">
      <w:pPr>
        <w:spacing w:beforeLines="100" w:afterLines="100" w:line="360" w:lineRule="auto"/>
        <w:ind w:firstLine="482" w:firstLineChars="200"/>
        <w:contextualSpacing/>
        <w:rPr>
          <w:rFonts w:ascii="宋体" w:hAnsi="宋体" w:eastAsia="宋体" w:cs="宋体"/>
          <w:sz w:val="24"/>
        </w:rPr>
      </w:pPr>
      <w:r>
        <w:rPr>
          <w:rFonts w:hint="eastAsia" w:ascii="宋体" w:hAnsi="宋体" w:eastAsia="宋体" w:cs="宋体"/>
          <w:b/>
          <w:color w:val="000000"/>
          <w:kern w:val="0"/>
          <w:sz w:val="24"/>
        </w:rPr>
        <w:t>第三条</w:t>
      </w:r>
      <w:r>
        <w:rPr>
          <w:rFonts w:hint="eastAsia" w:ascii="宋体" w:hAnsi="宋体" w:eastAsia="宋体" w:cs="宋体"/>
          <w:sz w:val="24"/>
        </w:rPr>
        <w:t>甲方提供给乙方和乙方编制的所有项目资料，包括技术文件、图纸、软件、往来传真、邮件、会议纪要等，仅限于乙方从事与该项目相关的工作，未经甲方同意，不得将项目资料用于与该项目无关的其他目的，不得通过任何方式和手段将本项目相关资料和内容进行复制、扩散或泄露给任何第三方，不得利用所掌握的商业秘密、工作秘密牟取私利。</w:t>
      </w:r>
    </w:p>
    <w:p w14:paraId="543907F0">
      <w:pPr>
        <w:spacing w:beforeLines="100" w:afterLines="100" w:line="360" w:lineRule="auto"/>
        <w:ind w:firstLine="482" w:firstLineChars="200"/>
        <w:contextualSpacing/>
        <w:rPr>
          <w:rFonts w:ascii="宋体" w:hAnsi="宋体" w:eastAsia="宋体" w:cs="宋体"/>
          <w:sz w:val="24"/>
        </w:rPr>
      </w:pPr>
      <w:r>
        <w:rPr>
          <w:rFonts w:hint="eastAsia" w:ascii="宋体" w:hAnsi="宋体" w:eastAsia="宋体" w:cs="宋体"/>
          <w:b/>
          <w:color w:val="000000"/>
          <w:kern w:val="0"/>
          <w:sz w:val="24"/>
        </w:rPr>
        <w:t>第四条</w:t>
      </w:r>
      <w:r>
        <w:rPr>
          <w:rFonts w:hint="eastAsia" w:ascii="宋体" w:hAnsi="宋体" w:eastAsia="宋体" w:cs="宋体"/>
          <w:kern w:val="0"/>
          <w:sz w:val="24"/>
        </w:rPr>
        <w:t>乙方利用在甲方的工作机会，为履行本合同而完成的技术成果，</w:t>
      </w:r>
      <w:r>
        <w:rPr>
          <w:rFonts w:hint="eastAsia" w:ascii="宋体" w:hAnsi="宋体" w:eastAsia="宋体" w:cs="宋体"/>
          <w:sz w:val="24"/>
        </w:rPr>
        <w:t>一律由甲方进行归档，乙方不得私自留存或单方面披露。</w:t>
      </w:r>
    </w:p>
    <w:p w14:paraId="6D4F528A">
      <w:pPr>
        <w:adjustRightInd w:val="0"/>
        <w:spacing w:line="360" w:lineRule="auto"/>
        <w:ind w:firstLine="475" w:firstLineChars="197"/>
        <w:contextualSpacing/>
        <w:rPr>
          <w:rFonts w:ascii="宋体" w:hAnsi="宋体" w:eastAsia="宋体" w:cs="宋体"/>
          <w:sz w:val="24"/>
        </w:rPr>
      </w:pPr>
      <w:r>
        <w:rPr>
          <w:rFonts w:hint="eastAsia" w:ascii="宋体" w:hAnsi="宋体" w:eastAsia="宋体" w:cs="宋体"/>
          <w:b/>
          <w:color w:val="000000"/>
          <w:kern w:val="0"/>
          <w:sz w:val="24"/>
        </w:rPr>
        <w:t>第五条</w:t>
      </w:r>
      <w:r>
        <w:rPr>
          <w:rFonts w:hint="eastAsia" w:ascii="宋体" w:hAnsi="宋体" w:eastAsia="宋体" w:cs="宋体"/>
          <w:sz w:val="24"/>
        </w:rPr>
        <w:t>乙方必须担保派往甲方的工作人员无犯罪记录。乙方派往甲方的工作人员须遵守甲方相关规定，未经甲方同意，乙方工作人员不得进入甲方工作区域从事任何勘测、拍照、摄像等工作，不得进入不相关的区域。</w:t>
      </w:r>
    </w:p>
    <w:p w14:paraId="4B8AC08B">
      <w:pPr>
        <w:spacing w:beforeLines="100" w:afterLines="100" w:line="360" w:lineRule="auto"/>
        <w:ind w:firstLine="482" w:firstLineChars="200"/>
        <w:contextualSpacing/>
        <w:rPr>
          <w:rFonts w:ascii="宋体" w:hAnsi="宋体" w:eastAsia="宋体" w:cs="宋体"/>
          <w:kern w:val="0"/>
          <w:sz w:val="24"/>
        </w:rPr>
      </w:pPr>
      <w:r>
        <w:rPr>
          <w:rFonts w:hint="eastAsia" w:ascii="宋体" w:hAnsi="宋体" w:eastAsia="宋体" w:cs="宋体"/>
          <w:b/>
          <w:color w:val="000000"/>
          <w:kern w:val="0"/>
          <w:sz w:val="24"/>
        </w:rPr>
        <w:t>第六条</w:t>
      </w:r>
      <w:r>
        <w:rPr>
          <w:rFonts w:hint="eastAsia" w:ascii="宋体" w:hAnsi="宋体" w:eastAsia="宋体" w:cs="宋体"/>
          <w:kern w:val="0"/>
          <w:sz w:val="24"/>
        </w:rPr>
        <w:t>未经甲方允许，乙方不得</w:t>
      </w:r>
      <w:r>
        <w:rPr>
          <w:rFonts w:hint="eastAsia" w:ascii="宋体" w:hAnsi="宋体" w:eastAsia="宋体" w:cs="宋体"/>
          <w:sz w:val="24"/>
        </w:rPr>
        <w:t>以任何媒体或宣传渠道发布</w:t>
      </w:r>
      <w:r>
        <w:rPr>
          <w:rFonts w:hint="eastAsia" w:ascii="宋体" w:hAnsi="宋体" w:eastAsia="宋体" w:cs="宋体"/>
          <w:kern w:val="0"/>
          <w:sz w:val="24"/>
        </w:rPr>
        <w:t>公开发布涉及本项目的商业秘密、工作秘密等敏感信息。</w:t>
      </w:r>
      <w:r>
        <w:rPr>
          <w:rFonts w:hint="eastAsia" w:ascii="宋体" w:hAnsi="宋体" w:eastAsia="宋体" w:cs="宋体"/>
          <w:sz w:val="24"/>
        </w:rPr>
        <w:t>乙方参研人员遵守手机使用保密管理要求，不得在微信等社交媒体中传递、处理、存储本项目</w:t>
      </w:r>
      <w:r>
        <w:rPr>
          <w:rFonts w:hint="eastAsia" w:ascii="宋体" w:hAnsi="宋体" w:eastAsia="宋体" w:cs="宋体"/>
          <w:kern w:val="0"/>
          <w:sz w:val="24"/>
        </w:rPr>
        <w:t>商业秘密、工作秘密等敏感信息</w:t>
      </w:r>
      <w:r>
        <w:rPr>
          <w:rFonts w:hint="eastAsia" w:ascii="宋体" w:hAnsi="宋体" w:eastAsia="宋体" w:cs="宋体"/>
          <w:sz w:val="24"/>
        </w:rPr>
        <w:t>。</w:t>
      </w:r>
    </w:p>
    <w:p w14:paraId="45324475">
      <w:pPr>
        <w:spacing w:beforeLines="100" w:afterLines="100" w:line="360" w:lineRule="auto"/>
        <w:ind w:firstLine="482" w:firstLineChars="200"/>
        <w:contextualSpacing/>
        <w:rPr>
          <w:rFonts w:ascii="宋体" w:hAnsi="宋体" w:eastAsia="宋体" w:cs="宋体"/>
          <w:kern w:val="0"/>
          <w:sz w:val="24"/>
        </w:rPr>
      </w:pPr>
      <w:r>
        <w:rPr>
          <w:rFonts w:hint="eastAsia" w:ascii="宋体" w:hAnsi="宋体" w:eastAsia="宋体" w:cs="宋体"/>
          <w:b/>
          <w:kern w:val="0"/>
          <w:sz w:val="24"/>
        </w:rPr>
        <w:t xml:space="preserve">第七条  </w:t>
      </w:r>
      <w:r>
        <w:rPr>
          <w:rFonts w:hint="eastAsia" w:ascii="宋体" w:hAnsi="宋体" w:eastAsia="宋体" w:cs="宋体"/>
          <w:kern w:val="0"/>
          <w:sz w:val="24"/>
        </w:rPr>
        <w:t>无论因何种原因双方解除了合同关系，乙方对该商业秘密、工作秘密仍负有“保密和不为自己或他人的经营活动使用”的义务，直至甲方认为相关信息不再属于商业秘密、工作秘密，并书面通知乙方。本协议的效力不因合同的解除而终止。</w:t>
      </w:r>
    </w:p>
    <w:p w14:paraId="136E7506">
      <w:pPr>
        <w:spacing w:beforeLines="100" w:afterLines="100" w:line="360" w:lineRule="auto"/>
        <w:ind w:firstLine="482" w:firstLineChars="200"/>
        <w:contextualSpacing/>
        <w:rPr>
          <w:rFonts w:ascii="宋体" w:hAnsi="宋体" w:eastAsia="宋体" w:cs="宋体"/>
          <w:sz w:val="24"/>
        </w:rPr>
      </w:pPr>
      <w:r>
        <w:rPr>
          <w:rFonts w:hint="eastAsia" w:ascii="宋体" w:hAnsi="宋体" w:eastAsia="宋体" w:cs="宋体"/>
          <w:b/>
          <w:color w:val="000000"/>
          <w:kern w:val="0"/>
          <w:sz w:val="24"/>
        </w:rPr>
        <w:t>第八条</w:t>
      </w:r>
      <w:r>
        <w:rPr>
          <w:rFonts w:hint="eastAsia" w:ascii="宋体" w:hAnsi="宋体" w:eastAsia="宋体" w:cs="宋体"/>
          <w:sz w:val="24"/>
        </w:rPr>
        <w:t>乙方如有违反本协议行为，甲方有权追究违约责任，要求乙方停止泄露技术秘密的行为，并赔偿因泄露商业秘密、工作秘密等而导致的一切经济损失。</w:t>
      </w:r>
    </w:p>
    <w:p w14:paraId="4A57F448">
      <w:pPr>
        <w:spacing w:beforeLines="100" w:afterLines="100" w:line="360" w:lineRule="auto"/>
        <w:ind w:firstLine="482" w:firstLineChars="200"/>
        <w:contextualSpacing/>
        <w:rPr>
          <w:rFonts w:ascii="宋体" w:hAnsi="宋体" w:eastAsia="宋体" w:cs="宋体"/>
          <w:sz w:val="24"/>
        </w:rPr>
      </w:pPr>
      <w:r>
        <w:rPr>
          <w:rFonts w:hint="eastAsia" w:ascii="宋体" w:hAnsi="宋体" w:eastAsia="宋体" w:cs="宋体"/>
          <w:b/>
          <w:color w:val="000000"/>
          <w:kern w:val="0"/>
          <w:sz w:val="24"/>
        </w:rPr>
        <w:t xml:space="preserve">第九条  </w:t>
      </w:r>
      <w:r>
        <w:rPr>
          <w:rFonts w:hint="eastAsia" w:ascii="宋体" w:hAnsi="宋体" w:eastAsia="宋体" w:cs="宋体"/>
          <w:bCs/>
          <w:sz w:val="24"/>
        </w:rPr>
        <w:t>未经甲方允许，乙方不得将本项目内容进行分包。</w:t>
      </w:r>
      <w:r>
        <w:rPr>
          <w:rFonts w:hint="eastAsia" w:ascii="宋体" w:hAnsi="宋体" w:eastAsia="宋体" w:cs="宋体"/>
          <w:color w:val="000000"/>
          <w:kern w:val="0"/>
          <w:sz w:val="24"/>
        </w:rPr>
        <w:t>若乙方需对承担本项目下的部分内容进行分包，</w:t>
      </w:r>
      <w:r>
        <w:rPr>
          <w:rFonts w:hint="eastAsia" w:ascii="宋体" w:hAnsi="宋体" w:eastAsia="宋体" w:cs="宋体"/>
          <w:bCs/>
          <w:sz w:val="24"/>
        </w:rPr>
        <w:t>分包任务前，</w:t>
      </w:r>
      <w:r>
        <w:rPr>
          <w:rFonts w:hint="eastAsia" w:ascii="宋体" w:hAnsi="宋体" w:eastAsia="宋体" w:cs="宋体"/>
          <w:color w:val="000000"/>
          <w:kern w:val="0"/>
          <w:sz w:val="24"/>
        </w:rPr>
        <w:t>乙方应按照本协议内容与承担分包的任务单位签订保密协议。</w:t>
      </w:r>
    </w:p>
    <w:p w14:paraId="62D736E8">
      <w:pPr>
        <w:adjustRightInd w:val="0"/>
        <w:spacing w:line="360" w:lineRule="auto"/>
        <w:ind w:firstLine="475" w:firstLineChars="197"/>
        <w:contextualSpacing/>
        <w:rPr>
          <w:rFonts w:ascii="宋体" w:hAnsi="宋体" w:eastAsia="宋体" w:cs="宋体"/>
          <w:sz w:val="24"/>
        </w:rPr>
      </w:pPr>
      <w:r>
        <w:rPr>
          <w:rFonts w:hint="eastAsia" w:ascii="宋体" w:hAnsi="宋体" w:eastAsia="宋体" w:cs="宋体"/>
          <w:b/>
          <w:bCs/>
          <w:sz w:val="24"/>
        </w:rPr>
        <w:t>第十条本合同保密违约金为合同总价款的10%，甲方有权视违反保密要求情况对乙方处理罚款</w:t>
      </w:r>
      <w:r>
        <w:rPr>
          <w:rFonts w:hint="eastAsia" w:ascii="宋体" w:hAnsi="宋体" w:eastAsia="宋体" w:cs="宋体"/>
          <w:sz w:val="24"/>
        </w:rPr>
        <w:t>。</w:t>
      </w:r>
    </w:p>
    <w:p w14:paraId="7B9F9263">
      <w:pPr>
        <w:widowControl/>
        <w:spacing w:beforeLines="100" w:afterLines="100" w:line="360" w:lineRule="auto"/>
        <w:ind w:firstLine="482" w:firstLineChars="200"/>
        <w:contextualSpacing/>
        <w:jc w:val="left"/>
        <w:rPr>
          <w:rFonts w:ascii="宋体" w:hAnsi="宋体" w:eastAsia="宋体" w:cs="宋体"/>
          <w:kern w:val="0"/>
          <w:sz w:val="24"/>
        </w:rPr>
      </w:pPr>
      <w:r>
        <w:rPr>
          <w:rFonts w:hint="eastAsia" w:ascii="宋体" w:hAnsi="宋体" w:eastAsia="宋体" w:cs="宋体"/>
          <w:b/>
          <w:color w:val="000000"/>
          <w:kern w:val="0"/>
          <w:sz w:val="24"/>
        </w:rPr>
        <w:t>第十一条</w:t>
      </w:r>
      <w:r>
        <w:rPr>
          <w:rFonts w:hint="eastAsia" w:ascii="宋体" w:hAnsi="宋体" w:eastAsia="宋体" w:cs="宋体"/>
          <w:sz w:val="24"/>
        </w:rPr>
        <w:t xml:space="preserve">此协议生效时间从 </w:t>
      </w:r>
      <w:r>
        <w:rPr>
          <w:rFonts w:hint="eastAsia" w:ascii="宋体" w:hAnsi="宋体" w:eastAsia="宋体" w:cs="宋体"/>
          <w:sz w:val="24"/>
          <w:u w:val="single"/>
        </w:rPr>
        <w:t xml:space="preserve">     年   月   日</w:t>
      </w:r>
      <w:r>
        <w:rPr>
          <w:rFonts w:hint="eastAsia" w:ascii="宋体" w:hAnsi="宋体" w:eastAsia="宋体" w:cs="宋体"/>
          <w:sz w:val="24"/>
        </w:rPr>
        <w:t>起</w:t>
      </w:r>
      <w:r>
        <w:rPr>
          <w:rFonts w:hint="eastAsia" w:ascii="宋体" w:hAnsi="宋体" w:eastAsia="宋体" w:cs="宋体"/>
          <w:kern w:val="0"/>
          <w:sz w:val="24"/>
        </w:rPr>
        <w:t>。</w:t>
      </w:r>
    </w:p>
    <w:p w14:paraId="246E33C1">
      <w:pPr>
        <w:adjustRightInd w:val="0"/>
        <w:spacing w:beforeLines="100" w:afterLines="100" w:line="360" w:lineRule="auto"/>
        <w:ind w:firstLine="482" w:firstLineChars="200"/>
        <w:contextualSpacing/>
        <w:rPr>
          <w:rFonts w:ascii="宋体" w:hAnsi="宋体" w:eastAsia="宋体" w:cs="宋体"/>
          <w:sz w:val="24"/>
        </w:rPr>
      </w:pPr>
      <w:r>
        <w:rPr>
          <w:rFonts w:hint="eastAsia" w:ascii="宋体" w:hAnsi="宋体" w:eastAsia="宋体" w:cs="宋体"/>
          <w:b/>
          <w:color w:val="000000"/>
          <w:kern w:val="0"/>
          <w:sz w:val="24"/>
        </w:rPr>
        <w:t>第十二条</w:t>
      </w:r>
      <w:r>
        <w:rPr>
          <w:rFonts w:hint="eastAsia" w:ascii="宋体" w:hAnsi="宋体" w:eastAsia="宋体" w:cs="宋体"/>
          <w:sz w:val="24"/>
        </w:rPr>
        <w:t>此协议作为合同的附件，与合同正文具有同等效力。</w:t>
      </w:r>
    </w:p>
    <w:p w14:paraId="0985AA31">
      <w:pPr>
        <w:widowControl/>
        <w:spacing w:line="360" w:lineRule="auto"/>
        <w:jc w:val="left"/>
        <w:rPr>
          <w:rFonts w:ascii="Times New Roman" w:hAnsi="Times New Roman" w:eastAsia="宋体" w:cs="Times New Roman"/>
          <w:sz w:val="24"/>
        </w:rPr>
      </w:pPr>
    </w:p>
    <w:p w14:paraId="4470FE26">
      <w:pPr>
        <w:adjustRightInd w:val="0"/>
        <w:snapToGrid w:val="0"/>
        <w:spacing w:line="360" w:lineRule="auto"/>
        <w:ind w:firstLine="480" w:firstLineChars="200"/>
        <w:jc w:val="left"/>
        <w:rPr>
          <w:rFonts w:ascii="Times New Roman" w:hAnsi="Times New Roman" w:eastAsia="宋体" w:cs="Times New Roman"/>
          <w:sz w:val="24"/>
        </w:rPr>
      </w:pPr>
    </w:p>
    <w:p w14:paraId="5AB85ED4">
      <w:pPr>
        <w:spacing w:line="360" w:lineRule="auto"/>
        <w:jc w:val="center"/>
        <w:rPr>
          <w:rFonts w:ascii="宋体" w:hAnsi="宋体" w:eastAsia="宋体" w:cs="宋体"/>
          <w:b/>
          <w:bCs/>
          <w:sz w:val="24"/>
        </w:rPr>
      </w:pPr>
      <w:r>
        <w:rPr>
          <w:rFonts w:ascii="Times New Roman" w:hAnsi="Times New Roman" w:eastAsia="宋体" w:cs="Times New Roman"/>
          <w:sz w:val="24"/>
        </w:rPr>
        <w:br w:type="page"/>
      </w:r>
      <w:r>
        <w:rPr>
          <w:rFonts w:hint="eastAsia" w:ascii="Times New Roman" w:hAnsi="Times New Roman" w:eastAsia="黑体" w:cs="Times New Roman"/>
          <w:b/>
          <w:bCs/>
          <w:kern w:val="44"/>
          <w:sz w:val="28"/>
          <w:szCs w:val="44"/>
        </w:rPr>
        <w:t>附件</w:t>
      </w:r>
      <w:r>
        <w:rPr>
          <w:rFonts w:ascii="Times New Roman" w:hAnsi="Times New Roman" w:eastAsia="黑体" w:cs="Times New Roman"/>
          <w:b/>
          <w:bCs/>
          <w:kern w:val="44"/>
          <w:sz w:val="28"/>
          <w:szCs w:val="44"/>
        </w:rPr>
        <w:t>A-</w:t>
      </w:r>
      <w:r>
        <w:rPr>
          <w:rFonts w:hint="eastAsia" w:ascii="Times New Roman" w:hAnsi="Times New Roman" w:eastAsia="黑体" w:cs="Times New Roman"/>
          <w:b/>
          <w:bCs/>
          <w:kern w:val="44"/>
          <w:sz w:val="28"/>
          <w:szCs w:val="44"/>
        </w:rPr>
        <w:t>4 安全环保协议书</w:t>
      </w:r>
    </w:p>
    <w:p w14:paraId="4318024E">
      <w:pPr>
        <w:spacing w:line="360" w:lineRule="auto"/>
        <w:jc w:val="left"/>
        <w:rPr>
          <w:rFonts w:ascii="Times New Roman" w:hAnsi="Times New Roman" w:eastAsia="宋体" w:cs="Times New Roman"/>
          <w:b/>
          <w:color w:val="000000"/>
          <w:sz w:val="24"/>
        </w:rPr>
      </w:pPr>
      <w:r>
        <w:rPr>
          <w:rFonts w:hint="eastAsia" w:ascii="Times New Roman" w:hAnsi="Times New Roman" w:eastAsia="宋体" w:cs="Times New Roman"/>
          <w:b/>
          <w:color w:val="000000"/>
          <w:sz w:val="24"/>
        </w:rPr>
        <w:t>项目名称：XXX</w:t>
      </w:r>
    </w:p>
    <w:p w14:paraId="2AC4AAC5">
      <w:pPr>
        <w:spacing w:line="360" w:lineRule="auto"/>
        <w:jc w:val="left"/>
        <w:rPr>
          <w:rFonts w:ascii="Times New Roman" w:hAnsi="Times New Roman" w:eastAsia="宋体" w:cs="Times New Roman"/>
          <w:b/>
          <w:color w:val="000000"/>
          <w:sz w:val="24"/>
        </w:rPr>
      </w:pPr>
      <w:r>
        <w:rPr>
          <w:rFonts w:hint="eastAsia" w:ascii="Times New Roman" w:hAnsi="Times New Roman" w:eastAsia="宋体" w:cs="Times New Roman"/>
          <w:b/>
          <w:color w:val="000000"/>
          <w:sz w:val="24"/>
        </w:rPr>
        <w:t>甲方：</w:t>
      </w:r>
      <w:r>
        <w:rPr>
          <w:rFonts w:hint="eastAsia" w:ascii="宋体" w:hAnsi="宋体" w:eastAsia="宋体" w:cs="仿宋_GB2312"/>
          <w:b/>
          <w:bCs/>
          <w:sz w:val="24"/>
        </w:rPr>
        <w:t>中国核动力研究设计院</w:t>
      </w:r>
    </w:p>
    <w:p w14:paraId="4CF2B7CA">
      <w:pPr>
        <w:spacing w:line="360" w:lineRule="auto"/>
        <w:jc w:val="left"/>
        <w:rPr>
          <w:rFonts w:ascii="宋体" w:hAnsi="宋体" w:eastAsia="宋体" w:cs="宋体"/>
          <w:sz w:val="24"/>
        </w:rPr>
      </w:pPr>
      <w:r>
        <w:rPr>
          <w:rFonts w:hint="eastAsia" w:ascii="Times New Roman" w:hAnsi="Times New Roman" w:eastAsia="宋体" w:cs="Times New Roman"/>
          <w:b/>
          <w:color w:val="000000"/>
          <w:sz w:val="24"/>
        </w:rPr>
        <w:t xml:space="preserve">乙方：XXX     </w:t>
      </w:r>
    </w:p>
    <w:p w14:paraId="6D392F3F">
      <w:pPr>
        <w:spacing w:line="360" w:lineRule="auto"/>
        <w:ind w:firstLine="480" w:firstLineChars="200"/>
        <w:jc w:val="left"/>
        <w:rPr>
          <w:rFonts w:ascii="宋体" w:hAnsi="宋体" w:eastAsia="宋体" w:cs="宋体"/>
          <w:sz w:val="24"/>
        </w:rPr>
      </w:pPr>
      <w:r>
        <w:rPr>
          <w:rFonts w:hint="eastAsia" w:ascii="宋体" w:hAnsi="宋体" w:eastAsia="宋体" w:cs="宋体"/>
          <w:sz w:val="24"/>
        </w:rPr>
        <w:t>根据《中华人民共和国民法典》、</w:t>
      </w:r>
      <w:bookmarkStart w:id="229" w:name="_Hlk13593465"/>
      <w:r>
        <w:rPr>
          <w:rFonts w:hint="eastAsia" w:ascii="宋体" w:hAnsi="宋体" w:eastAsia="宋体" w:cs="宋体"/>
          <w:sz w:val="24"/>
        </w:rPr>
        <w:t>《中华人民共和国安全生产法》</w:t>
      </w:r>
      <w:bookmarkEnd w:id="229"/>
      <w:r>
        <w:rPr>
          <w:rFonts w:hint="eastAsia" w:ascii="宋体" w:hAnsi="宋体" w:eastAsia="宋体" w:cs="宋体"/>
          <w:sz w:val="24"/>
        </w:rPr>
        <w:t>、《中华人民共和国食品安全法》、《中华人民共和国环境保护法》、《中华人民共和国核安全法》等有关法律、法规以及甲方有关安全、环保管理规定，结合项目工作实际，本着“安全第一、预防为主”的原则，经甲乙双方平等协商，达成一致意见，自愿签订本协议，并在项目实施中共同遵守本协议的各项规定。</w:t>
      </w:r>
    </w:p>
    <w:p w14:paraId="614BB14C">
      <w:pPr>
        <w:spacing w:line="360" w:lineRule="auto"/>
        <w:ind w:firstLine="480" w:firstLineChars="200"/>
        <w:jc w:val="left"/>
        <w:rPr>
          <w:rFonts w:ascii="宋体" w:hAnsi="宋体" w:eastAsia="宋体" w:cs="宋体"/>
          <w:sz w:val="24"/>
        </w:rPr>
      </w:pPr>
      <w:r>
        <w:rPr>
          <w:rFonts w:hint="eastAsia" w:ascii="宋体" w:hAnsi="宋体" w:eastAsia="宋体" w:cs="宋体"/>
          <w:sz w:val="24"/>
        </w:rPr>
        <w:t>第一条  甲方的责任</w:t>
      </w:r>
    </w:p>
    <w:p w14:paraId="7277159B">
      <w:pPr>
        <w:spacing w:line="360" w:lineRule="auto"/>
        <w:ind w:firstLine="480" w:firstLineChars="200"/>
        <w:jc w:val="left"/>
        <w:rPr>
          <w:rFonts w:ascii="宋体" w:hAnsi="宋体" w:eastAsia="宋体" w:cs="宋体"/>
          <w:sz w:val="24"/>
        </w:rPr>
      </w:pPr>
      <w:r>
        <w:rPr>
          <w:rFonts w:hint="eastAsia" w:ascii="宋体" w:hAnsi="宋体" w:eastAsia="宋体" w:cs="宋体"/>
          <w:sz w:val="24"/>
        </w:rPr>
        <w:t>1.甲方应督促乙方严格遵守安全、环保法律、法规和相关的安全、环保管理制度。</w:t>
      </w:r>
    </w:p>
    <w:p w14:paraId="64D9AC4F">
      <w:pPr>
        <w:spacing w:line="360" w:lineRule="auto"/>
        <w:ind w:firstLine="480" w:firstLineChars="200"/>
        <w:jc w:val="left"/>
        <w:rPr>
          <w:rFonts w:ascii="宋体" w:hAnsi="宋体" w:eastAsia="宋体" w:cs="宋体"/>
          <w:sz w:val="24"/>
        </w:rPr>
      </w:pPr>
      <w:r>
        <w:rPr>
          <w:rFonts w:hint="eastAsia" w:ascii="宋体" w:hAnsi="宋体" w:eastAsia="宋体" w:cs="宋体"/>
          <w:sz w:val="24"/>
        </w:rPr>
        <w:t>2.甲方有权审查乙方的安全、环保生产资质（安全生产许可证）、安全环保管理制度、设备设施安全状况、人员持证上岗资格等。</w:t>
      </w:r>
    </w:p>
    <w:p w14:paraId="581AF8E1">
      <w:pPr>
        <w:spacing w:line="360" w:lineRule="auto"/>
        <w:ind w:firstLine="480" w:firstLineChars="200"/>
        <w:jc w:val="left"/>
        <w:rPr>
          <w:rFonts w:ascii="宋体" w:hAnsi="宋体" w:eastAsia="宋体" w:cs="宋体"/>
          <w:sz w:val="24"/>
        </w:rPr>
      </w:pPr>
      <w:r>
        <w:rPr>
          <w:rFonts w:hint="eastAsia" w:ascii="宋体" w:hAnsi="宋体" w:eastAsia="宋体" w:cs="宋体"/>
          <w:sz w:val="24"/>
        </w:rPr>
        <w:t>3.甲方有权审查乙方的项目实施方案或项目实施过程中的安全环保技术措施和专项方案，并督促乙方落实。</w:t>
      </w:r>
    </w:p>
    <w:p w14:paraId="228565A8">
      <w:pPr>
        <w:spacing w:line="360" w:lineRule="auto"/>
        <w:ind w:firstLine="480" w:firstLineChars="200"/>
        <w:jc w:val="left"/>
        <w:rPr>
          <w:rFonts w:ascii="宋体" w:hAnsi="宋体" w:eastAsia="宋体" w:cs="宋体"/>
          <w:sz w:val="24"/>
        </w:rPr>
      </w:pPr>
      <w:r>
        <w:rPr>
          <w:rFonts w:hint="eastAsia" w:ascii="宋体" w:hAnsi="宋体" w:eastAsia="宋体" w:cs="宋体"/>
          <w:sz w:val="24"/>
        </w:rPr>
        <w:t>4.甲方有权要求乙方告知其项目实施过程中存在的各类风险，以及针对风险制定的防范与保证措施。</w:t>
      </w:r>
    </w:p>
    <w:p w14:paraId="46DBAFB2">
      <w:pPr>
        <w:spacing w:line="360" w:lineRule="auto"/>
        <w:ind w:firstLine="480" w:firstLineChars="200"/>
        <w:jc w:val="left"/>
        <w:rPr>
          <w:rFonts w:ascii="宋体" w:hAnsi="宋体" w:eastAsia="宋体" w:cs="宋体"/>
          <w:sz w:val="24"/>
        </w:rPr>
      </w:pPr>
      <w:r>
        <w:rPr>
          <w:rFonts w:hint="eastAsia" w:ascii="宋体" w:hAnsi="宋体" w:eastAsia="宋体" w:cs="宋体"/>
          <w:sz w:val="24"/>
        </w:rPr>
        <w:t>5、甲方有权对乙方进行监督检查，并针对发现的问题，督促乙方进行整改。</w:t>
      </w:r>
    </w:p>
    <w:p w14:paraId="41FC4AD5">
      <w:pPr>
        <w:spacing w:line="360" w:lineRule="auto"/>
        <w:ind w:firstLine="480" w:firstLineChars="200"/>
        <w:jc w:val="left"/>
        <w:rPr>
          <w:rFonts w:ascii="宋体" w:hAnsi="宋体" w:eastAsia="宋体" w:cs="宋体"/>
          <w:sz w:val="24"/>
        </w:rPr>
      </w:pPr>
      <w:r>
        <w:rPr>
          <w:rFonts w:hint="eastAsia" w:ascii="宋体" w:hAnsi="宋体" w:eastAsia="宋体" w:cs="宋体"/>
          <w:sz w:val="24"/>
        </w:rPr>
        <w:t>6.甲方有权对不具备相应资质、不遵守规章制度和不具备安全生产条件的乙方提出相关要求。</w:t>
      </w:r>
    </w:p>
    <w:p w14:paraId="69FF7731">
      <w:pPr>
        <w:spacing w:line="360" w:lineRule="auto"/>
        <w:ind w:firstLine="480" w:firstLineChars="200"/>
        <w:jc w:val="left"/>
        <w:rPr>
          <w:rFonts w:ascii="宋体" w:hAnsi="宋体" w:eastAsia="宋体" w:cs="宋体"/>
          <w:sz w:val="24"/>
        </w:rPr>
      </w:pPr>
      <w:r>
        <w:rPr>
          <w:rFonts w:hint="eastAsia" w:ascii="宋体" w:hAnsi="宋体" w:eastAsia="宋体" w:cs="宋体"/>
          <w:sz w:val="24"/>
        </w:rPr>
        <w:t>第二条  乙方的责任</w:t>
      </w:r>
    </w:p>
    <w:p w14:paraId="1DEE54DE">
      <w:pPr>
        <w:spacing w:line="360" w:lineRule="auto"/>
        <w:ind w:firstLine="480" w:firstLineChars="200"/>
        <w:jc w:val="left"/>
        <w:rPr>
          <w:rFonts w:ascii="宋体" w:hAnsi="宋体" w:eastAsia="宋体" w:cs="宋体"/>
          <w:sz w:val="24"/>
        </w:rPr>
      </w:pPr>
      <w:r>
        <w:rPr>
          <w:rFonts w:hint="eastAsia" w:ascii="宋体" w:hAnsi="宋体" w:eastAsia="宋体" w:cs="宋体"/>
          <w:sz w:val="24"/>
        </w:rPr>
        <w:t>1.乙方应严格遵守安全环保法律、法规和行业标准规定以及甲方的有关规定。</w:t>
      </w:r>
    </w:p>
    <w:p w14:paraId="18A9809F">
      <w:pPr>
        <w:spacing w:line="360" w:lineRule="auto"/>
        <w:ind w:firstLine="480" w:firstLineChars="200"/>
        <w:jc w:val="left"/>
        <w:rPr>
          <w:rFonts w:ascii="宋体" w:hAnsi="宋体" w:eastAsia="宋体" w:cs="宋体"/>
          <w:sz w:val="24"/>
        </w:rPr>
      </w:pPr>
      <w:r>
        <w:rPr>
          <w:rFonts w:hint="eastAsia" w:ascii="宋体" w:hAnsi="宋体" w:eastAsia="宋体" w:cs="宋体"/>
          <w:sz w:val="24"/>
        </w:rPr>
        <w:t>2.乙方应建立健全安全环保组织机构、规章制度和操作规程，并配备专（兼）职安全环保管理人员。</w:t>
      </w:r>
    </w:p>
    <w:p w14:paraId="69029AF9">
      <w:pPr>
        <w:spacing w:line="360" w:lineRule="auto"/>
        <w:ind w:firstLine="480" w:firstLineChars="200"/>
        <w:jc w:val="left"/>
        <w:rPr>
          <w:rFonts w:ascii="宋体" w:hAnsi="宋体" w:eastAsia="宋体" w:cs="宋体"/>
          <w:sz w:val="24"/>
        </w:rPr>
      </w:pPr>
      <w:r>
        <w:rPr>
          <w:rFonts w:hint="eastAsia" w:ascii="宋体" w:hAnsi="宋体" w:eastAsia="宋体" w:cs="宋体"/>
          <w:sz w:val="24"/>
        </w:rPr>
        <w:t>3.乙方应配置符合安全、环保要求的设备设施。</w:t>
      </w:r>
    </w:p>
    <w:p w14:paraId="16FAE8AB">
      <w:pPr>
        <w:spacing w:line="360" w:lineRule="auto"/>
        <w:ind w:firstLine="480" w:firstLineChars="200"/>
        <w:jc w:val="left"/>
        <w:rPr>
          <w:rFonts w:ascii="宋体" w:hAnsi="宋体" w:eastAsia="宋体" w:cs="宋体"/>
          <w:sz w:val="24"/>
        </w:rPr>
      </w:pPr>
      <w:r>
        <w:rPr>
          <w:rFonts w:hint="eastAsia" w:ascii="宋体" w:hAnsi="宋体" w:eastAsia="宋体" w:cs="宋体"/>
          <w:sz w:val="24"/>
        </w:rPr>
        <w:t>4.乙方应配置符合本项目要求的安全、环保人员进行本项目作业，需要持证上岗的，须做到100%持证上岗。</w:t>
      </w:r>
    </w:p>
    <w:p w14:paraId="323FF0AA">
      <w:pPr>
        <w:spacing w:line="360" w:lineRule="auto"/>
        <w:ind w:firstLine="480" w:firstLineChars="200"/>
        <w:jc w:val="left"/>
        <w:rPr>
          <w:rFonts w:ascii="宋体" w:hAnsi="宋体" w:eastAsia="宋体" w:cs="宋体"/>
          <w:sz w:val="24"/>
        </w:rPr>
      </w:pPr>
      <w:r>
        <w:rPr>
          <w:rFonts w:hint="eastAsia" w:ascii="宋体" w:hAnsi="宋体" w:eastAsia="宋体" w:cs="宋体"/>
          <w:sz w:val="24"/>
        </w:rPr>
        <w:t>5.乙方应为作业人员配备符合国家标准和行业标准的劳动防护用品。</w:t>
      </w:r>
    </w:p>
    <w:p w14:paraId="4EF20F82">
      <w:pPr>
        <w:spacing w:line="360" w:lineRule="auto"/>
        <w:ind w:firstLine="480" w:firstLineChars="200"/>
        <w:jc w:val="left"/>
        <w:rPr>
          <w:rFonts w:ascii="宋体" w:hAnsi="宋体" w:eastAsia="宋体" w:cs="宋体"/>
          <w:sz w:val="24"/>
        </w:rPr>
      </w:pPr>
      <w:r>
        <w:rPr>
          <w:rFonts w:hint="eastAsia" w:ascii="宋体" w:hAnsi="宋体" w:eastAsia="宋体" w:cs="宋体"/>
          <w:sz w:val="24"/>
        </w:rPr>
        <w:t>6.乙方应在项目实施前，针对作业过程组织开展危害因素识别和评估，并根据识别评估结果，及时向员工进行交底培训。</w:t>
      </w:r>
    </w:p>
    <w:p w14:paraId="6948D441">
      <w:pPr>
        <w:spacing w:line="360" w:lineRule="auto"/>
        <w:ind w:firstLine="480" w:firstLineChars="200"/>
        <w:jc w:val="left"/>
        <w:rPr>
          <w:rFonts w:ascii="宋体" w:hAnsi="宋体" w:eastAsia="宋体" w:cs="宋体"/>
          <w:sz w:val="24"/>
        </w:rPr>
      </w:pPr>
      <w:r>
        <w:rPr>
          <w:rFonts w:hint="eastAsia" w:ascii="宋体" w:hAnsi="宋体" w:eastAsia="宋体" w:cs="宋体"/>
          <w:sz w:val="24"/>
        </w:rPr>
        <w:t>7.乙方应就可能危害或涉及到甲方的现场危险源及其风险削减控制措施与应急措施、警示标识及相关规定等内容，以书面形式向甲方告知。</w:t>
      </w:r>
    </w:p>
    <w:p w14:paraId="4AD5D260">
      <w:pPr>
        <w:spacing w:line="360" w:lineRule="auto"/>
        <w:ind w:firstLine="480" w:firstLineChars="200"/>
        <w:jc w:val="left"/>
        <w:rPr>
          <w:rFonts w:ascii="宋体" w:hAnsi="宋体" w:eastAsia="宋体" w:cs="宋体"/>
          <w:sz w:val="24"/>
        </w:rPr>
      </w:pPr>
      <w:r>
        <w:rPr>
          <w:rFonts w:hint="eastAsia" w:ascii="宋体" w:hAnsi="宋体" w:eastAsia="宋体" w:cs="宋体"/>
          <w:sz w:val="24"/>
        </w:rPr>
        <w:t>8.乙方应加强危险作业安全、环保监管，针对起重作业、临时用电作业、动火作业等，严格执行作业许可制度，指派现场监管人员进行过程监督，督促落实各项风险控制削减措施及应急要求。</w:t>
      </w:r>
    </w:p>
    <w:p w14:paraId="47A14498">
      <w:pPr>
        <w:spacing w:line="360" w:lineRule="auto"/>
        <w:ind w:firstLine="480" w:firstLineChars="200"/>
        <w:jc w:val="left"/>
        <w:rPr>
          <w:rFonts w:ascii="宋体" w:hAnsi="宋体" w:eastAsia="宋体" w:cs="宋体"/>
          <w:sz w:val="24"/>
        </w:rPr>
      </w:pPr>
      <w:r>
        <w:rPr>
          <w:rFonts w:hint="eastAsia" w:ascii="宋体" w:hAnsi="宋体" w:eastAsia="宋体" w:cs="宋体"/>
          <w:sz w:val="24"/>
        </w:rPr>
        <w:t>9.乙方应主动接受甲方的安全环保监督检查，汇报安全环保工作情况，认真落实甲方的有关安全环保工作要求。</w:t>
      </w:r>
    </w:p>
    <w:p w14:paraId="5D80C39B">
      <w:pPr>
        <w:spacing w:line="360" w:lineRule="auto"/>
        <w:ind w:firstLine="480" w:firstLineChars="200"/>
        <w:jc w:val="left"/>
        <w:rPr>
          <w:rFonts w:ascii="宋体" w:hAnsi="宋体" w:eastAsia="宋体" w:cs="宋体"/>
          <w:sz w:val="24"/>
        </w:rPr>
      </w:pPr>
      <w:r>
        <w:rPr>
          <w:rFonts w:hint="eastAsia" w:ascii="宋体" w:hAnsi="宋体" w:eastAsia="宋体" w:cs="宋体"/>
          <w:sz w:val="24"/>
        </w:rPr>
        <w:t>10.乙方应针对项目实施中可能出现的事故，制定事故应急处置预案，明确应急职责，配齐配全应急物资和设施。</w:t>
      </w:r>
    </w:p>
    <w:p w14:paraId="170611AF">
      <w:pPr>
        <w:spacing w:line="360" w:lineRule="auto"/>
        <w:ind w:firstLine="480" w:firstLineChars="200"/>
        <w:jc w:val="left"/>
        <w:rPr>
          <w:rFonts w:ascii="宋体" w:hAnsi="宋体" w:eastAsia="宋体" w:cs="宋体"/>
          <w:sz w:val="24"/>
        </w:rPr>
      </w:pPr>
      <w:r>
        <w:rPr>
          <w:rFonts w:hint="eastAsia" w:ascii="宋体" w:hAnsi="宋体" w:eastAsia="宋体" w:cs="宋体"/>
          <w:sz w:val="24"/>
        </w:rPr>
        <w:t>第三条 违约责任</w:t>
      </w:r>
    </w:p>
    <w:p w14:paraId="0E991968">
      <w:pPr>
        <w:spacing w:line="360" w:lineRule="auto"/>
        <w:ind w:firstLine="480" w:firstLineChars="200"/>
        <w:jc w:val="left"/>
        <w:rPr>
          <w:rFonts w:ascii="宋体" w:hAnsi="宋体" w:eastAsia="宋体" w:cs="宋体"/>
          <w:sz w:val="24"/>
        </w:rPr>
      </w:pPr>
      <w:r>
        <w:rPr>
          <w:rFonts w:hint="eastAsia" w:ascii="宋体" w:hAnsi="宋体" w:eastAsia="宋体" w:cs="宋体"/>
          <w:sz w:val="24"/>
        </w:rPr>
        <w:t>1.甲方对乙方违约造成的违章行为和未及时整改隐患，将按照有关法律法规和甲方的规定进行处理或者解除项目协议。</w:t>
      </w:r>
    </w:p>
    <w:p w14:paraId="79B2C4EE">
      <w:pPr>
        <w:spacing w:line="360" w:lineRule="auto"/>
        <w:ind w:firstLine="480" w:firstLineChars="200"/>
        <w:jc w:val="left"/>
        <w:rPr>
          <w:rFonts w:ascii="宋体" w:hAnsi="宋体" w:eastAsia="宋体" w:cs="宋体"/>
          <w:sz w:val="24"/>
        </w:rPr>
      </w:pPr>
      <w:r>
        <w:rPr>
          <w:rFonts w:hint="eastAsia" w:ascii="宋体" w:hAnsi="宋体" w:eastAsia="宋体" w:cs="宋体"/>
          <w:sz w:val="24"/>
        </w:rPr>
        <w:t>2.乙方违反本协议规定不履行或不完全履行义务造成事故的，由乙方承担责任。</w:t>
      </w:r>
    </w:p>
    <w:p w14:paraId="62DC37AF">
      <w:pPr>
        <w:spacing w:line="360" w:lineRule="auto"/>
        <w:ind w:firstLine="480" w:firstLineChars="200"/>
        <w:jc w:val="left"/>
        <w:rPr>
          <w:rFonts w:ascii="宋体" w:hAnsi="宋体" w:eastAsia="宋体" w:cs="宋体"/>
          <w:sz w:val="24"/>
        </w:rPr>
      </w:pPr>
      <w:r>
        <w:rPr>
          <w:rFonts w:hint="eastAsia" w:ascii="宋体" w:hAnsi="宋体" w:eastAsia="宋体" w:cs="宋体"/>
          <w:sz w:val="24"/>
        </w:rPr>
        <w:t>第四条  此协议生效时间从年月日起。</w:t>
      </w:r>
    </w:p>
    <w:p w14:paraId="6D8B3309">
      <w:pPr>
        <w:spacing w:line="360" w:lineRule="auto"/>
        <w:ind w:firstLine="480" w:firstLineChars="200"/>
        <w:jc w:val="left"/>
        <w:rPr>
          <w:rFonts w:ascii="宋体" w:hAnsi="宋体" w:eastAsia="宋体" w:cs="宋体"/>
          <w:sz w:val="24"/>
        </w:rPr>
      </w:pPr>
      <w:r>
        <w:rPr>
          <w:rFonts w:hint="eastAsia" w:ascii="宋体" w:hAnsi="宋体" w:eastAsia="宋体" w:cs="宋体"/>
          <w:sz w:val="24"/>
        </w:rPr>
        <w:t>第五条  此协议作为合同的附件，与合同正文具有同等效力。</w:t>
      </w:r>
    </w:p>
    <w:p w14:paraId="12CDE489">
      <w:pPr>
        <w:widowControl/>
        <w:spacing w:line="360" w:lineRule="auto"/>
        <w:jc w:val="left"/>
        <w:rPr>
          <w:rFonts w:ascii="Times New Roman" w:hAnsi="Times New Roman" w:eastAsia="宋体" w:cs="Times New Roman"/>
          <w:sz w:val="24"/>
        </w:rPr>
      </w:pPr>
      <w:r>
        <w:rPr>
          <w:rFonts w:ascii="Times New Roman" w:hAnsi="Times New Roman" w:eastAsia="宋体" w:cs="Times New Roman"/>
          <w:sz w:val="24"/>
        </w:rPr>
        <w:br w:type="page"/>
      </w:r>
    </w:p>
    <w:p w14:paraId="01138691">
      <w:pPr>
        <w:keepNext/>
        <w:keepLines/>
        <w:spacing w:after="330" w:line="360" w:lineRule="auto"/>
        <w:jc w:val="center"/>
        <w:outlineLvl w:val="0"/>
        <w:rPr>
          <w:rFonts w:ascii="Times New Roman" w:hAnsi="Times New Roman" w:eastAsia="黑体" w:cs="Times New Roman"/>
          <w:b/>
          <w:bCs/>
          <w:kern w:val="44"/>
          <w:sz w:val="28"/>
          <w:szCs w:val="44"/>
        </w:rPr>
      </w:pPr>
      <w:bookmarkStart w:id="230" w:name="_Toc15317539"/>
      <w:r>
        <w:rPr>
          <w:rFonts w:hint="eastAsia" w:ascii="Times New Roman" w:hAnsi="Times New Roman" w:eastAsia="黑体" w:cs="Times New Roman"/>
          <w:b/>
          <w:bCs/>
          <w:kern w:val="44"/>
          <w:sz w:val="28"/>
          <w:szCs w:val="44"/>
        </w:rPr>
        <w:t>附件B  技术规格书</w:t>
      </w:r>
      <w:bookmarkEnd w:id="230"/>
    </w:p>
    <w:p w14:paraId="17201729">
      <w:r>
        <w:rPr>
          <w:rFonts w:hint="eastAsia"/>
        </w:rPr>
        <w:t>详见附件</w:t>
      </w:r>
    </w:p>
    <w:p w14:paraId="007317BE"/>
    <w:p w14:paraId="7591D43B"/>
    <w:p w14:paraId="3276DE94"/>
    <w:p w14:paraId="50C3CE07"/>
    <w:p w14:paraId="35830A8A"/>
    <w:p w14:paraId="29E68C27"/>
    <w:p w14:paraId="525B9268"/>
    <w:p w14:paraId="6B474443"/>
    <w:p w14:paraId="36089BCF"/>
    <w:p w14:paraId="016D90E7"/>
    <w:p w14:paraId="69D4F10D"/>
    <w:p w14:paraId="331A4D33"/>
    <w:p w14:paraId="25701583"/>
    <w:p w14:paraId="292937C9"/>
    <w:p w14:paraId="4B076F10"/>
    <w:p w14:paraId="00285CA7"/>
    <w:p w14:paraId="3C2BD68B"/>
    <w:p w14:paraId="26DFC057"/>
    <w:p w14:paraId="34895F4F"/>
    <w:p w14:paraId="4CC65A4B"/>
    <w:p w14:paraId="21B6FAFC"/>
    <w:p w14:paraId="14F540C6"/>
    <w:p w14:paraId="217101F4"/>
    <w:p w14:paraId="5A1D3F6C"/>
    <w:p w14:paraId="63DC5ABC"/>
    <w:p w14:paraId="1400C80E"/>
    <w:p w14:paraId="5A726854"/>
    <w:p w14:paraId="03830B74"/>
    <w:p w14:paraId="7C1BCDDB"/>
    <w:p w14:paraId="1C7F9927"/>
    <w:p w14:paraId="75C50F7F"/>
    <w:p w14:paraId="50C43392"/>
    <w:p w14:paraId="59A2C678"/>
    <w:p w14:paraId="4F25A6D8"/>
    <w:p w14:paraId="34ED4BEC"/>
    <w:p w14:paraId="5FFB09AF"/>
    <w:p w14:paraId="1AFA9C74"/>
    <w:p w14:paraId="5CCC179B"/>
    <w:p w14:paraId="45873CBF"/>
    <w:p w14:paraId="18D52F34">
      <w:pPr>
        <w:pStyle w:val="5"/>
        <w:adjustRightInd w:val="0"/>
        <w:snapToGrid w:val="0"/>
        <w:ind w:firstLine="880" w:firstLineChars="200"/>
        <w:rPr>
          <w:rFonts w:asciiTheme="minorEastAsia" w:hAnsiTheme="minorEastAsia" w:eastAsiaTheme="minorEastAsia"/>
          <w:lang w:eastAsia="zh-CN"/>
        </w:rPr>
      </w:pPr>
      <w:bookmarkStart w:id="231" w:name="_Toc181123615"/>
      <w:r>
        <w:rPr>
          <w:rFonts w:asciiTheme="minorEastAsia" w:hAnsiTheme="minorEastAsia" w:eastAsiaTheme="minorEastAsia"/>
          <w:lang w:eastAsia="zh-CN"/>
        </w:rPr>
        <w:t>第五章采购需求</w:t>
      </w:r>
      <w:bookmarkEnd w:id="231"/>
    </w:p>
    <w:p w14:paraId="4195CB8C">
      <w:pPr>
        <w:spacing w:line="360" w:lineRule="auto"/>
        <w:ind w:firstLine="482" w:firstLineChars="200"/>
        <w:rPr>
          <w:b/>
          <w:sz w:val="24"/>
        </w:rPr>
      </w:pPr>
      <w:bookmarkStart w:id="232" w:name="_Hlk179791404"/>
      <w:r>
        <w:rPr>
          <w:rFonts w:hint="eastAsia"/>
          <w:b/>
          <w:sz w:val="24"/>
        </w:rPr>
        <w:t>详见附件《图文档管理系统实施服务技术规格书》（A版），另册。</w:t>
      </w:r>
    </w:p>
    <w:p w14:paraId="561E3EAA">
      <w:pPr>
        <w:pStyle w:val="2"/>
        <w:spacing w:line="360" w:lineRule="auto"/>
        <w:ind w:firstLine="480" w:firstLineChars="200"/>
        <w:rPr>
          <w:bCs/>
          <w:sz w:val="24"/>
          <w:lang w:eastAsia="zh-CN"/>
        </w:rPr>
      </w:pPr>
      <w:r>
        <w:rPr>
          <w:rFonts w:hint="eastAsia"/>
          <w:bCs/>
          <w:sz w:val="24"/>
          <w:lang w:eastAsia="zh-CN"/>
        </w:rPr>
        <w:t>质保期：</w:t>
      </w:r>
      <w:r>
        <w:rPr>
          <w:rFonts w:hint="eastAsia"/>
          <w:sz w:val="24"/>
          <w:lang w:eastAsia="zh-CN"/>
        </w:rPr>
        <w:t>12个月</w:t>
      </w:r>
    </w:p>
    <w:p w14:paraId="6BF36D69">
      <w:pPr>
        <w:pStyle w:val="2"/>
        <w:ind w:firstLine="210"/>
        <w:rPr>
          <w:lang w:eastAsia="zh-CN"/>
        </w:rPr>
      </w:pPr>
    </w:p>
    <w:p w14:paraId="67F1A513">
      <w:pPr>
        <w:spacing w:line="360" w:lineRule="auto"/>
        <w:ind w:firstLine="482" w:firstLineChars="200"/>
        <w:rPr>
          <w:rFonts w:cs="黑体" w:asciiTheme="minorEastAsia" w:hAnsiTheme="minorEastAsia"/>
          <w:b/>
          <w:sz w:val="24"/>
        </w:rPr>
      </w:pPr>
      <w:r>
        <w:rPr>
          <w:rFonts w:hint="eastAsia" w:cs="黑体" w:asciiTheme="minorEastAsia" w:hAnsiTheme="minorEastAsia"/>
          <w:b/>
          <w:sz w:val="24"/>
        </w:rPr>
        <w:t>说明：</w:t>
      </w:r>
    </w:p>
    <w:p w14:paraId="0054FEBE">
      <w:pPr>
        <w:pStyle w:val="39"/>
        <w:numPr>
          <w:ilvl w:val="255"/>
          <w:numId w:val="0"/>
        </w:numPr>
        <w:spacing w:line="360" w:lineRule="auto"/>
        <w:ind w:firstLine="420" w:firstLineChars="175"/>
        <w:rPr>
          <w:rFonts w:ascii="宋体" w:hAnsi="宋体" w:cs="宋体"/>
          <w:bCs/>
          <w:sz w:val="24"/>
        </w:rPr>
      </w:pPr>
      <w:r>
        <w:rPr>
          <w:rFonts w:hint="eastAsia" w:ascii="宋体" w:hAnsi="宋体" w:cs="宋体"/>
          <w:bCs/>
          <w:snapToGrid w:val="0"/>
          <w:kern w:val="0"/>
          <w:sz w:val="24"/>
        </w:rPr>
        <w:t>1.本章</w:t>
      </w:r>
      <w:r>
        <w:rPr>
          <w:rFonts w:ascii="宋体" w:hAnsi="宋体" w:cs="宋体"/>
          <w:bCs/>
          <w:snapToGrid w:val="0"/>
          <w:kern w:val="0"/>
          <w:sz w:val="24"/>
        </w:rPr>
        <w:t>所有要求均</w:t>
      </w:r>
      <w:r>
        <w:rPr>
          <w:rFonts w:hint="eastAsia" w:ascii="宋体" w:hAnsi="宋体" w:cs="宋体"/>
          <w:bCs/>
          <w:snapToGrid w:val="0"/>
          <w:kern w:val="0"/>
          <w:sz w:val="24"/>
        </w:rPr>
        <w:t>为实质性条款</w:t>
      </w:r>
      <w:r>
        <w:rPr>
          <w:rFonts w:hint="eastAsia" w:ascii="宋体" w:hAnsi="宋体" w:cs="宋体"/>
          <w:bCs/>
          <w:sz w:val="24"/>
        </w:rPr>
        <w:t>。</w:t>
      </w:r>
    </w:p>
    <w:p w14:paraId="466C93DE">
      <w:pPr>
        <w:pStyle w:val="39"/>
        <w:numPr>
          <w:ilvl w:val="255"/>
          <w:numId w:val="0"/>
        </w:numPr>
        <w:spacing w:line="360" w:lineRule="auto"/>
        <w:ind w:firstLine="420" w:firstLineChars="175"/>
        <w:rPr>
          <w:rFonts w:cs="黑体" w:asciiTheme="minorEastAsia" w:hAnsiTheme="minorEastAsia"/>
          <w:b/>
          <w:sz w:val="24"/>
        </w:rPr>
      </w:pPr>
      <w:r>
        <w:rPr>
          <w:rFonts w:hint="eastAsia" w:cs="黑体" w:asciiTheme="minorEastAsia" w:hAnsiTheme="minorEastAsia"/>
          <w:sz w:val="24"/>
        </w:rPr>
        <w:t>2.本项目采购人所提供技术文件等资料涉及知识产权、商业秘密</w:t>
      </w:r>
      <w:r>
        <w:rPr>
          <w:rFonts w:cs="黑体" w:asciiTheme="minorEastAsia" w:hAnsiTheme="minorEastAsia"/>
          <w:sz w:val="24"/>
        </w:rPr>
        <w:t>等相关信息</w:t>
      </w:r>
      <w:r>
        <w:rPr>
          <w:rFonts w:hint="eastAsia" w:cs="黑体" w:asciiTheme="minorEastAsia" w:hAnsiTheme="minorEastAsia"/>
          <w:sz w:val="24"/>
        </w:rPr>
        <w:t>。供应商参与本项目应答并领取本文件的，视为承诺履行保密义务。</w:t>
      </w:r>
      <w:r>
        <w:rPr>
          <w:rFonts w:cs="黑体" w:asciiTheme="minorEastAsia" w:hAnsiTheme="minorEastAsia"/>
          <w:sz w:val="24"/>
        </w:rPr>
        <w:t>资料保管</w:t>
      </w:r>
      <w:r>
        <w:rPr>
          <w:rFonts w:hint="eastAsia" w:cs="黑体" w:asciiTheme="minorEastAsia" w:hAnsiTheme="minorEastAsia"/>
          <w:sz w:val="24"/>
        </w:rPr>
        <w:t>、</w:t>
      </w:r>
      <w:r>
        <w:rPr>
          <w:rFonts w:cs="黑体" w:asciiTheme="minorEastAsia" w:hAnsiTheme="minorEastAsia"/>
          <w:sz w:val="24"/>
        </w:rPr>
        <w:t>使用</w:t>
      </w:r>
      <w:r>
        <w:rPr>
          <w:rFonts w:hint="eastAsia" w:cs="黑体" w:asciiTheme="minorEastAsia" w:hAnsiTheme="minorEastAsia"/>
          <w:sz w:val="24"/>
        </w:rPr>
        <w:t>及</w:t>
      </w:r>
      <w:r>
        <w:rPr>
          <w:rFonts w:cs="黑体" w:asciiTheme="minorEastAsia" w:hAnsiTheme="minorEastAsia"/>
          <w:sz w:val="24"/>
        </w:rPr>
        <w:t>销毁，应当</w:t>
      </w:r>
      <w:r>
        <w:rPr>
          <w:rFonts w:hint="eastAsia" w:cs="黑体" w:asciiTheme="minorEastAsia" w:hAnsiTheme="minorEastAsia"/>
          <w:sz w:val="24"/>
        </w:rPr>
        <w:t>符合</w:t>
      </w:r>
      <w:r>
        <w:rPr>
          <w:rFonts w:cs="黑体" w:asciiTheme="minorEastAsia" w:hAnsiTheme="minorEastAsia"/>
          <w:sz w:val="24"/>
        </w:rPr>
        <w:t>安全保密管理规范</w:t>
      </w:r>
      <w:r>
        <w:rPr>
          <w:rFonts w:hint="eastAsia" w:cs="黑体" w:asciiTheme="minorEastAsia" w:hAnsiTheme="minorEastAsia"/>
          <w:sz w:val="24"/>
        </w:rPr>
        <w:t>。未经采购人书面同意，不得私自复制、留存或</w:t>
      </w:r>
      <w:r>
        <w:rPr>
          <w:rFonts w:cs="黑体" w:asciiTheme="minorEastAsia" w:hAnsiTheme="minorEastAsia"/>
          <w:sz w:val="24"/>
        </w:rPr>
        <w:t>随意处置</w:t>
      </w:r>
      <w:r>
        <w:rPr>
          <w:rFonts w:hint="eastAsia" w:cs="黑体" w:asciiTheme="minorEastAsia" w:hAnsiTheme="minorEastAsia"/>
          <w:sz w:val="24"/>
        </w:rPr>
        <w:t>、不得在本项目以外使用。</w:t>
      </w:r>
    </w:p>
    <w:bookmarkEnd w:id="232"/>
    <w:p w14:paraId="18EC1670">
      <w:pPr>
        <w:widowControl/>
        <w:ind w:firstLine="422" w:firstLineChars="200"/>
        <w:jc w:val="left"/>
        <w:rPr>
          <w:rFonts w:cs="Microsoft JhengHei" w:asciiTheme="minorEastAsia" w:hAnsiTheme="minorEastAsia"/>
          <w:bCs/>
          <w:kern w:val="0"/>
          <w:sz w:val="44"/>
          <w:szCs w:val="44"/>
        </w:rPr>
      </w:pPr>
      <w:r>
        <w:rPr>
          <w:rFonts w:asciiTheme="minorEastAsia" w:hAnsiTheme="minorEastAsia"/>
          <w:b/>
        </w:rPr>
        <w:br w:type="page"/>
      </w:r>
    </w:p>
    <w:p w14:paraId="4AB3FCF1">
      <w:pPr>
        <w:pStyle w:val="5"/>
        <w:ind w:firstLine="880" w:firstLineChars="200"/>
        <w:rPr>
          <w:lang w:eastAsia="zh-CN"/>
        </w:rPr>
      </w:pPr>
      <w:bookmarkStart w:id="233" w:name="_Toc181123616"/>
      <w:r>
        <w:rPr>
          <w:lang w:eastAsia="zh-CN"/>
        </w:rPr>
        <w:t>第六章</w:t>
      </w:r>
      <w:r>
        <w:rPr>
          <w:rFonts w:hint="eastAsia"/>
          <w:lang w:eastAsia="zh-CN"/>
        </w:rPr>
        <w:t xml:space="preserve"> 应答文件</w:t>
      </w:r>
      <w:r>
        <w:rPr>
          <w:lang w:eastAsia="zh-CN"/>
        </w:rPr>
        <w:t>格式</w:t>
      </w:r>
      <w:bookmarkEnd w:id="233"/>
    </w:p>
    <w:p w14:paraId="53872953">
      <w:pPr>
        <w:pStyle w:val="3"/>
        <w:adjustRightInd w:val="0"/>
        <w:snapToGrid w:val="0"/>
        <w:jc w:val="both"/>
        <w:rPr>
          <w:b/>
          <w:bCs/>
          <w:color w:val="FF0000"/>
          <w:sz w:val="24"/>
          <w:szCs w:val="24"/>
          <w:highlight w:val="none"/>
          <w:lang w:eastAsia="zh-CN"/>
        </w:rPr>
      </w:pPr>
      <w:r>
        <w:rPr>
          <w:rFonts w:hint="eastAsia"/>
          <w:b/>
          <w:bCs/>
          <w:color w:val="FF0000"/>
          <w:sz w:val="36"/>
          <w:szCs w:val="36"/>
          <w:highlight w:val="none"/>
          <w:lang w:eastAsia="zh-CN"/>
        </w:rPr>
        <w:t>重要提示：</w:t>
      </w:r>
    </w:p>
    <w:p w14:paraId="02CC1972">
      <w:pPr>
        <w:pStyle w:val="39"/>
        <w:numPr>
          <w:ilvl w:val="0"/>
          <w:numId w:val="16"/>
        </w:numPr>
        <w:spacing w:line="360" w:lineRule="auto"/>
        <w:ind w:firstLine="0" w:firstLineChars="0"/>
        <w:rPr>
          <w:rFonts w:ascii="宋体" w:hAnsi="宋体" w:eastAsia="宋体" w:cs="宋体"/>
          <w:b/>
          <w:bCs/>
          <w:sz w:val="24"/>
          <w:highlight w:val="none"/>
          <w:u w:val="single"/>
        </w:rPr>
      </w:pPr>
      <w:r>
        <w:rPr>
          <w:rFonts w:hint="eastAsia" w:ascii="宋体" w:hAnsi="宋体" w:eastAsia="宋体" w:cs="宋体"/>
          <w:b/>
          <w:bCs/>
          <w:sz w:val="28"/>
          <w:szCs w:val="28"/>
          <w:highlight w:val="none"/>
        </w:rPr>
        <w:t>拒收情形：</w:t>
      </w:r>
      <w:r>
        <w:rPr>
          <w:rFonts w:hint="eastAsia" w:ascii="宋体" w:hAnsi="宋体" w:eastAsia="宋体" w:cs="宋体"/>
          <w:sz w:val="24"/>
          <w:highlight w:val="none"/>
        </w:rPr>
        <w:t>本项目发出的采购文件及技术规格书标志均为非密的，供应商递交的</w:t>
      </w:r>
      <w:r>
        <w:rPr>
          <w:rFonts w:hint="eastAsia" w:ascii="宋体" w:hAnsi="宋体" w:eastAsia="宋体" w:cs="宋体"/>
          <w:b/>
          <w:bCs/>
          <w:sz w:val="24"/>
          <w:highlight w:val="none"/>
          <w:u w:val="single"/>
        </w:rPr>
        <w:t>应答文件封面上，凡带有国家秘密标志（任何含有国家秘密字眼的标志）的、工作秘密（敏感信息）标志（含内部、商密等标志），一律予以拒收；</w:t>
      </w:r>
    </w:p>
    <w:p w14:paraId="4A3EBC1B">
      <w:pPr>
        <w:pStyle w:val="39"/>
        <w:numPr>
          <w:ilvl w:val="0"/>
          <w:numId w:val="16"/>
        </w:numPr>
        <w:spacing w:line="360" w:lineRule="auto"/>
        <w:ind w:firstLine="0" w:firstLineChars="0"/>
        <w:rPr>
          <w:rFonts w:cs="黑体" w:asciiTheme="minorEastAsia" w:hAnsiTheme="minorEastAsia"/>
          <w:sz w:val="32"/>
          <w:szCs w:val="32"/>
          <w:highlight w:val="none"/>
        </w:rPr>
      </w:pPr>
      <w:r>
        <w:rPr>
          <w:rFonts w:hint="eastAsia" w:ascii="宋体" w:hAnsi="宋体" w:eastAsia="宋体" w:cs="宋体"/>
          <w:b/>
          <w:bCs/>
          <w:sz w:val="28"/>
          <w:szCs w:val="28"/>
          <w:highlight w:val="none"/>
        </w:rPr>
        <w:t>无效情形：</w:t>
      </w:r>
      <w:r>
        <w:rPr>
          <w:rFonts w:hint="eastAsia" w:ascii="宋体" w:hAnsi="宋体" w:eastAsia="宋体" w:cs="宋体"/>
          <w:sz w:val="24"/>
          <w:highlight w:val="none"/>
        </w:rPr>
        <w:t>本项目发出的采购文件及技术规格书标志均为非密的，供应商递交的应答文件中，凡带有</w:t>
      </w:r>
      <w:r>
        <w:rPr>
          <w:rFonts w:hint="eastAsia" w:ascii="宋体" w:hAnsi="宋体" w:eastAsia="宋体" w:cs="宋体"/>
          <w:b/>
          <w:bCs/>
          <w:sz w:val="24"/>
          <w:highlight w:val="none"/>
          <w:u w:val="single"/>
        </w:rPr>
        <w:t>国家秘密标志（任何含有国家秘密字眼的标志）、工作秘密（敏感信息）标志（含内部、商密等标志），以及包含涉密资质证书等应按密件管理的资料的，评审小组将直接视为应答文件无效，不予澄清。</w:t>
      </w:r>
    </w:p>
    <w:p w14:paraId="5F75490E">
      <w:pPr>
        <w:widowControl/>
        <w:ind w:firstLine="480" w:firstLineChars="200"/>
        <w:jc w:val="left"/>
        <w:rPr>
          <w:rFonts w:cs="黑体" w:asciiTheme="minorEastAsia" w:hAnsiTheme="minorEastAsia"/>
          <w:sz w:val="32"/>
          <w:szCs w:val="32"/>
        </w:rPr>
      </w:pPr>
      <w:r>
        <w:rPr>
          <w:rFonts w:hint="eastAsia" w:ascii="宋体" w:hAnsi="宋体" w:eastAsia="宋体" w:cs="宋体"/>
          <w:sz w:val="24"/>
          <w:highlight w:val="none"/>
        </w:rPr>
        <w:t>中国核工业集团电子采购平台属于公共互联网平台，任何单位及个人严禁在平台上传、提交涉及国家秘密、工作秘密的任何文件及资料。因供应商违规上传、提交涉密文件资料，给采购人、中国核工业集团电子采购平台及我公司造成一切损失及不良后果的，全部由供应商自行承担相应责任及经济赔偿。</w:t>
      </w:r>
      <w:r>
        <w:rPr>
          <w:rFonts w:hint="eastAsia" w:cs="黑体" w:asciiTheme="minorEastAsia" w:hAnsiTheme="minorEastAsia"/>
          <w:sz w:val="32"/>
          <w:szCs w:val="32"/>
        </w:rPr>
        <w:br w:type="page"/>
      </w:r>
    </w:p>
    <w:p w14:paraId="79AE69FF">
      <w:pPr>
        <w:tabs>
          <w:tab w:val="left" w:pos="2999"/>
        </w:tabs>
        <w:spacing w:before="15"/>
        <w:rPr>
          <w:rFonts w:ascii="黑体" w:hAnsi="黑体" w:eastAsia="黑体" w:cs="黑体"/>
          <w:sz w:val="32"/>
          <w:szCs w:val="32"/>
          <w:u w:val="single"/>
        </w:rPr>
      </w:pPr>
      <w:r>
        <w:rPr>
          <w:rFonts w:hint="eastAsia" w:ascii="黑体" w:hAnsi="黑体" w:eastAsia="黑体" w:cs="黑体"/>
          <w:sz w:val="32"/>
          <w:szCs w:val="32"/>
          <w:u w:val="single"/>
        </w:rPr>
        <w:t>密级：XX</w:t>
      </w:r>
    </w:p>
    <w:p w14:paraId="296E03A6">
      <w:pPr>
        <w:tabs>
          <w:tab w:val="left" w:pos="432"/>
        </w:tabs>
        <w:jc w:val="center"/>
        <w:rPr>
          <w:rFonts w:ascii="黑体" w:hAnsi="黑体" w:eastAsia="黑体" w:cs="黑体"/>
          <w:sz w:val="28"/>
          <w:szCs w:val="28"/>
          <w:u w:val="single"/>
        </w:rPr>
      </w:pPr>
    </w:p>
    <w:p w14:paraId="35B07FEB">
      <w:pPr>
        <w:tabs>
          <w:tab w:val="left" w:pos="432"/>
        </w:tabs>
        <w:jc w:val="center"/>
        <w:rPr>
          <w:rFonts w:ascii="黑体" w:hAnsi="黑体" w:eastAsia="黑体" w:cs="黑体"/>
          <w:sz w:val="28"/>
          <w:szCs w:val="28"/>
          <w:u w:val="single"/>
        </w:rPr>
      </w:pPr>
    </w:p>
    <w:p w14:paraId="2B5292CF">
      <w:pPr>
        <w:tabs>
          <w:tab w:val="left" w:pos="432"/>
        </w:tabs>
        <w:jc w:val="center"/>
        <w:rPr>
          <w:rFonts w:cs="黑体" w:asciiTheme="minorEastAsia" w:hAnsiTheme="minorEastAsia"/>
          <w:sz w:val="32"/>
          <w:szCs w:val="32"/>
          <w:u w:val="single"/>
        </w:rPr>
      </w:pPr>
    </w:p>
    <w:p w14:paraId="4A503A10">
      <w:pPr>
        <w:tabs>
          <w:tab w:val="left" w:pos="432"/>
        </w:tabs>
        <w:jc w:val="center"/>
        <w:rPr>
          <w:rFonts w:cs="黑体" w:asciiTheme="minorEastAsia" w:hAnsiTheme="minorEastAsia"/>
          <w:sz w:val="32"/>
          <w:szCs w:val="32"/>
        </w:rPr>
      </w:pPr>
      <w:r>
        <w:rPr>
          <w:rFonts w:cs="黑体" w:asciiTheme="minorEastAsia" w:hAnsiTheme="minorEastAsia"/>
          <w:sz w:val="32"/>
          <w:szCs w:val="32"/>
        </w:rPr>
        <w:t>(项目名称)</w:t>
      </w:r>
    </w:p>
    <w:p w14:paraId="3581A63A">
      <w:pPr>
        <w:tabs>
          <w:tab w:val="left" w:pos="432"/>
        </w:tabs>
        <w:jc w:val="center"/>
        <w:rPr>
          <w:rFonts w:cs="黑体" w:asciiTheme="minorEastAsia" w:hAnsiTheme="minorEastAsia"/>
          <w:sz w:val="32"/>
          <w:szCs w:val="32"/>
        </w:rPr>
      </w:pPr>
      <w:r>
        <w:rPr>
          <w:rFonts w:hint="eastAsia" w:cs="黑体" w:asciiTheme="minorEastAsia" w:hAnsiTheme="minorEastAsia"/>
          <w:sz w:val="32"/>
          <w:szCs w:val="32"/>
        </w:rPr>
        <w:t>谈判采购</w:t>
      </w:r>
      <w:r>
        <w:rPr>
          <w:rFonts w:cs="黑体" w:asciiTheme="minorEastAsia" w:hAnsiTheme="minorEastAsia"/>
          <w:sz w:val="32"/>
          <w:szCs w:val="32"/>
        </w:rPr>
        <w:t>项目</w:t>
      </w:r>
    </w:p>
    <w:p w14:paraId="0B00009D">
      <w:pPr>
        <w:tabs>
          <w:tab w:val="left" w:pos="432"/>
        </w:tabs>
        <w:jc w:val="center"/>
        <w:rPr>
          <w:rFonts w:cs="黑体" w:asciiTheme="minorEastAsia" w:hAnsiTheme="minorEastAsia"/>
          <w:sz w:val="24"/>
        </w:rPr>
      </w:pPr>
    </w:p>
    <w:p w14:paraId="10814DAD">
      <w:pPr>
        <w:spacing w:line="360" w:lineRule="auto"/>
        <w:ind w:left="3" w:right="1"/>
        <w:jc w:val="center"/>
        <w:rPr>
          <w:rFonts w:cs="宋体" w:asciiTheme="minorEastAsia" w:hAnsiTheme="minorEastAsia"/>
          <w:kern w:val="0"/>
          <w:sz w:val="44"/>
          <w:szCs w:val="44"/>
        </w:rPr>
      </w:pPr>
    </w:p>
    <w:p w14:paraId="16D8FAC0">
      <w:pPr>
        <w:spacing w:line="360" w:lineRule="auto"/>
        <w:ind w:left="3" w:right="1"/>
        <w:jc w:val="center"/>
        <w:rPr>
          <w:rFonts w:cs="宋体" w:asciiTheme="minorEastAsia" w:hAnsiTheme="minorEastAsia"/>
          <w:kern w:val="0"/>
          <w:sz w:val="44"/>
          <w:szCs w:val="44"/>
        </w:rPr>
      </w:pPr>
    </w:p>
    <w:p w14:paraId="39A1CB98">
      <w:pPr>
        <w:spacing w:line="360" w:lineRule="auto"/>
        <w:ind w:left="3" w:right="1"/>
        <w:jc w:val="center"/>
        <w:rPr>
          <w:rFonts w:cs="宋体" w:asciiTheme="minorEastAsia" w:hAnsiTheme="minorEastAsia"/>
          <w:kern w:val="0"/>
          <w:sz w:val="44"/>
          <w:szCs w:val="44"/>
        </w:rPr>
      </w:pPr>
      <w:r>
        <w:rPr>
          <w:rFonts w:cs="宋体" w:asciiTheme="minorEastAsia" w:hAnsiTheme="minorEastAsia"/>
          <w:kern w:val="0"/>
          <w:sz w:val="44"/>
          <w:szCs w:val="44"/>
        </w:rPr>
        <w:t>应</w:t>
      </w:r>
      <w:r>
        <w:rPr>
          <w:rFonts w:hint="eastAsia" w:cs="宋体" w:asciiTheme="minorEastAsia" w:hAnsiTheme="minorEastAsia"/>
          <w:kern w:val="0"/>
          <w:sz w:val="44"/>
          <w:szCs w:val="44"/>
        </w:rPr>
        <w:t xml:space="preserve"> 答 </w:t>
      </w:r>
      <w:r>
        <w:rPr>
          <w:rFonts w:cs="宋体" w:asciiTheme="minorEastAsia" w:hAnsiTheme="minorEastAsia"/>
          <w:kern w:val="0"/>
          <w:sz w:val="44"/>
          <w:szCs w:val="44"/>
        </w:rPr>
        <w:t>文件</w:t>
      </w:r>
    </w:p>
    <w:p w14:paraId="2BCE27AF">
      <w:pPr>
        <w:tabs>
          <w:tab w:val="left" w:pos="432"/>
        </w:tabs>
        <w:jc w:val="center"/>
        <w:rPr>
          <w:rFonts w:cs="黑体" w:asciiTheme="minorEastAsia" w:hAnsiTheme="minorEastAsia"/>
          <w:sz w:val="24"/>
        </w:rPr>
      </w:pPr>
    </w:p>
    <w:p w14:paraId="7276B1E7">
      <w:pPr>
        <w:tabs>
          <w:tab w:val="left" w:pos="432"/>
        </w:tabs>
        <w:jc w:val="center"/>
        <w:rPr>
          <w:rFonts w:cs="黑体" w:asciiTheme="minorEastAsia" w:hAnsiTheme="minorEastAsia"/>
          <w:sz w:val="32"/>
          <w:szCs w:val="32"/>
        </w:rPr>
      </w:pPr>
      <w:r>
        <w:rPr>
          <w:rFonts w:hint="eastAsia" w:cs="黑体" w:asciiTheme="minorEastAsia" w:hAnsiTheme="minorEastAsia"/>
          <w:sz w:val="32"/>
          <w:szCs w:val="32"/>
        </w:rPr>
        <w:t>采购编号：</w:t>
      </w:r>
    </w:p>
    <w:p w14:paraId="4FB2B2FF">
      <w:pPr>
        <w:rPr>
          <w:rFonts w:cs="黑体" w:asciiTheme="minorEastAsia" w:hAnsiTheme="minorEastAsia"/>
          <w:sz w:val="24"/>
        </w:rPr>
      </w:pPr>
    </w:p>
    <w:p w14:paraId="16EE764C">
      <w:pPr>
        <w:rPr>
          <w:rFonts w:cs="黑体" w:asciiTheme="minorEastAsia" w:hAnsiTheme="minorEastAsia"/>
          <w:sz w:val="24"/>
        </w:rPr>
      </w:pPr>
    </w:p>
    <w:p w14:paraId="6944B836">
      <w:pPr>
        <w:rPr>
          <w:rFonts w:cs="黑体" w:asciiTheme="minorEastAsia" w:hAnsiTheme="minorEastAsia"/>
          <w:sz w:val="24"/>
        </w:rPr>
      </w:pPr>
    </w:p>
    <w:p w14:paraId="49CC292D">
      <w:pPr>
        <w:rPr>
          <w:rFonts w:cs="黑体" w:asciiTheme="minorEastAsia" w:hAnsiTheme="minorEastAsia"/>
          <w:sz w:val="24"/>
        </w:rPr>
      </w:pPr>
    </w:p>
    <w:p w14:paraId="42ED2C4C">
      <w:pPr>
        <w:rPr>
          <w:rFonts w:cs="黑体" w:asciiTheme="minorEastAsia" w:hAnsiTheme="minorEastAsia"/>
          <w:sz w:val="24"/>
        </w:rPr>
      </w:pPr>
    </w:p>
    <w:p w14:paraId="0A340A63">
      <w:pPr>
        <w:rPr>
          <w:rFonts w:cs="黑体" w:asciiTheme="minorEastAsia" w:hAnsiTheme="minorEastAsia"/>
          <w:sz w:val="24"/>
        </w:rPr>
      </w:pPr>
    </w:p>
    <w:p w14:paraId="705E195D">
      <w:pPr>
        <w:rPr>
          <w:rFonts w:cs="黑体" w:asciiTheme="minorEastAsia" w:hAnsiTheme="minorEastAsia"/>
          <w:sz w:val="24"/>
        </w:rPr>
      </w:pPr>
    </w:p>
    <w:p w14:paraId="64B8D452">
      <w:pPr>
        <w:rPr>
          <w:rFonts w:cs="黑体" w:asciiTheme="minorEastAsia" w:hAnsiTheme="minorEastAsia"/>
          <w:sz w:val="24"/>
        </w:rPr>
      </w:pPr>
    </w:p>
    <w:p w14:paraId="1AAEEE5F">
      <w:pPr>
        <w:rPr>
          <w:rFonts w:cs="黑体" w:asciiTheme="minorEastAsia" w:hAnsiTheme="minorEastAsia"/>
          <w:sz w:val="24"/>
        </w:rPr>
      </w:pPr>
    </w:p>
    <w:p w14:paraId="5365C343">
      <w:pPr>
        <w:rPr>
          <w:rFonts w:cs="黑体" w:asciiTheme="minorEastAsia" w:hAnsiTheme="minorEastAsia"/>
          <w:sz w:val="24"/>
        </w:rPr>
      </w:pPr>
    </w:p>
    <w:p w14:paraId="4903C0EB">
      <w:pPr>
        <w:rPr>
          <w:rFonts w:cs="黑体" w:asciiTheme="minorEastAsia" w:hAnsiTheme="minorEastAsia"/>
          <w:sz w:val="24"/>
        </w:rPr>
      </w:pPr>
    </w:p>
    <w:p w14:paraId="5ACD384F">
      <w:pPr>
        <w:rPr>
          <w:rFonts w:cs="黑体" w:asciiTheme="minorEastAsia" w:hAnsiTheme="minorEastAsia"/>
          <w:sz w:val="24"/>
        </w:rPr>
      </w:pPr>
    </w:p>
    <w:p w14:paraId="745890D7">
      <w:pPr>
        <w:rPr>
          <w:rFonts w:cs="黑体" w:asciiTheme="minorEastAsia" w:hAnsiTheme="minorEastAsia"/>
          <w:sz w:val="24"/>
        </w:rPr>
      </w:pPr>
    </w:p>
    <w:p w14:paraId="27D0745F">
      <w:pPr>
        <w:rPr>
          <w:rFonts w:cs="黑体" w:asciiTheme="minorEastAsia" w:hAnsiTheme="minorEastAsia"/>
          <w:sz w:val="24"/>
        </w:rPr>
      </w:pPr>
    </w:p>
    <w:p w14:paraId="197A5C2B">
      <w:pPr>
        <w:rPr>
          <w:rFonts w:cs="黑体" w:asciiTheme="minorEastAsia" w:hAnsiTheme="minorEastAsia"/>
          <w:sz w:val="24"/>
        </w:rPr>
      </w:pPr>
    </w:p>
    <w:p w14:paraId="7FB17D57">
      <w:pPr>
        <w:spacing w:line="360" w:lineRule="auto"/>
        <w:rPr>
          <w:rFonts w:cs="黑体" w:asciiTheme="minorEastAsia" w:hAnsiTheme="minorEastAsia"/>
          <w:sz w:val="24"/>
        </w:rPr>
      </w:pPr>
    </w:p>
    <w:p w14:paraId="3DC01F4F">
      <w:pPr>
        <w:spacing w:line="360" w:lineRule="auto"/>
        <w:ind w:firstLine="1680" w:firstLineChars="700"/>
        <w:jc w:val="center"/>
        <w:rPr>
          <w:rFonts w:cs="黑体" w:asciiTheme="minorEastAsia" w:hAnsiTheme="minorEastAsia"/>
          <w:sz w:val="24"/>
        </w:rPr>
      </w:pPr>
      <w:r>
        <w:rPr>
          <w:rFonts w:hint="eastAsia" w:cs="黑体" w:asciiTheme="minorEastAsia" w:hAnsiTheme="minorEastAsia"/>
          <w:sz w:val="24"/>
        </w:rPr>
        <w:t>供应商</w:t>
      </w:r>
      <w:r>
        <w:rPr>
          <w:rFonts w:cs="黑体" w:asciiTheme="minorEastAsia" w:hAnsiTheme="minorEastAsia"/>
          <w:sz w:val="24"/>
        </w:rPr>
        <w:t>：（盖单位章）</w:t>
      </w:r>
    </w:p>
    <w:p w14:paraId="108695F0">
      <w:pPr>
        <w:spacing w:line="360" w:lineRule="auto"/>
        <w:ind w:firstLine="1680" w:firstLineChars="700"/>
        <w:jc w:val="center"/>
        <w:rPr>
          <w:rFonts w:cs="黑体" w:asciiTheme="minorEastAsia" w:hAnsiTheme="minorEastAsia"/>
          <w:sz w:val="24"/>
        </w:rPr>
      </w:pPr>
      <w:r>
        <w:rPr>
          <w:rFonts w:cs="黑体" w:asciiTheme="minorEastAsia" w:hAnsiTheme="minorEastAsia"/>
          <w:sz w:val="24"/>
        </w:rPr>
        <w:t>法定代表人（单位负责人）或其委托代理人：（签字或</w:t>
      </w:r>
      <w:r>
        <w:rPr>
          <w:rFonts w:hint="eastAsia" w:cs="黑体" w:asciiTheme="minorEastAsia" w:hAnsiTheme="minorEastAsia"/>
          <w:sz w:val="24"/>
        </w:rPr>
        <w:t>盖章</w:t>
      </w:r>
      <w:r>
        <w:rPr>
          <w:rFonts w:cs="黑体" w:asciiTheme="minorEastAsia" w:hAnsiTheme="minorEastAsia"/>
          <w:sz w:val="24"/>
        </w:rPr>
        <w:t>）</w:t>
      </w:r>
    </w:p>
    <w:p w14:paraId="39DB2E60">
      <w:pPr>
        <w:spacing w:line="360" w:lineRule="auto"/>
        <w:ind w:right="360" w:firstLine="1680" w:firstLineChars="700"/>
        <w:jc w:val="center"/>
        <w:rPr>
          <w:rFonts w:cs="黑体" w:asciiTheme="minorEastAsia" w:hAnsiTheme="minorEastAsia"/>
          <w:sz w:val="24"/>
        </w:rPr>
      </w:pPr>
      <w:r>
        <w:rPr>
          <w:rFonts w:cs="黑体" w:asciiTheme="minorEastAsia" w:hAnsiTheme="minorEastAsia"/>
          <w:sz w:val="24"/>
        </w:rPr>
        <w:t>年月 日</w:t>
      </w:r>
    </w:p>
    <w:p w14:paraId="581418CE">
      <w:pPr>
        <w:pStyle w:val="6"/>
        <w:ind w:firstLine="482" w:firstLineChars="200"/>
      </w:pPr>
      <w:r>
        <w:rPr>
          <w:rFonts w:hint="eastAsia"/>
        </w:rPr>
        <w:t>目录</w:t>
      </w:r>
    </w:p>
    <w:p w14:paraId="6725F64C">
      <w:pPr>
        <w:spacing w:line="360" w:lineRule="auto"/>
        <w:ind w:firstLine="480" w:firstLineChars="200"/>
        <w:rPr>
          <w:rFonts w:cs="黑体" w:asciiTheme="minorEastAsia" w:hAnsiTheme="minorEastAsia"/>
          <w:sz w:val="24"/>
        </w:rPr>
      </w:pPr>
      <w:r>
        <w:rPr>
          <w:rFonts w:cs="黑体" w:asciiTheme="minorEastAsia" w:hAnsiTheme="minorEastAsia"/>
          <w:sz w:val="24"/>
        </w:rPr>
        <w:t>一、</w:t>
      </w:r>
      <w:r>
        <w:rPr>
          <w:rFonts w:hint="eastAsia" w:cs="黑体" w:asciiTheme="minorEastAsia" w:hAnsiTheme="minorEastAsia"/>
          <w:sz w:val="24"/>
        </w:rPr>
        <w:t>应答函</w:t>
      </w:r>
    </w:p>
    <w:p w14:paraId="37AC7D2F">
      <w:pPr>
        <w:spacing w:line="360" w:lineRule="auto"/>
        <w:ind w:firstLine="480" w:firstLineChars="200"/>
        <w:rPr>
          <w:rFonts w:cs="黑体" w:asciiTheme="minorEastAsia" w:hAnsiTheme="minorEastAsia"/>
          <w:sz w:val="24"/>
        </w:rPr>
      </w:pPr>
      <w:r>
        <w:rPr>
          <w:rFonts w:hint="eastAsia" w:cs="黑体" w:asciiTheme="minorEastAsia" w:hAnsiTheme="minorEastAsia"/>
          <w:sz w:val="24"/>
        </w:rPr>
        <w:t>二、法定代表人（单位负责人）身份证明</w:t>
      </w:r>
      <w:r>
        <w:rPr>
          <w:rFonts w:asciiTheme="minorEastAsia" w:hAnsiTheme="minorEastAsia"/>
          <w:sz w:val="24"/>
        </w:rPr>
        <w:t>（适用于无委托代理人的情况）</w:t>
      </w:r>
    </w:p>
    <w:p w14:paraId="03F30404">
      <w:pPr>
        <w:spacing w:line="360" w:lineRule="auto"/>
        <w:ind w:firstLine="480" w:firstLineChars="200"/>
        <w:rPr>
          <w:rFonts w:cs="黑体" w:asciiTheme="minorEastAsia" w:hAnsiTheme="minorEastAsia"/>
          <w:sz w:val="24"/>
        </w:rPr>
      </w:pPr>
      <w:r>
        <w:rPr>
          <w:rFonts w:cs="黑体" w:asciiTheme="minorEastAsia" w:hAnsiTheme="minorEastAsia"/>
          <w:sz w:val="24"/>
        </w:rPr>
        <w:t>二、授权委托书(适用于有委托代理人的情况)</w:t>
      </w:r>
    </w:p>
    <w:p w14:paraId="6F2B4D21">
      <w:pPr>
        <w:spacing w:line="360" w:lineRule="auto"/>
        <w:ind w:firstLine="480" w:firstLineChars="200"/>
        <w:rPr>
          <w:rFonts w:cs="黑体" w:asciiTheme="minorEastAsia" w:hAnsiTheme="minorEastAsia"/>
          <w:sz w:val="24"/>
        </w:rPr>
      </w:pPr>
      <w:r>
        <w:rPr>
          <w:rFonts w:cs="黑体" w:asciiTheme="minorEastAsia" w:hAnsiTheme="minorEastAsia"/>
          <w:sz w:val="24"/>
        </w:rPr>
        <w:t>三、联合体协议书(适用于供应商组成联合体的情况)</w:t>
      </w:r>
    </w:p>
    <w:p w14:paraId="1D2AFC2A">
      <w:pPr>
        <w:spacing w:line="360" w:lineRule="auto"/>
        <w:ind w:firstLine="480" w:firstLineChars="200"/>
        <w:rPr>
          <w:rFonts w:cs="黑体" w:asciiTheme="minorEastAsia" w:hAnsiTheme="minorEastAsia"/>
          <w:sz w:val="24"/>
        </w:rPr>
      </w:pPr>
      <w:r>
        <w:rPr>
          <w:rFonts w:cs="黑体" w:asciiTheme="minorEastAsia" w:hAnsiTheme="minorEastAsia"/>
          <w:sz w:val="24"/>
        </w:rPr>
        <w:t>四、</w:t>
      </w:r>
      <w:r>
        <w:rPr>
          <w:rFonts w:hint="eastAsia" w:cs="黑体" w:asciiTheme="minorEastAsia" w:hAnsiTheme="minorEastAsia"/>
          <w:sz w:val="24"/>
        </w:rPr>
        <w:t>应答保证金</w:t>
      </w:r>
      <w:r>
        <w:rPr>
          <w:rFonts w:cs="黑体" w:asciiTheme="minorEastAsia" w:hAnsiTheme="minorEastAsia"/>
          <w:sz w:val="24"/>
        </w:rPr>
        <w:t>(适用于提交</w:t>
      </w:r>
      <w:r>
        <w:rPr>
          <w:rFonts w:hint="eastAsia" w:cs="黑体" w:asciiTheme="minorEastAsia" w:hAnsiTheme="minorEastAsia"/>
          <w:sz w:val="24"/>
        </w:rPr>
        <w:t>应答保证金</w:t>
      </w:r>
      <w:r>
        <w:rPr>
          <w:rFonts w:cs="黑体" w:asciiTheme="minorEastAsia" w:hAnsiTheme="minorEastAsia"/>
          <w:sz w:val="24"/>
        </w:rPr>
        <w:t>的情况)</w:t>
      </w:r>
    </w:p>
    <w:p w14:paraId="137EF6CE">
      <w:pPr>
        <w:spacing w:line="360" w:lineRule="auto"/>
        <w:ind w:firstLine="480" w:firstLineChars="200"/>
        <w:rPr>
          <w:rFonts w:cs="黑体" w:asciiTheme="minorEastAsia" w:hAnsiTheme="minorEastAsia"/>
          <w:sz w:val="24"/>
        </w:rPr>
      </w:pPr>
      <w:r>
        <w:rPr>
          <w:rFonts w:cs="黑体" w:asciiTheme="minorEastAsia" w:hAnsiTheme="minorEastAsia"/>
          <w:sz w:val="24"/>
        </w:rPr>
        <w:t>五、商务和技术偏差表</w:t>
      </w:r>
    </w:p>
    <w:p w14:paraId="4614D6A8">
      <w:pPr>
        <w:spacing w:line="360" w:lineRule="auto"/>
        <w:ind w:firstLine="480" w:firstLineChars="200"/>
        <w:rPr>
          <w:rFonts w:cs="黑体" w:asciiTheme="minorEastAsia" w:hAnsiTheme="minorEastAsia"/>
          <w:sz w:val="24"/>
        </w:rPr>
      </w:pPr>
      <w:r>
        <w:rPr>
          <w:rFonts w:cs="黑体" w:asciiTheme="minorEastAsia" w:hAnsiTheme="minorEastAsia"/>
          <w:sz w:val="24"/>
        </w:rPr>
        <w:t>六、报价表</w:t>
      </w:r>
    </w:p>
    <w:p w14:paraId="3C2590D1">
      <w:pPr>
        <w:spacing w:line="360" w:lineRule="auto"/>
        <w:ind w:firstLine="480" w:firstLineChars="200"/>
        <w:rPr>
          <w:rFonts w:cs="黑体" w:asciiTheme="minorEastAsia" w:hAnsiTheme="minorEastAsia"/>
          <w:sz w:val="24"/>
        </w:rPr>
      </w:pPr>
      <w:r>
        <w:rPr>
          <w:rFonts w:cs="黑体" w:asciiTheme="minorEastAsia" w:hAnsiTheme="minorEastAsia"/>
          <w:sz w:val="24"/>
        </w:rPr>
        <w:t>七、资格审查资料</w:t>
      </w:r>
    </w:p>
    <w:p w14:paraId="77EEFD28">
      <w:pPr>
        <w:spacing w:line="360" w:lineRule="auto"/>
        <w:ind w:firstLine="480" w:firstLineChars="200"/>
        <w:rPr>
          <w:rFonts w:cs="黑体" w:asciiTheme="minorEastAsia" w:hAnsiTheme="minorEastAsia"/>
          <w:sz w:val="24"/>
        </w:rPr>
      </w:pPr>
      <w:r>
        <w:rPr>
          <w:rFonts w:cs="黑体" w:asciiTheme="minorEastAsia" w:hAnsiTheme="minorEastAsia"/>
          <w:sz w:val="24"/>
        </w:rPr>
        <w:t>八、</w:t>
      </w:r>
      <w:r>
        <w:rPr>
          <w:rFonts w:hint="eastAsia" w:cs="黑体" w:asciiTheme="minorEastAsia" w:hAnsiTheme="minorEastAsia"/>
          <w:sz w:val="24"/>
        </w:rPr>
        <w:t>应答方案</w:t>
      </w:r>
    </w:p>
    <w:p w14:paraId="14413F54">
      <w:pPr>
        <w:spacing w:line="360" w:lineRule="auto"/>
        <w:ind w:firstLine="480" w:firstLineChars="200"/>
        <w:rPr>
          <w:rFonts w:cs="黑体" w:asciiTheme="minorEastAsia" w:hAnsiTheme="minorEastAsia"/>
          <w:sz w:val="24"/>
        </w:rPr>
      </w:pPr>
      <w:r>
        <w:rPr>
          <w:rFonts w:cs="黑体" w:asciiTheme="minorEastAsia" w:hAnsiTheme="minorEastAsia"/>
          <w:sz w:val="24"/>
        </w:rPr>
        <w:t>九、其他资料</w:t>
      </w:r>
    </w:p>
    <w:p w14:paraId="73804049">
      <w:pPr>
        <w:widowControl/>
        <w:ind w:firstLine="880" w:firstLineChars="200"/>
        <w:jc w:val="left"/>
        <w:rPr>
          <w:rFonts w:cs="黑体" w:asciiTheme="minorEastAsia" w:hAnsiTheme="minorEastAsia"/>
          <w:sz w:val="44"/>
          <w:szCs w:val="44"/>
        </w:rPr>
      </w:pPr>
      <w:r>
        <w:rPr>
          <w:rFonts w:cs="黑体" w:asciiTheme="minorEastAsia" w:hAnsiTheme="minorEastAsia"/>
          <w:sz w:val="44"/>
          <w:szCs w:val="44"/>
        </w:rPr>
        <w:br w:type="page"/>
      </w:r>
    </w:p>
    <w:p w14:paraId="4444092A">
      <w:pPr>
        <w:pStyle w:val="6"/>
        <w:ind w:firstLine="482" w:firstLineChars="200"/>
      </w:pPr>
      <w:r>
        <w:t>一</w:t>
      </w:r>
      <w:r>
        <w:rPr>
          <w:rFonts w:hint="eastAsia"/>
        </w:rPr>
        <w:t>、应答函</w:t>
      </w:r>
    </w:p>
    <w:p w14:paraId="6F0EBF07">
      <w:pPr>
        <w:spacing w:line="360" w:lineRule="auto"/>
        <w:ind w:firstLine="480" w:firstLineChars="200"/>
        <w:rPr>
          <w:rFonts w:cs="黑体" w:asciiTheme="minorEastAsia" w:hAnsiTheme="minorEastAsia"/>
          <w:sz w:val="24"/>
        </w:rPr>
      </w:pPr>
      <w:r>
        <w:rPr>
          <w:rFonts w:cs="黑体" w:asciiTheme="minorEastAsia" w:hAnsiTheme="minorEastAsia"/>
          <w:sz w:val="24"/>
        </w:rPr>
        <w:t>(</w:t>
      </w:r>
      <w:r>
        <w:rPr>
          <w:rFonts w:hint="eastAsia" w:cs="黑体" w:asciiTheme="minorEastAsia" w:hAnsiTheme="minorEastAsia"/>
          <w:sz w:val="24"/>
        </w:rPr>
        <w:t>采购单位</w:t>
      </w:r>
      <w:r>
        <w:rPr>
          <w:rFonts w:cs="黑体" w:asciiTheme="minorEastAsia" w:hAnsiTheme="minorEastAsia"/>
          <w:sz w:val="24"/>
        </w:rPr>
        <w:t xml:space="preserve">名称) </w:t>
      </w:r>
      <w:r>
        <w:rPr>
          <w:rFonts w:hint="eastAsia" w:cs="黑体" w:asciiTheme="minorEastAsia" w:hAnsiTheme="minorEastAsia"/>
          <w:sz w:val="24"/>
        </w:rPr>
        <w:t>：</w:t>
      </w:r>
    </w:p>
    <w:p w14:paraId="38E689F6">
      <w:pPr>
        <w:spacing w:line="360" w:lineRule="auto"/>
        <w:ind w:firstLine="480" w:firstLineChars="200"/>
        <w:rPr>
          <w:rFonts w:cs="黑体" w:asciiTheme="minorEastAsia" w:hAnsiTheme="minorEastAsia"/>
          <w:sz w:val="24"/>
        </w:rPr>
      </w:pPr>
      <w:r>
        <w:rPr>
          <w:rFonts w:cs="黑体" w:asciiTheme="minorEastAsia" w:hAnsiTheme="minorEastAsia"/>
          <w:sz w:val="24"/>
        </w:rPr>
        <w:t>1.我方已仔细研究了(项目名称)采购文件的全部内容，愿意以含税价人民币(大写)</w:t>
      </w:r>
      <w:r>
        <w:rPr>
          <w:rFonts w:hint="eastAsia" w:cs="黑体" w:asciiTheme="minorEastAsia" w:hAnsiTheme="minorEastAsia"/>
          <w:sz w:val="24"/>
        </w:rPr>
        <w:t>（¥</w:t>
      </w:r>
      <w:r>
        <w:rPr>
          <w:rFonts w:cs="黑体" w:asciiTheme="minorEastAsia" w:hAnsiTheme="minorEastAsia"/>
          <w:sz w:val="24"/>
        </w:rPr>
        <w:t>)的报价(其中</w:t>
      </w:r>
      <w:r>
        <w:rPr>
          <w:rFonts w:hint="eastAsia" w:cs="黑体" w:asciiTheme="minorEastAsia" w:hAnsiTheme="minorEastAsia"/>
          <w:sz w:val="24"/>
        </w:rPr>
        <w:t>：服务</w:t>
      </w:r>
      <w:r>
        <w:rPr>
          <w:rFonts w:cs="黑体" w:asciiTheme="minorEastAsia" w:hAnsiTheme="minorEastAsia"/>
          <w:sz w:val="24"/>
        </w:rPr>
        <w:t>期为</w:t>
      </w:r>
      <w:r>
        <w:rPr>
          <w:rFonts w:hint="eastAsia" w:cs="黑体" w:asciiTheme="minorEastAsia" w:hAnsiTheme="minorEastAsia"/>
          <w:sz w:val="24"/>
        </w:rPr>
        <w:t>，服务</w:t>
      </w:r>
      <w:r>
        <w:rPr>
          <w:rFonts w:cs="黑体" w:asciiTheme="minorEastAsia" w:hAnsiTheme="minorEastAsia"/>
          <w:sz w:val="24"/>
        </w:rPr>
        <w:t>地点为</w:t>
      </w:r>
      <w:r>
        <w:rPr>
          <w:rFonts w:hint="eastAsia" w:cs="黑体" w:asciiTheme="minorEastAsia" w:hAnsiTheme="minorEastAsia"/>
          <w:sz w:val="24"/>
        </w:rPr>
        <w:t>：</w:t>
      </w:r>
      <w:r>
        <w:rPr>
          <w:rFonts w:cs="黑体" w:asciiTheme="minorEastAsia" w:hAnsiTheme="minorEastAsia"/>
          <w:sz w:val="24"/>
        </w:rPr>
        <w:t>)提供本项目</w:t>
      </w:r>
      <w:r>
        <w:rPr>
          <w:rFonts w:hint="eastAsia" w:cs="黑体" w:asciiTheme="minorEastAsia" w:hAnsiTheme="minorEastAsia"/>
          <w:sz w:val="24"/>
        </w:rPr>
        <w:t>服务</w:t>
      </w:r>
      <w:r>
        <w:rPr>
          <w:rFonts w:cs="黑体" w:asciiTheme="minorEastAsia" w:hAnsiTheme="minorEastAsia"/>
          <w:sz w:val="24"/>
        </w:rPr>
        <w:t>，并按合同约定履行义务。</w:t>
      </w:r>
    </w:p>
    <w:p w14:paraId="39C640F9">
      <w:pPr>
        <w:spacing w:line="360" w:lineRule="auto"/>
        <w:ind w:firstLine="480" w:firstLineChars="200"/>
        <w:rPr>
          <w:rFonts w:cs="黑体" w:asciiTheme="minorEastAsia" w:hAnsiTheme="minorEastAsia"/>
          <w:sz w:val="24"/>
        </w:rPr>
      </w:pPr>
      <w:r>
        <w:rPr>
          <w:rFonts w:cs="黑体" w:asciiTheme="minorEastAsia" w:hAnsiTheme="minorEastAsia"/>
          <w:sz w:val="24"/>
        </w:rPr>
        <w:t>2.我方的</w:t>
      </w:r>
      <w:r>
        <w:rPr>
          <w:rFonts w:hint="eastAsia" w:cs="黑体" w:asciiTheme="minorEastAsia" w:hAnsiTheme="minorEastAsia"/>
          <w:sz w:val="24"/>
        </w:rPr>
        <w:t>应答文件</w:t>
      </w:r>
      <w:r>
        <w:rPr>
          <w:rFonts w:cs="黑体" w:asciiTheme="minorEastAsia" w:hAnsiTheme="minorEastAsia"/>
          <w:sz w:val="24"/>
        </w:rPr>
        <w:t>包括下列内容</w:t>
      </w:r>
      <w:r>
        <w:rPr>
          <w:rFonts w:hint="eastAsia" w:cs="黑体" w:asciiTheme="minorEastAsia" w:hAnsiTheme="minorEastAsia"/>
          <w:sz w:val="24"/>
        </w:rPr>
        <w:t>：</w:t>
      </w:r>
    </w:p>
    <w:p w14:paraId="2721E913">
      <w:pPr>
        <w:spacing w:line="360" w:lineRule="auto"/>
        <w:ind w:firstLine="480" w:firstLineChars="200"/>
        <w:rPr>
          <w:rFonts w:cs="黑体" w:asciiTheme="minorEastAsia" w:hAnsiTheme="minorEastAsia"/>
          <w:sz w:val="24"/>
        </w:rPr>
      </w:pPr>
      <w:r>
        <w:rPr>
          <w:rFonts w:cs="黑体" w:asciiTheme="minorEastAsia" w:hAnsiTheme="minorEastAsia"/>
          <w:sz w:val="24"/>
        </w:rPr>
        <w:t>(1)</w:t>
      </w:r>
      <w:r>
        <w:rPr>
          <w:rFonts w:hint="eastAsia" w:cs="黑体" w:asciiTheme="minorEastAsia" w:hAnsiTheme="minorEastAsia"/>
          <w:sz w:val="24"/>
        </w:rPr>
        <w:t>应答函；</w:t>
      </w:r>
    </w:p>
    <w:p w14:paraId="08029DF0">
      <w:pPr>
        <w:spacing w:line="360" w:lineRule="auto"/>
        <w:ind w:firstLine="480" w:firstLineChars="200"/>
        <w:rPr>
          <w:rFonts w:cs="黑体" w:asciiTheme="minorEastAsia" w:hAnsiTheme="minorEastAsia"/>
          <w:sz w:val="24"/>
        </w:rPr>
      </w:pPr>
      <w:r>
        <w:rPr>
          <w:rFonts w:hint="eastAsia" w:cs="黑体" w:asciiTheme="minorEastAsia" w:hAnsiTheme="minorEastAsia"/>
          <w:sz w:val="24"/>
        </w:rPr>
        <w:t>(2)法定代表人（单位负责人）身份证明</w:t>
      </w:r>
      <w:r>
        <w:rPr>
          <w:rFonts w:asciiTheme="minorEastAsia" w:hAnsiTheme="minorEastAsia"/>
          <w:sz w:val="24"/>
        </w:rPr>
        <w:t>（</w:t>
      </w:r>
      <w:r>
        <w:rPr>
          <w:rFonts w:hint="eastAsia" w:asciiTheme="minorEastAsia" w:hAnsiTheme="minorEastAsia"/>
          <w:sz w:val="24"/>
        </w:rPr>
        <w:t>如有</w:t>
      </w:r>
      <w:r>
        <w:rPr>
          <w:rFonts w:asciiTheme="minorEastAsia" w:hAnsiTheme="minorEastAsia"/>
          <w:sz w:val="24"/>
        </w:rPr>
        <w:t>）</w:t>
      </w:r>
      <w:r>
        <w:rPr>
          <w:rFonts w:hint="eastAsia" w:asciiTheme="minorEastAsia" w:hAnsiTheme="minorEastAsia"/>
          <w:sz w:val="24"/>
        </w:rPr>
        <w:t>；</w:t>
      </w:r>
    </w:p>
    <w:p w14:paraId="79016D6A">
      <w:pPr>
        <w:spacing w:line="360" w:lineRule="auto"/>
        <w:ind w:firstLine="480" w:firstLineChars="200"/>
        <w:rPr>
          <w:rFonts w:cs="黑体" w:asciiTheme="minorEastAsia" w:hAnsiTheme="minorEastAsia"/>
          <w:sz w:val="24"/>
        </w:rPr>
      </w:pPr>
      <w:r>
        <w:rPr>
          <w:rFonts w:cs="黑体" w:asciiTheme="minorEastAsia" w:hAnsiTheme="minorEastAsia"/>
          <w:sz w:val="24"/>
        </w:rPr>
        <w:t>(2)授权委托书(如有)</w:t>
      </w:r>
      <w:r>
        <w:rPr>
          <w:rFonts w:hint="eastAsia" w:cs="黑体" w:asciiTheme="minorEastAsia" w:hAnsiTheme="minorEastAsia"/>
          <w:sz w:val="24"/>
        </w:rPr>
        <w:t>；</w:t>
      </w:r>
    </w:p>
    <w:p w14:paraId="2F9B596D">
      <w:pPr>
        <w:spacing w:line="360" w:lineRule="auto"/>
        <w:ind w:firstLine="480" w:firstLineChars="200"/>
        <w:rPr>
          <w:rFonts w:cs="黑体" w:asciiTheme="minorEastAsia" w:hAnsiTheme="minorEastAsia"/>
          <w:sz w:val="24"/>
        </w:rPr>
      </w:pPr>
      <w:r>
        <w:rPr>
          <w:rFonts w:cs="黑体" w:asciiTheme="minorEastAsia" w:hAnsiTheme="minorEastAsia"/>
          <w:sz w:val="24"/>
        </w:rPr>
        <w:t>(3)联合体协议书(如有)</w:t>
      </w:r>
      <w:r>
        <w:rPr>
          <w:rFonts w:hint="eastAsia" w:cs="黑体" w:asciiTheme="minorEastAsia" w:hAnsiTheme="minorEastAsia"/>
          <w:sz w:val="24"/>
        </w:rPr>
        <w:t>；</w:t>
      </w:r>
    </w:p>
    <w:p w14:paraId="7D67F1B7">
      <w:pPr>
        <w:spacing w:line="360" w:lineRule="auto"/>
        <w:ind w:firstLine="480" w:firstLineChars="200"/>
        <w:rPr>
          <w:rFonts w:cs="黑体" w:asciiTheme="minorEastAsia" w:hAnsiTheme="minorEastAsia"/>
          <w:sz w:val="24"/>
        </w:rPr>
      </w:pPr>
      <w:r>
        <w:rPr>
          <w:rFonts w:cs="黑体" w:asciiTheme="minorEastAsia" w:hAnsiTheme="minorEastAsia"/>
          <w:sz w:val="24"/>
        </w:rPr>
        <w:t>(4)</w:t>
      </w:r>
      <w:r>
        <w:rPr>
          <w:rFonts w:hint="eastAsia" w:cs="黑体" w:asciiTheme="minorEastAsia" w:hAnsiTheme="minorEastAsia"/>
          <w:sz w:val="24"/>
        </w:rPr>
        <w:t>应答保证金</w:t>
      </w:r>
      <w:r>
        <w:rPr>
          <w:rFonts w:cs="黑体" w:asciiTheme="minorEastAsia" w:hAnsiTheme="minorEastAsia"/>
          <w:sz w:val="24"/>
        </w:rPr>
        <w:t>(如有)</w:t>
      </w:r>
      <w:r>
        <w:rPr>
          <w:rFonts w:hint="eastAsia" w:cs="黑体" w:asciiTheme="minorEastAsia" w:hAnsiTheme="minorEastAsia"/>
          <w:sz w:val="24"/>
        </w:rPr>
        <w:t>；</w:t>
      </w:r>
    </w:p>
    <w:p w14:paraId="397D1ABC">
      <w:pPr>
        <w:spacing w:line="360" w:lineRule="auto"/>
        <w:ind w:firstLine="480" w:firstLineChars="200"/>
        <w:rPr>
          <w:rFonts w:cs="黑体" w:asciiTheme="minorEastAsia" w:hAnsiTheme="minorEastAsia"/>
          <w:sz w:val="24"/>
        </w:rPr>
      </w:pPr>
      <w:r>
        <w:rPr>
          <w:rFonts w:cs="黑体" w:asciiTheme="minorEastAsia" w:hAnsiTheme="minorEastAsia"/>
          <w:sz w:val="24"/>
        </w:rPr>
        <w:t>(5)商务和技术偏差表</w:t>
      </w:r>
      <w:r>
        <w:rPr>
          <w:rFonts w:hint="eastAsia" w:cs="黑体" w:asciiTheme="minorEastAsia" w:hAnsiTheme="minorEastAsia"/>
          <w:sz w:val="24"/>
        </w:rPr>
        <w:t>；</w:t>
      </w:r>
    </w:p>
    <w:p w14:paraId="23ECBCB2">
      <w:pPr>
        <w:spacing w:line="360" w:lineRule="auto"/>
        <w:ind w:firstLine="480" w:firstLineChars="200"/>
        <w:rPr>
          <w:rFonts w:cs="黑体" w:asciiTheme="minorEastAsia" w:hAnsiTheme="minorEastAsia"/>
          <w:sz w:val="24"/>
        </w:rPr>
      </w:pPr>
      <w:r>
        <w:rPr>
          <w:rFonts w:cs="黑体" w:asciiTheme="minorEastAsia" w:hAnsiTheme="minorEastAsia"/>
          <w:sz w:val="24"/>
        </w:rPr>
        <w:t>(6)报价表</w:t>
      </w:r>
      <w:r>
        <w:rPr>
          <w:rFonts w:hint="eastAsia" w:cs="黑体" w:asciiTheme="minorEastAsia" w:hAnsiTheme="minorEastAsia"/>
          <w:sz w:val="24"/>
        </w:rPr>
        <w:t>；</w:t>
      </w:r>
    </w:p>
    <w:p w14:paraId="3120EA6F">
      <w:pPr>
        <w:spacing w:line="360" w:lineRule="auto"/>
        <w:ind w:firstLine="480" w:firstLineChars="200"/>
        <w:rPr>
          <w:rFonts w:cs="黑体" w:asciiTheme="minorEastAsia" w:hAnsiTheme="minorEastAsia"/>
          <w:sz w:val="24"/>
        </w:rPr>
      </w:pPr>
      <w:r>
        <w:rPr>
          <w:rFonts w:cs="黑体" w:asciiTheme="minorEastAsia" w:hAnsiTheme="minorEastAsia"/>
          <w:sz w:val="24"/>
        </w:rPr>
        <w:t>(7)资格审查资料</w:t>
      </w:r>
      <w:r>
        <w:rPr>
          <w:rFonts w:hint="eastAsia" w:cs="黑体" w:asciiTheme="minorEastAsia" w:hAnsiTheme="minorEastAsia"/>
          <w:sz w:val="24"/>
        </w:rPr>
        <w:t>；</w:t>
      </w:r>
    </w:p>
    <w:p w14:paraId="79090B17">
      <w:pPr>
        <w:spacing w:line="360" w:lineRule="auto"/>
        <w:ind w:firstLine="480" w:firstLineChars="200"/>
        <w:rPr>
          <w:rFonts w:cs="黑体" w:asciiTheme="minorEastAsia" w:hAnsiTheme="minorEastAsia"/>
          <w:sz w:val="24"/>
        </w:rPr>
      </w:pPr>
      <w:r>
        <w:rPr>
          <w:rFonts w:cs="黑体" w:asciiTheme="minorEastAsia" w:hAnsiTheme="minorEastAsia"/>
          <w:sz w:val="24"/>
        </w:rPr>
        <w:t>(8)</w:t>
      </w:r>
      <w:r>
        <w:rPr>
          <w:rFonts w:hint="eastAsia" w:cs="黑体" w:asciiTheme="minorEastAsia" w:hAnsiTheme="minorEastAsia"/>
          <w:sz w:val="24"/>
        </w:rPr>
        <w:t>应答方案；</w:t>
      </w:r>
    </w:p>
    <w:p w14:paraId="6409E26A">
      <w:pPr>
        <w:spacing w:line="360" w:lineRule="auto"/>
        <w:ind w:firstLine="480" w:firstLineChars="200"/>
        <w:rPr>
          <w:rFonts w:cs="黑体" w:asciiTheme="minorEastAsia" w:hAnsiTheme="minorEastAsia"/>
          <w:sz w:val="24"/>
        </w:rPr>
      </w:pPr>
      <w:r>
        <w:rPr>
          <w:rFonts w:hint="eastAsia" w:cs="黑体" w:asciiTheme="minorEastAsia" w:hAnsiTheme="minorEastAsia"/>
          <w:sz w:val="24"/>
        </w:rPr>
        <w:t>......</w:t>
      </w:r>
    </w:p>
    <w:p w14:paraId="4714C30B">
      <w:pPr>
        <w:spacing w:line="360" w:lineRule="auto"/>
        <w:ind w:firstLine="480" w:firstLineChars="200"/>
        <w:rPr>
          <w:rFonts w:cs="黑体" w:asciiTheme="minorEastAsia" w:hAnsiTheme="minorEastAsia"/>
          <w:sz w:val="24"/>
        </w:rPr>
      </w:pPr>
      <w:r>
        <w:rPr>
          <w:rFonts w:cs="黑体" w:asciiTheme="minorEastAsia" w:hAnsiTheme="minorEastAsia"/>
          <w:sz w:val="24"/>
        </w:rPr>
        <w:t>3</w:t>
      </w:r>
      <w:r>
        <w:rPr>
          <w:rFonts w:hint="eastAsia" w:cs="黑体" w:asciiTheme="minorEastAsia" w:hAnsiTheme="minorEastAsia"/>
          <w:sz w:val="24"/>
        </w:rPr>
        <w:t>.</w:t>
      </w:r>
      <w:r>
        <w:rPr>
          <w:rFonts w:cs="黑体" w:asciiTheme="minorEastAsia" w:hAnsiTheme="minorEastAsia"/>
          <w:sz w:val="24"/>
        </w:rPr>
        <w:t>我方承</w:t>
      </w:r>
      <w:r>
        <w:rPr>
          <w:rFonts w:hint="eastAsia" w:cs="黑体" w:asciiTheme="minorEastAsia" w:hAnsiTheme="minorEastAsia"/>
          <w:sz w:val="24"/>
        </w:rPr>
        <w:t>诺</w:t>
      </w:r>
      <w:r>
        <w:rPr>
          <w:rFonts w:cs="黑体" w:asciiTheme="minorEastAsia" w:hAnsiTheme="minorEastAsia"/>
          <w:sz w:val="24"/>
        </w:rPr>
        <w:t>除商务和技术偏差表列出的偏差外，我方响应采购文件的全部要求。</w:t>
      </w:r>
    </w:p>
    <w:p w14:paraId="5B911F77">
      <w:pPr>
        <w:spacing w:line="360" w:lineRule="auto"/>
        <w:ind w:firstLine="480" w:firstLineChars="200"/>
        <w:rPr>
          <w:rFonts w:cs="黑体" w:asciiTheme="minorEastAsia" w:hAnsiTheme="minorEastAsia"/>
          <w:sz w:val="24"/>
        </w:rPr>
      </w:pPr>
      <w:r>
        <w:rPr>
          <w:rFonts w:cs="黑体" w:asciiTheme="minorEastAsia" w:hAnsiTheme="minorEastAsia"/>
          <w:sz w:val="24"/>
        </w:rPr>
        <w:t>4</w:t>
      </w:r>
      <w:r>
        <w:rPr>
          <w:rFonts w:hint="eastAsia" w:cs="黑体" w:asciiTheme="minorEastAsia" w:hAnsiTheme="minorEastAsia"/>
          <w:sz w:val="24"/>
        </w:rPr>
        <w:t>.</w:t>
      </w:r>
      <w:r>
        <w:rPr>
          <w:rFonts w:cs="黑体" w:asciiTheme="minorEastAsia" w:hAnsiTheme="minorEastAsia"/>
          <w:sz w:val="24"/>
        </w:rPr>
        <w:t>我方承诺</w:t>
      </w:r>
      <w:r>
        <w:rPr>
          <w:rFonts w:hint="eastAsia" w:cs="黑体" w:asciiTheme="minorEastAsia" w:hAnsiTheme="minorEastAsia"/>
          <w:sz w:val="24"/>
        </w:rPr>
        <w:t>应答有效期满足谈判采购文件要求，</w:t>
      </w:r>
      <w:r>
        <w:rPr>
          <w:rFonts w:cs="黑体" w:asciiTheme="minorEastAsia" w:hAnsiTheme="minorEastAsia"/>
          <w:sz w:val="24"/>
        </w:rPr>
        <w:t>在采购文件规定的</w:t>
      </w:r>
      <w:r>
        <w:rPr>
          <w:rFonts w:hint="eastAsia" w:cs="黑体" w:asciiTheme="minorEastAsia" w:hAnsiTheme="minorEastAsia"/>
          <w:sz w:val="24"/>
        </w:rPr>
        <w:t>应答文件</w:t>
      </w:r>
      <w:r>
        <w:rPr>
          <w:rFonts w:cs="黑体" w:asciiTheme="minorEastAsia" w:hAnsiTheme="minorEastAsia"/>
          <w:sz w:val="24"/>
        </w:rPr>
        <w:t>有效期内不撤销</w:t>
      </w:r>
      <w:r>
        <w:rPr>
          <w:rFonts w:hint="eastAsia" w:cs="黑体" w:asciiTheme="minorEastAsia" w:hAnsiTheme="minorEastAsia"/>
          <w:sz w:val="24"/>
        </w:rPr>
        <w:t>应答文件</w:t>
      </w:r>
      <w:r>
        <w:rPr>
          <w:rFonts w:cs="黑体" w:asciiTheme="minorEastAsia" w:hAnsiTheme="minorEastAsia"/>
          <w:sz w:val="24"/>
        </w:rPr>
        <w:t>。</w:t>
      </w:r>
    </w:p>
    <w:p w14:paraId="31BFAA10">
      <w:pPr>
        <w:spacing w:line="360" w:lineRule="auto"/>
        <w:ind w:firstLine="480" w:firstLineChars="200"/>
        <w:rPr>
          <w:rFonts w:cs="黑体" w:asciiTheme="minorEastAsia" w:hAnsiTheme="minorEastAsia"/>
          <w:sz w:val="24"/>
        </w:rPr>
      </w:pPr>
      <w:r>
        <w:rPr>
          <w:rFonts w:cs="黑体" w:asciiTheme="minorEastAsia" w:hAnsiTheme="minorEastAsia"/>
          <w:sz w:val="24"/>
        </w:rPr>
        <w:t>5.如我方成交，我方承诺</w:t>
      </w:r>
      <w:r>
        <w:rPr>
          <w:rFonts w:hint="eastAsia" w:cs="黑体" w:asciiTheme="minorEastAsia" w:hAnsiTheme="minorEastAsia"/>
          <w:sz w:val="24"/>
        </w:rPr>
        <w:t>：</w:t>
      </w:r>
    </w:p>
    <w:p w14:paraId="14FC15ED">
      <w:pPr>
        <w:spacing w:line="360" w:lineRule="auto"/>
        <w:ind w:firstLine="480" w:firstLineChars="200"/>
        <w:rPr>
          <w:rFonts w:cs="黑体" w:asciiTheme="minorEastAsia" w:hAnsiTheme="minorEastAsia"/>
          <w:sz w:val="24"/>
        </w:rPr>
      </w:pPr>
      <w:r>
        <w:rPr>
          <w:rFonts w:cs="黑体" w:asciiTheme="minorEastAsia" w:hAnsiTheme="minorEastAsia"/>
          <w:sz w:val="24"/>
        </w:rPr>
        <w:t>(1)在收到成交通知书后，在成交通知书规定的期限内与你方签订合同</w:t>
      </w:r>
      <w:r>
        <w:rPr>
          <w:rFonts w:hint="eastAsia" w:cs="黑体" w:asciiTheme="minorEastAsia" w:hAnsiTheme="minorEastAsia"/>
          <w:sz w:val="24"/>
        </w:rPr>
        <w:t>；</w:t>
      </w:r>
    </w:p>
    <w:p w14:paraId="16A8F1FF">
      <w:pPr>
        <w:spacing w:line="360" w:lineRule="auto"/>
        <w:ind w:firstLine="480" w:firstLineChars="200"/>
        <w:rPr>
          <w:rFonts w:cs="黑体" w:asciiTheme="minorEastAsia" w:hAnsiTheme="minorEastAsia"/>
          <w:sz w:val="24"/>
        </w:rPr>
      </w:pPr>
      <w:r>
        <w:rPr>
          <w:rFonts w:cs="黑体" w:asciiTheme="minorEastAsia" w:hAnsiTheme="minorEastAsia"/>
          <w:sz w:val="24"/>
        </w:rPr>
        <w:t>(2)在签订合同时不向你方提出附加条件</w:t>
      </w:r>
      <w:r>
        <w:rPr>
          <w:rFonts w:hint="eastAsia" w:cs="黑体" w:asciiTheme="minorEastAsia" w:hAnsiTheme="minorEastAsia"/>
          <w:sz w:val="24"/>
        </w:rPr>
        <w:t>；</w:t>
      </w:r>
    </w:p>
    <w:p w14:paraId="38BD147A">
      <w:pPr>
        <w:spacing w:line="360" w:lineRule="auto"/>
        <w:ind w:firstLine="480" w:firstLineChars="200"/>
        <w:rPr>
          <w:rFonts w:cs="黑体" w:asciiTheme="minorEastAsia" w:hAnsiTheme="minorEastAsia"/>
          <w:sz w:val="24"/>
        </w:rPr>
      </w:pPr>
      <w:r>
        <w:rPr>
          <w:rFonts w:cs="黑体" w:asciiTheme="minorEastAsia" w:hAnsiTheme="minorEastAsia"/>
          <w:sz w:val="24"/>
        </w:rPr>
        <w:t>(3)按照采购文件要求提交履约保证金</w:t>
      </w:r>
      <w:r>
        <w:rPr>
          <w:rFonts w:hint="eastAsia" w:cs="黑体" w:asciiTheme="minorEastAsia" w:hAnsiTheme="minorEastAsia"/>
          <w:sz w:val="24"/>
        </w:rPr>
        <w:t>；</w:t>
      </w:r>
    </w:p>
    <w:p w14:paraId="3FFE2035">
      <w:pPr>
        <w:spacing w:line="360" w:lineRule="auto"/>
        <w:ind w:firstLine="480" w:firstLineChars="200"/>
        <w:rPr>
          <w:rFonts w:cs="黑体" w:asciiTheme="minorEastAsia" w:hAnsiTheme="minorEastAsia"/>
          <w:sz w:val="24"/>
        </w:rPr>
      </w:pPr>
      <w:r>
        <w:rPr>
          <w:rFonts w:cs="黑体" w:asciiTheme="minorEastAsia" w:hAnsiTheme="minorEastAsia"/>
          <w:sz w:val="24"/>
        </w:rPr>
        <w:t>(4)在合同约定的期限内完成合同规定的全部义务。</w:t>
      </w:r>
    </w:p>
    <w:p w14:paraId="2177B12C">
      <w:pPr>
        <w:spacing w:line="360" w:lineRule="auto"/>
        <w:ind w:firstLine="480" w:firstLineChars="200"/>
        <w:rPr>
          <w:rFonts w:cs="黑体" w:asciiTheme="minorEastAsia" w:hAnsiTheme="minorEastAsia"/>
          <w:sz w:val="24"/>
        </w:rPr>
      </w:pPr>
      <w:r>
        <w:rPr>
          <w:rFonts w:cs="黑体" w:asciiTheme="minorEastAsia" w:hAnsiTheme="minorEastAsia"/>
          <w:sz w:val="24"/>
        </w:rPr>
        <w:t>6.我方在此声明，所递交的</w:t>
      </w:r>
      <w:r>
        <w:rPr>
          <w:rFonts w:hint="eastAsia" w:cs="黑体" w:asciiTheme="minorEastAsia" w:hAnsiTheme="minorEastAsia"/>
          <w:sz w:val="24"/>
        </w:rPr>
        <w:t>应答文件</w:t>
      </w:r>
      <w:r>
        <w:rPr>
          <w:rFonts w:cs="黑体" w:asciiTheme="minorEastAsia" w:hAnsiTheme="minorEastAsia"/>
          <w:sz w:val="24"/>
        </w:rPr>
        <w:t>及有关资料内容完整、真实和准确，且不存在第一章</w:t>
      </w:r>
      <w:r>
        <w:rPr>
          <w:rFonts w:hint="eastAsia" w:cs="黑体" w:asciiTheme="minorEastAsia" w:hAnsiTheme="minorEastAsia"/>
          <w:sz w:val="24"/>
        </w:rPr>
        <w:t>“谈判采购公告/谈判采购邀请书”</w:t>
      </w:r>
      <w:r>
        <w:rPr>
          <w:rFonts w:cs="黑体" w:asciiTheme="minorEastAsia" w:hAnsiTheme="minorEastAsia"/>
          <w:sz w:val="24"/>
        </w:rPr>
        <w:t>中规定的供应商不得存在的情形。</w:t>
      </w:r>
    </w:p>
    <w:p w14:paraId="4134D7FE">
      <w:pPr>
        <w:spacing w:line="360" w:lineRule="auto"/>
        <w:ind w:firstLine="480" w:firstLineChars="200"/>
        <w:rPr>
          <w:rFonts w:cs="黑体" w:asciiTheme="minorEastAsia" w:hAnsiTheme="minorEastAsia"/>
          <w:sz w:val="24"/>
        </w:rPr>
      </w:pPr>
      <w:r>
        <w:rPr>
          <w:rFonts w:cs="黑体" w:asciiTheme="minorEastAsia" w:hAnsiTheme="minorEastAsia"/>
          <w:sz w:val="24"/>
        </w:rPr>
        <w:t>7</w:t>
      </w:r>
      <w:r>
        <w:rPr>
          <w:rFonts w:hint="eastAsia" w:cs="黑体" w:asciiTheme="minorEastAsia" w:hAnsiTheme="minorEastAsia"/>
          <w:sz w:val="24"/>
        </w:rPr>
        <w:t>.</w:t>
      </w:r>
      <w:r>
        <w:rPr>
          <w:rFonts w:cs="黑体" w:asciiTheme="minorEastAsia" w:hAnsiTheme="minorEastAsia"/>
          <w:sz w:val="24"/>
        </w:rPr>
        <w:t>(其他补充说明)。</w:t>
      </w:r>
    </w:p>
    <w:p w14:paraId="75843317">
      <w:pPr>
        <w:spacing w:line="360" w:lineRule="auto"/>
        <w:ind w:firstLine="480" w:firstLineChars="200"/>
        <w:rPr>
          <w:rFonts w:cs="黑体" w:asciiTheme="minorEastAsia" w:hAnsiTheme="minorEastAsia"/>
          <w:sz w:val="24"/>
        </w:rPr>
      </w:pPr>
      <w:r>
        <w:rPr>
          <w:rFonts w:hint="eastAsia" w:cs="黑体" w:asciiTheme="minorEastAsia" w:hAnsiTheme="minorEastAsia"/>
          <w:sz w:val="24"/>
        </w:rPr>
        <w:t>供应商：（盖公章）</w:t>
      </w:r>
    </w:p>
    <w:p w14:paraId="3038B8C4">
      <w:pPr>
        <w:spacing w:line="360" w:lineRule="auto"/>
        <w:ind w:firstLine="638" w:firstLineChars="266"/>
        <w:rPr>
          <w:rFonts w:cs="黑体" w:asciiTheme="minorEastAsia" w:hAnsiTheme="minorEastAsia"/>
          <w:sz w:val="24"/>
        </w:rPr>
      </w:pPr>
      <w:r>
        <w:rPr>
          <w:rFonts w:hint="eastAsia" w:cs="黑体" w:asciiTheme="minorEastAsia" w:hAnsiTheme="minorEastAsia"/>
          <w:sz w:val="24"/>
        </w:rPr>
        <w:t>法定代表人（单位负责人）（签字或盖章）</w:t>
      </w:r>
    </w:p>
    <w:p w14:paraId="49A6ED25">
      <w:pPr>
        <w:spacing w:line="360" w:lineRule="auto"/>
        <w:ind w:firstLine="638" w:firstLineChars="266"/>
        <w:rPr>
          <w:rFonts w:cs="黑体" w:asciiTheme="minorEastAsia" w:hAnsiTheme="minorEastAsia"/>
          <w:sz w:val="24"/>
        </w:rPr>
      </w:pPr>
      <w:r>
        <w:rPr>
          <w:rFonts w:hint="eastAsia" w:cs="黑体" w:asciiTheme="minorEastAsia" w:hAnsiTheme="minorEastAsia"/>
          <w:sz w:val="24"/>
        </w:rPr>
        <w:t>或其授权的代理人：（签字或盖章）</w:t>
      </w:r>
    </w:p>
    <w:p w14:paraId="6415A491">
      <w:pPr>
        <w:spacing w:line="360" w:lineRule="auto"/>
        <w:ind w:firstLine="638" w:firstLineChars="266"/>
        <w:rPr>
          <w:rFonts w:cs="黑体" w:asciiTheme="minorEastAsia" w:hAnsiTheme="minorEastAsia"/>
          <w:sz w:val="24"/>
        </w:rPr>
      </w:pPr>
      <w:r>
        <w:rPr>
          <w:rFonts w:hint="eastAsia" w:cs="黑体" w:asciiTheme="minorEastAsia" w:hAnsiTheme="minorEastAsia"/>
          <w:sz w:val="24"/>
        </w:rPr>
        <w:t>地    址：</w:t>
      </w:r>
    </w:p>
    <w:p w14:paraId="4BE490DF">
      <w:pPr>
        <w:spacing w:line="360" w:lineRule="auto"/>
        <w:ind w:firstLine="638" w:firstLineChars="266"/>
        <w:rPr>
          <w:rFonts w:cs="黑体" w:asciiTheme="minorEastAsia" w:hAnsiTheme="minorEastAsia"/>
          <w:sz w:val="24"/>
        </w:rPr>
      </w:pPr>
      <w:r>
        <w:rPr>
          <w:rFonts w:hint="eastAsia" w:cs="黑体" w:asciiTheme="minorEastAsia" w:hAnsiTheme="minorEastAsia"/>
          <w:sz w:val="24"/>
        </w:rPr>
        <w:t>网    址：</w:t>
      </w:r>
    </w:p>
    <w:p w14:paraId="2C004073">
      <w:pPr>
        <w:spacing w:line="360" w:lineRule="auto"/>
        <w:ind w:firstLine="638" w:firstLineChars="266"/>
        <w:rPr>
          <w:rFonts w:cs="黑体" w:asciiTheme="minorEastAsia" w:hAnsiTheme="minorEastAsia"/>
          <w:sz w:val="24"/>
        </w:rPr>
      </w:pPr>
      <w:r>
        <w:rPr>
          <w:rFonts w:hint="eastAsia" w:cs="黑体" w:asciiTheme="minorEastAsia" w:hAnsiTheme="minorEastAsia"/>
          <w:sz w:val="24"/>
        </w:rPr>
        <w:t>电    话：</w:t>
      </w:r>
    </w:p>
    <w:p w14:paraId="49568BE7">
      <w:pPr>
        <w:spacing w:line="360" w:lineRule="auto"/>
        <w:ind w:firstLine="480" w:firstLineChars="200"/>
        <w:jc w:val="right"/>
        <w:rPr>
          <w:rFonts w:cs="黑体" w:asciiTheme="minorEastAsia" w:hAnsiTheme="minorEastAsia"/>
          <w:sz w:val="24"/>
        </w:rPr>
      </w:pPr>
      <w:r>
        <w:rPr>
          <w:rFonts w:hint="eastAsia" w:cs="黑体" w:asciiTheme="minorEastAsia" w:hAnsiTheme="minorEastAsia"/>
          <w:sz w:val="24"/>
        </w:rPr>
        <w:t>年月日</w:t>
      </w:r>
    </w:p>
    <w:p w14:paraId="0CF4663F">
      <w:pPr>
        <w:ind w:firstLine="482" w:firstLineChars="200"/>
        <w:rPr>
          <w:rFonts w:asciiTheme="minorEastAsia" w:hAnsiTheme="minorEastAsia"/>
          <w:b/>
          <w:sz w:val="24"/>
        </w:rPr>
      </w:pPr>
      <w:r>
        <w:rPr>
          <w:rFonts w:asciiTheme="minorEastAsia" w:hAnsiTheme="minorEastAsia"/>
          <w:b/>
          <w:sz w:val="24"/>
        </w:rPr>
        <w:br w:type="page"/>
      </w:r>
    </w:p>
    <w:p w14:paraId="7D066A01">
      <w:pPr>
        <w:pStyle w:val="6"/>
        <w:ind w:firstLine="482" w:firstLineChars="200"/>
      </w:pPr>
      <w:r>
        <w:t>二、法定代表人（单位负责人）身份证明（适用于无委托代理人的情况）</w:t>
      </w:r>
    </w:p>
    <w:p w14:paraId="1F5DE783">
      <w:pPr>
        <w:pStyle w:val="3"/>
        <w:tabs>
          <w:tab w:val="left" w:pos="3928"/>
        </w:tabs>
        <w:adjustRightInd w:val="0"/>
        <w:snapToGrid w:val="0"/>
        <w:spacing w:line="360" w:lineRule="auto"/>
        <w:ind w:firstLine="480" w:firstLineChars="200"/>
        <w:rPr>
          <w:rFonts w:asciiTheme="minorEastAsia" w:hAnsiTheme="minorEastAsia" w:eastAsiaTheme="minorEastAsia"/>
          <w:sz w:val="24"/>
          <w:szCs w:val="24"/>
          <w:lang w:eastAsia="zh-CN"/>
        </w:rPr>
      </w:pPr>
    </w:p>
    <w:p w14:paraId="58A89ABD">
      <w:pPr>
        <w:pStyle w:val="3"/>
        <w:tabs>
          <w:tab w:val="left" w:pos="3928"/>
        </w:tabs>
        <w:adjustRightInd w:val="0"/>
        <w:snapToGrid w:val="0"/>
        <w:spacing w:line="360" w:lineRule="auto"/>
        <w:ind w:firstLine="480" w:firstLineChars="200"/>
        <w:rPr>
          <w:rFonts w:asciiTheme="minorEastAsia" w:hAnsiTheme="minorEastAsia" w:eastAsiaTheme="minorEastAsia"/>
          <w:sz w:val="24"/>
          <w:szCs w:val="24"/>
          <w:lang w:eastAsia="zh-CN"/>
        </w:rPr>
      </w:pPr>
    </w:p>
    <w:p w14:paraId="08C56D76">
      <w:pPr>
        <w:pStyle w:val="3"/>
        <w:tabs>
          <w:tab w:val="left" w:pos="3928"/>
        </w:tabs>
        <w:adjustRightInd w:val="0"/>
        <w:snapToGrid w:val="0"/>
        <w:spacing w:line="360" w:lineRule="auto"/>
        <w:ind w:firstLine="480" w:firstLineChars="200"/>
        <w:rPr>
          <w:rFonts w:asciiTheme="minorEastAsia" w:hAnsiTheme="minorEastAsia" w:eastAsiaTheme="minorEastAsia"/>
          <w:sz w:val="24"/>
          <w:szCs w:val="24"/>
          <w:lang w:eastAsia="zh-CN"/>
        </w:rPr>
      </w:pPr>
    </w:p>
    <w:p w14:paraId="6D0BDC98">
      <w:pPr>
        <w:pStyle w:val="3"/>
        <w:tabs>
          <w:tab w:val="left" w:pos="3928"/>
        </w:tabs>
        <w:adjustRightInd w:val="0"/>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供应商</w:t>
      </w:r>
      <w:r>
        <w:rPr>
          <w:rFonts w:asciiTheme="minorEastAsia" w:hAnsiTheme="minorEastAsia" w:eastAsiaTheme="minorEastAsia"/>
          <w:sz w:val="24"/>
          <w:szCs w:val="24"/>
          <w:lang w:eastAsia="zh-CN"/>
        </w:rPr>
        <w:t>名称：</w:t>
      </w:r>
    </w:p>
    <w:p w14:paraId="3129DD5E">
      <w:pPr>
        <w:pStyle w:val="3"/>
        <w:tabs>
          <w:tab w:val="left" w:pos="2412"/>
          <w:tab w:val="left" w:pos="3883"/>
          <w:tab w:val="left" w:pos="5352"/>
          <w:tab w:val="left" w:pos="6869"/>
        </w:tabs>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姓名：性别：年龄：职务：</w:t>
      </w:r>
    </w:p>
    <w:p w14:paraId="47028AC3">
      <w:pPr>
        <w:pStyle w:val="3"/>
        <w:tabs>
          <w:tab w:val="left" w:pos="2832"/>
        </w:tabs>
        <w:adjustRightInd w:val="0"/>
        <w:snapToGrid w:val="0"/>
        <w:spacing w:line="360" w:lineRule="auto"/>
        <w:ind w:firstLine="476" w:firstLineChars="200"/>
        <w:rPr>
          <w:rFonts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系</w:t>
      </w:r>
      <w:r>
        <w:rPr>
          <w:rFonts w:asciiTheme="minorEastAsia" w:hAnsiTheme="minorEastAsia" w:eastAsiaTheme="minorEastAsia"/>
          <w:spacing w:val="-3"/>
          <w:sz w:val="24"/>
          <w:szCs w:val="24"/>
          <w:lang w:eastAsia="zh-CN"/>
        </w:rPr>
        <w:t>（</w:t>
      </w:r>
      <w:r>
        <w:rPr>
          <w:rFonts w:hint="eastAsia" w:asciiTheme="minorEastAsia" w:hAnsiTheme="minorEastAsia" w:eastAsiaTheme="minorEastAsia"/>
          <w:sz w:val="24"/>
          <w:szCs w:val="24"/>
          <w:lang w:eastAsia="zh-CN"/>
        </w:rPr>
        <w:t>供应商</w:t>
      </w:r>
      <w:r>
        <w:rPr>
          <w:rFonts w:asciiTheme="minorEastAsia" w:hAnsiTheme="minorEastAsia" w:eastAsiaTheme="minorEastAsia"/>
          <w:spacing w:val="-3"/>
          <w:sz w:val="24"/>
          <w:szCs w:val="24"/>
          <w:lang w:eastAsia="zh-CN"/>
        </w:rPr>
        <w:t>名</w:t>
      </w:r>
      <w:r>
        <w:rPr>
          <w:rFonts w:asciiTheme="minorEastAsia" w:hAnsiTheme="minorEastAsia" w:eastAsiaTheme="minorEastAsia"/>
          <w:sz w:val="24"/>
          <w:szCs w:val="24"/>
          <w:lang w:eastAsia="zh-CN"/>
        </w:rPr>
        <w:t>称</w:t>
      </w:r>
      <w:r>
        <w:rPr>
          <w:rFonts w:asciiTheme="minorEastAsia" w:hAnsiTheme="minorEastAsia" w:eastAsiaTheme="minorEastAsia"/>
          <w:spacing w:val="-3"/>
          <w:sz w:val="24"/>
          <w:szCs w:val="24"/>
          <w:lang w:eastAsia="zh-CN"/>
        </w:rPr>
        <w:t>）</w:t>
      </w:r>
      <w:r>
        <w:rPr>
          <w:rFonts w:asciiTheme="minorEastAsia" w:hAnsiTheme="minorEastAsia" w:eastAsiaTheme="minorEastAsia"/>
          <w:sz w:val="24"/>
          <w:szCs w:val="24"/>
          <w:lang w:eastAsia="zh-CN"/>
        </w:rPr>
        <w:t>的</w:t>
      </w:r>
      <w:r>
        <w:rPr>
          <w:rFonts w:asciiTheme="minorEastAsia" w:hAnsiTheme="minorEastAsia" w:eastAsiaTheme="minorEastAsia"/>
          <w:spacing w:val="-3"/>
          <w:sz w:val="24"/>
          <w:szCs w:val="24"/>
          <w:lang w:eastAsia="zh-CN"/>
        </w:rPr>
        <w:t>法定</w:t>
      </w:r>
      <w:r>
        <w:rPr>
          <w:rFonts w:asciiTheme="minorEastAsia" w:hAnsiTheme="minorEastAsia" w:eastAsiaTheme="minorEastAsia"/>
          <w:sz w:val="24"/>
          <w:szCs w:val="24"/>
          <w:lang w:eastAsia="zh-CN"/>
        </w:rPr>
        <w:t>代表</w:t>
      </w:r>
      <w:r>
        <w:rPr>
          <w:rFonts w:asciiTheme="minorEastAsia" w:hAnsiTheme="minorEastAsia" w:eastAsiaTheme="minorEastAsia"/>
          <w:spacing w:val="-3"/>
          <w:sz w:val="24"/>
          <w:szCs w:val="24"/>
          <w:lang w:eastAsia="zh-CN"/>
        </w:rPr>
        <w:t>人</w:t>
      </w:r>
      <w:r>
        <w:rPr>
          <w:rFonts w:asciiTheme="minorEastAsia" w:hAnsiTheme="minorEastAsia" w:eastAsiaTheme="minorEastAsia"/>
          <w:sz w:val="24"/>
          <w:szCs w:val="24"/>
          <w:lang w:eastAsia="zh-CN"/>
        </w:rPr>
        <w:t>（</w:t>
      </w:r>
      <w:r>
        <w:rPr>
          <w:rFonts w:asciiTheme="minorEastAsia" w:hAnsiTheme="minorEastAsia" w:eastAsiaTheme="minorEastAsia"/>
          <w:spacing w:val="-3"/>
          <w:sz w:val="24"/>
          <w:szCs w:val="24"/>
          <w:lang w:eastAsia="zh-CN"/>
        </w:rPr>
        <w:t>单</w:t>
      </w:r>
      <w:r>
        <w:rPr>
          <w:rFonts w:asciiTheme="minorEastAsia" w:hAnsiTheme="minorEastAsia" w:eastAsiaTheme="minorEastAsia"/>
          <w:sz w:val="24"/>
          <w:szCs w:val="24"/>
          <w:lang w:eastAsia="zh-CN"/>
        </w:rPr>
        <w:t>位</w:t>
      </w:r>
      <w:r>
        <w:rPr>
          <w:rFonts w:asciiTheme="minorEastAsia" w:hAnsiTheme="minorEastAsia" w:eastAsiaTheme="minorEastAsia"/>
          <w:spacing w:val="-3"/>
          <w:sz w:val="24"/>
          <w:szCs w:val="24"/>
          <w:lang w:eastAsia="zh-CN"/>
        </w:rPr>
        <w:t>负</w:t>
      </w:r>
      <w:r>
        <w:rPr>
          <w:rFonts w:asciiTheme="minorEastAsia" w:hAnsiTheme="minorEastAsia" w:eastAsiaTheme="minorEastAsia"/>
          <w:sz w:val="24"/>
          <w:szCs w:val="24"/>
          <w:lang w:eastAsia="zh-CN"/>
        </w:rPr>
        <w:t>责</w:t>
      </w:r>
      <w:r>
        <w:rPr>
          <w:rFonts w:asciiTheme="minorEastAsia" w:hAnsiTheme="minorEastAsia" w:eastAsiaTheme="minorEastAsia"/>
          <w:spacing w:val="-3"/>
          <w:sz w:val="24"/>
          <w:szCs w:val="24"/>
          <w:lang w:eastAsia="zh-CN"/>
        </w:rPr>
        <w:t>人</w:t>
      </w:r>
      <w:r>
        <w:rPr>
          <w:rFonts w:asciiTheme="minorEastAsia" w:hAnsiTheme="minorEastAsia" w:eastAsiaTheme="minorEastAsia"/>
          <w:spacing w:val="-106"/>
          <w:sz w:val="24"/>
          <w:szCs w:val="24"/>
          <w:lang w:eastAsia="zh-CN"/>
        </w:rPr>
        <w:t>）</w:t>
      </w:r>
      <w:r>
        <w:rPr>
          <w:rFonts w:asciiTheme="minorEastAsia" w:hAnsiTheme="minorEastAsia" w:eastAsiaTheme="minorEastAsia"/>
          <w:sz w:val="24"/>
          <w:szCs w:val="24"/>
          <w:lang w:eastAsia="zh-CN"/>
        </w:rPr>
        <w:t>。</w:t>
      </w:r>
    </w:p>
    <w:p w14:paraId="4C564BF2">
      <w:pPr>
        <w:pStyle w:val="3"/>
        <w:adjustRightInd w:val="0"/>
        <w:snapToGrid w:val="0"/>
        <w:spacing w:line="360" w:lineRule="auto"/>
        <w:ind w:firstLine="480" w:firstLineChars="200"/>
        <w:rPr>
          <w:rFonts w:asciiTheme="minorEastAsia" w:hAnsiTheme="minorEastAsia" w:eastAsiaTheme="minorEastAsia"/>
          <w:sz w:val="24"/>
          <w:szCs w:val="24"/>
          <w:lang w:eastAsia="zh-CN"/>
        </w:rPr>
      </w:pPr>
    </w:p>
    <w:p w14:paraId="0182ECD0">
      <w:pPr>
        <w:pStyle w:val="3"/>
        <w:adjustRightInd w:val="0"/>
        <w:snapToGrid w:val="0"/>
        <w:spacing w:line="360" w:lineRule="auto"/>
        <w:ind w:firstLine="480" w:firstLineChars="200"/>
        <w:rPr>
          <w:rFonts w:asciiTheme="minorEastAsia" w:hAnsiTheme="minorEastAsia" w:eastAsiaTheme="minorEastAsia"/>
          <w:sz w:val="24"/>
          <w:szCs w:val="24"/>
          <w:lang w:eastAsia="zh-CN"/>
        </w:rPr>
      </w:pPr>
    </w:p>
    <w:p w14:paraId="61FF63D1">
      <w:pPr>
        <w:pStyle w:val="3"/>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特此证明。</w:t>
      </w:r>
    </w:p>
    <w:p w14:paraId="609896F3">
      <w:pPr>
        <w:pStyle w:val="3"/>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附：法定代表人（单位负责人）身份证复印件。</w:t>
      </w:r>
    </w:p>
    <w:p w14:paraId="69E5122D">
      <w:pPr>
        <w:pStyle w:val="3"/>
        <w:adjustRightInd w:val="0"/>
        <w:snapToGrid w:val="0"/>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注：本身份证明需由</w:t>
      </w:r>
      <w:r>
        <w:rPr>
          <w:rFonts w:hint="eastAsia" w:asciiTheme="minorEastAsia" w:hAnsiTheme="minorEastAsia" w:eastAsiaTheme="minorEastAsia"/>
          <w:sz w:val="24"/>
          <w:szCs w:val="24"/>
          <w:lang w:eastAsia="zh-CN"/>
        </w:rPr>
        <w:t>供应商</w:t>
      </w:r>
      <w:r>
        <w:rPr>
          <w:rFonts w:asciiTheme="minorEastAsia" w:hAnsiTheme="minorEastAsia" w:eastAsiaTheme="minorEastAsia"/>
          <w:sz w:val="24"/>
          <w:szCs w:val="24"/>
          <w:lang w:eastAsia="zh-CN"/>
        </w:rPr>
        <w:t>加盖单位公章。</w:t>
      </w:r>
    </w:p>
    <w:p w14:paraId="63275039">
      <w:pPr>
        <w:pStyle w:val="3"/>
        <w:tabs>
          <w:tab w:val="left" w:pos="6521"/>
        </w:tabs>
        <w:wordWrap w:val="0"/>
        <w:adjustRightInd w:val="0"/>
        <w:snapToGrid w:val="0"/>
        <w:spacing w:line="360" w:lineRule="auto"/>
        <w:ind w:right="960" w:firstLine="480" w:firstLineChars="200"/>
        <w:jc w:val="right"/>
        <w:rPr>
          <w:rFonts w:asciiTheme="minorEastAsia" w:hAnsiTheme="minorEastAsia" w:eastAsiaTheme="minorEastAsia"/>
          <w:sz w:val="24"/>
          <w:szCs w:val="24"/>
          <w:lang w:eastAsia="zh-CN"/>
        </w:rPr>
      </w:pPr>
    </w:p>
    <w:p w14:paraId="0EEE39D1">
      <w:pPr>
        <w:pStyle w:val="3"/>
        <w:tabs>
          <w:tab w:val="left" w:pos="6521"/>
        </w:tabs>
        <w:wordWrap w:val="0"/>
        <w:adjustRightInd w:val="0"/>
        <w:snapToGrid w:val="0"/>
        <w:spacing w:line="360" w:lineRule="auto"/>
        <w:ind w:right="960" w:firstLine="480" w:firstLineChars="200"/>
        <w:jc w:val="right"/>
        <w:rPr>
          <w:rFonts w:asciiTheme="minorEastAsia" w:hAnsiTheme="minorEastAsia" w:eastAsiaTheme="minorEastAsia"/>
          <w:sz w:val="24"/>
          <w:szCs w:val="24"/>
          <w:lang w:eastAsia="zh-CN"/>
        </w:rPr>
      </w:pPr>
    </w:p>
    <w:p w14:paraId="59C66077">
      <w:pPr>
        <w:pStyle w:val="3"/>
        <w:tabs>
          <w:tab w:val="left" w:pos="6521"/>
        </w:tabs>
        <w:wordWrap w:val="0"/>
        <w:adjustRightInd w:val="0"/>
        <w:snapToGrid w:val="0"/>
        <w:spacing w:line="360" w:lineRule="auto"/>
        <w:ind w:right="960" w:firstLine="480" w:firstLineChars="200"/>
        <w:jc w:val="right"/>
        <w:rPr>
          <w:rFonts w:asciiTheme="minorEastAsia" w:hAnsiTheme="minorEastAsia" w:eastAsiaTheme="minorEastAsia"/>
          <w:sz w:val="24"/>
          <w:szCs w:val="24"/>
          <w:lang w:eastAsia="zh-CN"/>
        </w:rPr>
      </w:pPr>
    </w:p>
    <w:p w14:paraId="3AE6FCD0">
      <w:pPr>
        <w:pStyle w:val="3"/>
        <w:tabs>
          <w:tab w:val="left" w:pos="6521"/>
        </w:tabs>
        <w:wordWrap w:val="0"/>
        <w:adjustRightInd w:val="0"/>
        <w:snapToGrid w:val="0"/>
        <w:spacing w:line="360" w:lineRule="auto"/>
        <w:ind w:right="960" w:firstLine="480" w:firstLineChars="200"/>
        <w:jc w:val="righ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供应商</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盖公章</w:t>
      </w:r>
      <w:r>
        <w:rPr>
          <w:rFonts w:asciiTheme="minorEastAsia" w:hAnsiTheme="minorEastAsia" w:eastAsiaTheme="minorEastAsia"/>
          <w:sz w:val="24"/>
          <w:szCs w:val="24"/>
          <w:lang w:eastAsia="zh-CN"/>
        </w:rPr>
        <w:t>）</w:t>
      </w:r>
    </w:p>
    <w:p w14:paraId="016B6E4B">
      <w:pPr>
        <w:pStyle w:val="3"/>
        <w:tabs>
          <w:tab w:val="left" w:pos="5352"/>
          <w:tab w:val="left" w:pos="6192"/>
          <w:tab w:val="left" w:pos="7032"/>
        </w:tabs>
        <w:wordWrap w:val="0"/>
        <w:adjustRightInd w:val="0"/>
        <w:snapToGrid w:val="0"/>
        <w:spacing w:line="360" w:lineRule="auto"/>
        <w:ind w:right="1200" w:firstLine="480" w:firstLineChars="200"/>
        <w:jc w:val="righ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年月日</w:t>
      </w:r>
    </w:p>
    <w:p w14:paraId="208C4C9B">
      <w:pPr>
        <w:ind w:firstLine="482" w:firstLineChars="200"/>
        <w:rPr>
          <w:rFonts w:asciiTheme="minorEastAsia" w:hAnsiTheme="minorEastAsia"/>
          <w:b/>
          <w:sz w:val="24"/>
        </w:rPr>
      </w:pPr>
      <w:r>
        <w:rPr>
          <w:rFonts w:asciiTheme="minorEastAsia" w:hAnsiTheme="minorEastAsia"/>
          <w:b/>
          <w:sz w:val="24"/>
        </w:rPr>
        <w:br w:type="page"/>
      </w:r>
    </w:p>
    <w:p w14:paraId="4618E17D">
      <w:pPr>
        <w:pStyle w:val="6"/>
        <w:ind w:firstLine="482" w:firstLineChars="200"/>
      </w:pPr>
      <w:r>
        <w:t>二</w:t>
      </w:r>
      <w:r>
        <w:rPr>
          <w:rFonts w:hint="eastAsia"/>
        </w:rPr>
        <w:t>、</w:t>
      </w:r>
      <w:r>
        <w:t>授权委托书(适用于有委托代理人的情况)</w:t>
      </w:r>
    </w:p>
    <w:p w14:paraId="61953BBA">
      <w:pPr>
        <w:spacing w:line="360" w:lineRule="auto"/>
        <w:ind w:firstLine="480" w:firstLineChars="200"/>
        <w:rPr>
          <w:rFonts w:cs="黑体" w:asciiTheme="minorEastAsia" w:hAnsiTheme="minorEastAsia"/>
          <w:sz w:val="24"/>
        </w:rPr>
      </w:pPr>
      <w:r>
        <w:rPr>
          <w:rFonts w:cs="黑体" w:asciiTheme="minorEastAsia" w:hAnsiTheme="minorEastAsia"/>
          <w:sz w:val="24"/>
        </w:rPr>
        <w:t>本人(姓名)系 (供应商名称)的法定代表人(单位负责人)，现委托_(姓名)为我方代理人。代理人根据授权，以我方名义签署、澄清确认、递交、撤回、修改</w:t>
      </w:r>
      <w:r>
        <w:rPr>
          <w:rFonts w:hint="eastAsia" w:cs="黑体" w:asciiTheme="minorEastAsia" w:hAnsiTheme="minorEastAsia"/>
          <w:sz w:val="24"/>
        </w:rPr>
        <w:t>谈判采购</w:t>
      </w:r>
      <w:r>
        <w:rPr>
          <w:rFonts w:cs="黑体" w:asciiTheme="minorEastAsia" w:hAnsiTheme="minorEastAsia"/>
          <w:sz w:val="24"/>
        </w:rPr>
        <w:t>项目</w:t>
      </w:r>
      <w:r>
        <w:rPr>
          <w:rFonts w:hint="eastAsia" w:cs="黑体" w:asciiTheme="minorEastAsia" w:hAnsiTheme="minorEastAsia"/>
          <w:sz w:val="24"/>
        </w:rPr>
        <w:t>应答文件</w:t>
      </w:r>
      <w:r>
        <w:rPr>
          <w:rFonts w:cs="黑体" w:asciiTheme="minorEastAsia" w:hAnsiTheme="minorEastAsia"/>
          <w:sz w:val="24"/>
        </w:rPr>
        <w:t>、签订合同和处理有关事宜，其法律后果由我方承担。</w:t>
      </w:r>
    </w:p>
    <w:p w14:paraId="60633315">
      <w:pPr>
        <w:spacing w:line="360" w:lineRule="auto"/>
        <w:ind w:firstLine="480" w:firstLineChars="200"/>
        <w:rPr>
          <w:rFonts w:cs="黑体" w:asciiTheme="minorEastAsia" w:hAnsiTheme="minorEastAsia"/>
          <w:sz w:val="24"/>
        </w:rPr>
      </w:pPr>
      <w:r>
        <w:rPr>
          <w:rFonts w:cs="黑体" w:asciiTheme="minorEastAsia" w:hAnsiTheme="minorEastAsia"/>
          <w:sz w:val="24"/>
        </w:rPr>
        <w:t>委托期限</w:t>
      </w:r>
      <w:r>
        <w:rPr>
          <w:rFonts w:hint="eastAsia" w:cs="黑体" w:asciiTheme="minorEastAsia" w:hAnsiTheme="minorEastAsia"/>
          <w:sz w:val="24"/>
        </w:rPr>
        <w:t>：</w:t>
      </w:r>
      <w:r>
        <w:rPr>
          <w:rFonts w:cs="黑体" w:asciiTheme="minorEastAsia" w:hAnsiTheme="minorEastAsia"/>
          <w:sz w:val="24"/>
        </w:rPr>
        <w:t>自本委托书签署之日起至_</w:t>
      </w:r>
      <w:r>
        <w:rPr>
          <w:rFonts w:hint="eastAsia" w:cs="黑体" w:asciiTheme="minorEastAsia" w:hAnsiTheme="minorEastAsia"/>
          <w:sz w:val="24"/>
          <w:u w:val="single"/>
        </w:rPr>
        <w:t xml:space="preserve">（项目名称）   </w:t>
      </w:r>
      <w:r>
        <w:rPr>
          <w:rFonts w:hint="eastAsia" w:cs="黑体" w:asciiTheme="minorEastAsia" w:hAnsiTheme="minorEastAsia"/>
          <w:sz w:val="24"/>
        </w:rPr>
        <w:t>谈判采购</w:t>
      </w:r>
      <w:r>
        <w:rPr>
          <w:rFonts w:cs="黑体" w:asciiTheme="minorEastAsia" w:hAnsiTheme="minorEastAsia"/>
          <w:sz w:val="24"/>
        </w:rPr>
        <w:t>项目签订采购合同之日止。</w:t>
      </w:r>
    </w:p>
    <w:p w14:paraId="031BF960">
      <w:pPr>
        <w:spacing w:line="360" w:lineRule="auto"/>
        <w:ind w:firstLine="480" w:firstLineChars="200"/>
        <w:rPr>
          <w:rFonts w:cs="黑体" w:asciiTheme="minorEastAsia" w:hAnsiTheme="minorEastAsia"/>
          <w:sz w:val="24"/>
        </w:rPr>
      </w:pPr>
      <w:r>
        <w:rPr>
          <w:rFonts w:cs="黑体" w:asciiTheme="minorEastAsia" w:hAnsiTheme="minorEastAsia"/>
          <w:sz w:val="24"/>
        </w:rPr>
        <w:t>代理人无转委托权。</w:t>
      </w:r>
    </w:p>
    <w:p w14:paraId="22638FAE">
      <w:pPr>
        <w:spacing w:line="360" w:lineRule="auto"/>
        <w:ind w:firstLine="480" w:firstLineChars="200"/>
        <w:rPr>
          <w:rFonts w:cs="黑体" w:asciiTheme="minorEastAsia" w:hAnsiTheme="minorEastAsia"/>
          <w:sz w:val="24"/>
        </w:rPr>
      </w:pPr>
      <w:r>
        <w:rPr>
          <w:rFonts w:cs="黑体" w:asciiTheme="minorEastAsia" w:hAnsiTheme="minorEastAsia"/>
          <w:sz w:val="24"/>
        </w:rPr>
        <w:t>附</w:t>
      </w:r>
      <w:r>
        <w:rPr>
          <w:rFonts w:hint="eastAsia" w:cs="黑体" w:asciiTheme="minorEastAsia" w:hAnsiTheme="minorEastAsia"/>
          <w:sz w:val="24"/>
        </w:rPr>
        <w:t>：</w:t>
      </w:r>
      <w:r>
        <w:rPr>
          <w:rFonts w:cs="黑体" w:asciiTheme="minorEastAsia" w:hAnsiTheme="minorEastAsia"/>
          <w:sz w:val="24"/>
        </w:rPr>
        <w:t>法定代表人(单位负责人)身份证复印件及委托代理人身份证复印件。</w:t>
      </w:r>
    </w:p>
    <w:p w14:paraId="77827785">
      <w:pPr>
        <w:spacing w:line="360" w:lineRule="auto"/>
        <w:ind w:firstLine="480" w:firstLineChars="200"/>
        <w:rPr>
          <w:rFonts w:cs="黑体" w:asciiTheme="minorEastAsia" w:hAnsiTheme="minorEastAsia"/>
          <w:sz w:val="24"/>
        </w:rPr>
      </w:pPr>
    </w:p>
    <w:p w14:paraId="43146F96">
      <w:pPr>
        <w:spacing w:line="360" w:lineRule="auto"/>
        <w:ind w:firstLine="480" w:firstLineChars="200"/>
        <w:rPr>
          <w:rFonts w:cs="黑体" w:asciiTheme="minorEastAsia" w:hAnsiTheme="minorEastAsia"/>
          <w:sz w:val="24"/>
        </w:rPr>
      </w:pPr>
    </w:p>
    <w:p w14:paraId="3ED32547">
      <w:pPr>
        <w:spacing w:line="360" w:lineRule="auto"/>
        <w:ind w:firstLine="480" w:firstLineChars="200"/>
        <w:rPr>
          <w:rFonts w:cs="黑体" w:asciiTheme="minorEastAsia" w:hAnsiTheme="minorEastAsia"/>
          <w:sz w:val="24"/>
        </w:rPr>
      </w:pPr>
    </w:p>
    <w:p w14:paraId="2640CF69">
      <w:pPr>
        <w:spacing w:line="360" w:lineRule="auto"/>
        <w:ind w:firstLine="480" w:firstLineChars="200"/>
        <w:rPr>
          <w:rFonts w:cs="黑体" w:asciiTheme="minorEastAsia" w:hAnsiTheme="minorEastAsia"/>
          <w:sz w:val="24"/>
        </w:rPr>
      </w:pPr>
    </w:p>
    <w:p w14:paraId="7A1C72A0">
      <w:pPr>
        <w:spacing w:line="360" w:lineRule="auto"/>
        <w:ind w:firstLine="480" w:firstLineChars="200"/>
        <w:rPr>
          <w:rFonts w:cs="黑体" w:asciiTheme="minorEastAsia" w:hAnsiTheme="minorEastAsia"/>
          <w:sz w:val="24"/>
        </w:rPr>
      </w:pPr>
    </w:p>
    <w:p w14:paraId="1F1ACD14">
      <w:pPr>
        <w:spacing w:line="360" w:lineRule="auto"/>
        <w:ind w:firstLine="480" w:firstLineChars="200"/>
        <w:rPr>
          <w:rFonts w:cs="黑体" w:asciiTheme="minorEastAsia" w:hAnsiTheme="minorEastAsia"/>
          <w:sz w:val="24"/>
        </w:rPr>
      </w:pPr>
    </w:p>
    <w:p w14:paraId="5269CE6E">
      <w:pPr>
        <w:spacing w:line="360" w:lineRule="auto"/>
        <w:ind w:firstLine="480" w:firstLineChars="200"/>
        <w:rPr>
          <w:rFonts w:cs="黑体" w:asciiTheme="minorEastAsia" w:hAnsiTheme="minorEastAsia"/>
          <w:sz w:val="24"/>
        </w:rPr>
      </w:pPr>
    </w:p>
    <w:p w14:paraId="3E401652">
      <w:pPr>
        <w:spacing w:line="360" w:lineRule="auto"/>
        <w:ind w:firstLine="480" w:firstLineChars="200"/>
        <w:rPr>
          <w:rFonts w:cs="黑体" w:asciiTheme="minorEastAsia" w:hAnsiTheme="minorEastAsia"/>
          <w:sz w:val="24"/>
        </w:rPr>
      </w:pPr>
      <w:r>
        <w:rPr>
          <w:rFonts w:hint="eastAsia" w:cs="黑体" w:asciiTheme="minorEastAsia" w:hAnsiTheme="minorEastAsia"/>
          <w:sz w:val="24"/>
        </w:rPr>
        <w:t xml:space="preserve">供应商：(盖公章) </w:t>
      </w:r>
    </w:p>
    <w:p w14:paraId="67DC07BD">
      <w:pPr>
        <w:spacing w:line="360" w:lineRule="auto"/>
        <w:ind w:firstLine="480" w:firstLineChars="200"/>
        <w:rPr>
          <w:rFonts w:cs="黑体" w:asciiTheme="minorEastAsia" w:hAnsiTheme="minorEastAsia"/>
          <w:sz w:val="24"/>
        </w:rPr>
      </w:pPr>
      <w:r>
        <w:rPr>
          <w:rFonts w:hint="eastAsia" w:cs="黑体" w:asciiTheme="minorEastAsia" w:hAnsiTheme="minorEastAsia"/>
          <w:sz w:val="24"/>
        </w:rPr>
        <w:t>法定代表人（单位负责人）：（签字或盖章）</w:t>
      </w:r>
    </w:p>
    <w:p w14:paraId="72983A81">
      <w:pPr>
        <w:spacing w:line="360" w:lineRule="auto"/>
        <w:ind w:firstLine="480" w:firstLineChars="200"/>
        <w:rPr>
          <w:rFonts w:cs="黑体" w:asciiTheme="minorEastAsia" w:hAnsiTheme="minorEastAsia"/>
          <w:sz w:val="24"/>
        </w:rPr>
      </w:pPr>
      <w:r>
        <w:rPr>
          <w:rFonts w:hint="eastAsia" w:cs="黑体" w:asciiTheme="minorEastAsia" w:hAnsiTheme="minorEastAsia"/>
          <w:sz w:val="24"/>
        </w:rPr>
        <w:t>委托代理人：（签字或盖章）</w:t>
      </w:r>
    </w:p>
    <w:p w14:paraId="6FB99825">
      <w:pPr>
        <w:ind w:firstLine="480" w:firstLineChars="200"/>
        <w:rPr>
          <w:rFonts w:cs="黑体" w:asciiTheme="minorEastAsia" w:hAnsiTheme="minorEastAsia"/>
          <w:sz w:val="24"/>
        </w:rPr>
      </w:pPr>
      <w:r>
        <w:rPr>
          <w:rFonts w:hint="eastAsia" w:cs="黑体" w:asciiTheme="minorEastAsia" w:hAnsiTheme="minorEastAsia"/>
          <w:sz w:val="24"/>
        </w:rPr>
        <w:t>年月日</w:t>
      </w:r>
    </w:p>
    <w:p w14:paraId="01A9C9BB">
      <w:pPr>
        <w:widowControl/>
        <w:ind w:firstLine="482" w:firstLineChars="200"/>
        <w:jc w:val="left"/>
        <w:rPr>
          <w:rFonts w:cs="宋体" w:asciiTheme="minorEastAsia" w:hAnsiTheme="minorEastAsia"/>
          <w:b/>
          <w:kern w:val="0"/>
          <w:sz w:val="24"/>
        </w:rPr>
      </w:pPr>
      <w:r>
        <w:rPr>
          <w:rFonts w:asciiTheme="minorEastAsia" w:hAnsiTheme="minorEastAsia"/>
          <w:b/>
          <w:sz w:val="24"/>
        </w:rPr>
        <w:br w:type="page"/>
      </w:r>
    </w:p>
    <w:p w14:paraId="1E3292F1">
      <w:pPr>
        <w:pStyle w:val="6"/>
        <w:ind w:firstLine="482" w:firstLineChars="200"/>
      </w:pPr>
      <w:r>
        <w:t>三、联合体协议书</w:t>
      </w:r>
      <w:r>
        <w:rPr>
          <w:rFonts w:hint="eastAsia"/>
        </w:rPr>
        <w:t>（本</w:t>
      </w:r>
      <w:r>
        <w:t>项目不适用）</w:t>
      </w:r>
    </w:p>
    <w:p w14:paraId="76E6BFF5">
      <w:pPr>
        <w:spacing w:line="360" w:lineRule="auto"/>
        <w:ind w:firstLine="480" w:firstLineChars="200"/>
        <w:rPr>
          <w:rFonts w:cs="黑体" w:asciiTheme="minorEastAsia" w:hAnsiTheme="minorEastAsia"/>
          <w:sz w:val="24"/>
        </w:rPr>
      </w:pPr>
      <w:r>
        <w:rPr>
          <w:rFonts w:cs="黑体" w:asciiTheme="minorEastAsia" w:hAnsiTheme="minorEastAsia"/>
          <w:sz w:val="24"/>
        </w:rPr>
        <w:t>(所有成员单位名称)自愿组成(联合体名称) 联合体，共同参加(项目 名称)谈判活动。现就组成联合体事宜订立如下协议。</w:t>
      </w:r>
    </w:p>
    <w:p w14:paraId="37A0FE53">
      <w:pPr>
        <w:spacing w:line="360" w:lineRule="auto"/>
        <w:ind w:firstLine="480" w:firstLineChars="200"/>
        <w:rPr>
          <w:rFonts w:cs="黑体" w:asciiTheme="minorEastAsia" w:hAnsiTheme="minorEastAsia"/>
          <w:sz w:val="24"/>
        </w:rPr>
      </w:pPr>
      <w:r>
        <w:rPr>
          <w:rFonts w:hint="eastAsia" w:cs="黑体" w:asciiTheme="minorEastAsia" w:hAnsiTheme="minorEastAsia"/>
          <w:sz w:val="24"/>
        </w:rPr>
        <w:t>1.</w:t>
      </w:r>
      <w:r>
        <w:rPr>
          <w:rFonts w:cs="黑体" w:asciiTheme="minorEastAsia" w:hAnsiTheme="minorEastAsia"/>
          <w:sz w:val="24"/>
        </w:rPr>
        <w:t>(某成员单位名称)为(联合体名称)牵头人。</w:t>
      </w:r>
    </w:p>
    <w:p w14:paraId="3E09F622">
      <w:pPr>
        <w:spacing w:line="360" w:lineRule="auto"/>
        <w:ind w:firstLine="480" w:firstLineChars="200"/>
        <w:rPr>
          <w:rFonts w:cs="黑体" w:asciiTheme="minorEastAsia" w:hAnsiTheme="minorEastAsia"/>
          <w:sz w:val="24"/>
        </w:rPr>
      </w:pPr>
      <w:r>
        <w:rPr>
          <w:rFonts w:cs="黑体" w:asciiTheme="minorEastAsia" w:hAnsiTheme="minorEastAsia"/>
          <w:sz w:val="24"/>
        </w:rPr>
        <w:t>2.联合体各成员授权牵头人代表联合体参加</w:t>
      </w:r>
      <w:r>
        <w:rPr>
          <w:rFonts w:hint="eastAsia" w:cs="黑体" w:asciiTheme="minorEastAsia" w:hAnsiTheme="minorEastAsia"/>
          <w:sz w:val="24"/>
        </w:rPr>
        <w:t>谈判采购</w:t>
      </w:r>
      <w:r>
        <w:rPr>
          <w:rFonts w:cs="黑体" w:asciiTheme="minorEastAsia" w:hAnsiTheme="minorEastAsia"/>
          <w:sz w:val="24"/>
        </w:rPr>
        <w:t>活动，签署文件，提交和接收相关的资料、信息及指示，进行合同谈判活动，负责合同实施阶段的组织和协调工作，以及处理与本采购项目有关的一切事宜。</w:t>
      </w:r>
    </w:p>
    <w:p w14:paraId="79A35BCC">
      <w:pPr>
        <w:spacing w:line="360" w:lineRule="auto"/>
        <w:ind w:firstLine="480" w:firstLineChars="200"/>
        <w:rPr>
          <w:rFonts w:cs="黑体" w:asciiTheme="minorEastAsia" w:hAnsiTheme="minorEastAsia"/>
          <w:sz w:val="24"/>
        </w:rPr>
      </w:pPr>
      <w:r>
        <w:rPr>
          <w:rFonts w:cs="黑体" w:asciiTheme="minorEastAsia" w:hAnsiTheme="minorEastAsia"/>
          <w:sz w:val="24"/>
        </w:rPr>
        <w:t>3.联合体牵头人在本项目中签署的一切文件和处理的一切事宜，联合体各成员均</w:t>
      </w:r>
      <w:r>
        <w:rPr>
          <w:rFonts w:hint="eastAsia" w:cs="黑体" w:asciiTheme="minorEastAsia" w:hAnsiTheme="minorEastAsia"/>
          <w:sz w:val="24"/>
        </w:rPr>
        <w:t>予以</w:t>
      </w:r>
      <w:r>
        <w:rPr>
          <w:rFonts w:cs="黑体" w:asciiTheme="minorEastAsia" w:hAnsiTheme="minorEastAsia"/>
          <w:sz w:val="24"/>
        </w:rPr>
        <w:t>承认。联合体各成员将严格按照采购文件、</w:t>
      </w:r>
      <w:r>
        <w:rPr>
          <w:rFonts w:hint="eastAsia" w:cs="黑体" w:asciiTheme="minorEastAsia" w:hAnsiTheme="minorEastAsia"/>
          <w:sz w:val="24"/>
        </w:rPr>
        <w:t>应答文件</w:t>
      </w:r>
      <w:r>
        <w:rPr>
          <w:rFonts w:cs="黑体" w:asciiTheme="minorEastAsia" w:hAnsiTheme="minorEastAsia"/>
          <w:sz w:val="24"/>
        </w:rPr>
        <w:t>和合同的要求全面履行义务，并向</w:t>
      </w:r>
      <w:r>
        <w:rPr>
          <w:rFonts w:hint="eastAsia" w:cs="黑体" w:asciiTheme="minorEastAsia" w:hAnsiTheme="minorEastAsia"/>
          <w:sz w:val="24"/>
        </w:rPr>
        <w:t>采购单位</w:t>
      </w:r>
      <w:r>
        <w:rPr>
          <w:rFonts w:cs="黑体" w:asciiTheme="minorEastAsia" w:hAnsiTheme="minorEastAsia"/>
          <w:sz w:val="24"/>
        </w:rPr>
        <w:t>承担连带责任。</w:t>
      </w:r>
    </w:p>
    <w:p w14:paraId="3F88EAB4">
      <w:pPr>
        <w:spacing w:line="360" w:lineRule="auto"/>
        <w:ind w:firstLine="480" w:firstLineChars="200"/>
        <w:rPr>
          <w:rFonts w:cs="黑体" w:asciiTheme="minorEastAsia" w:hAnsiTheme="minorEastAsia"/>
          <w:sz w:val="24"/>
        </w:rPr>
      </w:pPr>
      <w:r>
        <w:rPr>
          <w:rFonts w:cs="黑体" w:asciiTheme="minorEastAsia" w:hAnsiTheme="minorEastAsia"/>
          <w:sz w:val="24"/>
        </w:rPr>
        <w:t>4.联合体各方承诺不以自己名义单独或参加其他联合体</w:t>
      </w:r>
      <w:r>
        <w:rPr>
          <w:rFonts w:hint="eastAsia" w:cs="黑体" w:asciiTheme="minorEastAsia" w:hAnsiTheme="minorEastAsia"/>
          <w:sz w:val="24"/>
        </w:rPr>
        <w:t>参与</w:t>
      </w:r>
      <w:r>
        <w:rPr>
          <w:rFonts w:cs="黑体" w:asciiTheme="minorEastAsia" w:hAnsiTheme="minorEastAsia"/>
          <w:sz w:val="24"/>
        </w:rPr>
        <w:t>本</w:t>
      </w:r>
      <w:r>
        <w:rPr>
          <w:rFonts w:hint="eastAsia" w:cs="黑体" w:asciiTheme="minorEastAsia" w:hAnsiTheme="minorEastAsia"/>
          <w:sz w:val="24"/>
        </w:rPr>
        <w:t>谈判采购</w:t>
      </w:r>
      <w:r>
        <w:rPr>
          <w:rFonts w:cs="黑体" w:asciiTheme="minorEastAsia" w:hAnsiTheme="minorEastAsia"/>
          <w:sz w:val="24"/>
        </w:rPr>
        <w:t>项目。</w:t>
      </w:r>
    </w:p>
    <w:p w14:paraId="63E11291">
      <w:pPr>
        <w:spacing w:line="360" w:lineRule="auto"/>
        <w:ind w:firstLine="480" w:firstLineChars="200"/>
        <w:rPr>
          <w:rFonts w:cs="黑体" w:asciiTheme="minorEastAsia" w:hAnsiTheme="minorEastAsia"/>
          <w:sz w:val="24"/>
        </w:rPr>
      </w:pPr>
      <w:r>
        <w:rPr>
          <w:rFonts w:cs="黑体" w:asciiTheme="minorEastAsia" w:hAnsiTheme="minorEastAsia"/>
          <w:sz w:val="24"/>
        </w:rPr>
        <w:t>5.联合体各成员单位内部的职责分工如下</w:t>
      </w:r>
      <w:r>
        <w:rPr>
          <w:rFonts w:hint="eastAsia" w:cs="黑体" w:asciiTheme="minorEastAsia" w:hAnsiTheme="minorEastAsia"/>
          <w:sz w:val="24"/>
        </w:rPr>
        <w:t>：。</w:t>
      </w:r>
    </w:p>
    <w:p w14:paraId="67350CAE">
      <w:pPr>
        <w:spacing w:line="360" w:lineRule="auto"/>
        <w:ind w:firstLine="480" w:firstLineChars="200"/>
        <w:rPr>
          <w:rFonts w:cs="黑体" w:asciiTheme="minorEastAsia" w:hAnsiTheme="minorEastAsia"/>
          <w:sz w:val="24"/>
        </w:rPr>
      </w:pPr>
      <w:r>
        <w:rPr>
          <w:rFonts w:cs="黑体" w:asciiTheme="minorEastAsia" w:hAnsiTheme="minorEastAsia"/>
          <w:sz w:val="24"/>
        </w:rPr>
        <w:t>6.本协议书自所有成员单位法定代表人</w:t>
      </w:r>
      <w:r>
        <w:rPr>
          <w:rFonts w:hint="eastAsia" w:cs="黑体" w:asciiTheme="minorEastAsia" w:hAnsiTheme="minorEastAsia"/>
          <w:sz w:val="24"/>
        </w:rPr>
        <w:t>(</w:t>
      </w:r>
      <w:r>
        <w:rPr>
          <w:rFonts w:cs="黑体" w:asciiTheme="minorEastAsia" w:hAnsiTheme="minorEastAsia"/>
          <w:sz w:val="24"/>
        </w:rPr>
        <w:t>单位负责人)或其授权的代理人签字并加盖公章之日起生效，合同履行完毕后自动失效。</w:t>
      </w:r>
    </w:p>
    <w:p w14:paraId="0A518B3A">
      <w:pPr>
        <w:spacing w:line="360" w:lineRule="auto"/>
        <w:ind w:firstLine="480" w:firstLineChars="200"/>
        <w:rPr>
          <w:rFonts w:cs="黑体" w:asciiTheme="minorEastAsia" w:hAnsiTheme="minorEastAsia"/>
          <w:sz w:val="24"/>
        </w:rPr>
      </w:pPr>
      <w:r>
        <w:rPr>
          <w:rFonts w:hint="eastAsia" w:cs="黑体" w:asciiTheme="minorEastAsia" w:hAnsiTheme="minorEastAsia"/>
          <w:sz w:val="24"/>
        </w:rPr>
        <w:t>7.</w:t>
      </w:r>
      <w:r>
        <w:rPr>
          <w:rFonts w:cs="黑体" w:asciiTheme="minorEastAsia" w:hAnsiTheme="minorEastAsia"/>
          <w:sz w:val="24"/>
        </w:rPr>
        <w:t>本协议书一式_份， 联合体成员和</w:t>
      </w:r>
      <w:r>
        <w:rPr>
          <w:rFonts w:hint="eastAsia" w:cs="黑体" w:asciiTheme="minorEastAsia" w:hAnsiTheme="minorEastAsia"/>
          <w:sz w:val="24"/>
        </w:rPr>
        <w:t>采购单位</w:t>
      </w:r>
      <w:r>
        <w:rPr>
          <w:rFonts w:cs="黑体" w:asciiTheme="minorEastAsia" w:hAnsiTheme="minorEastAsia"/>
          <w:sz w:val="24"/>
        </w:rPr>
        <w:t>各执一份。</w:t>
      </w:r>
    </w:p>
    <w:p w14:paraId="68832758">
      <w:pPr>
        <w:spacing w:line="360" w:lineRule="auto"/>
        <w:ind w:firstLine="480" w:firstLineChars="200"/>
        <w:rPr>
          <w:rFonts w:cs="黑体" w:asciiTheme="minorEastAsia" w:hAnsiTheme="minorEastAsia"/>
          <w:sz w:val="24"/>
        </w:rPr>
      </w:pPr>
    </w:p>
    <w:p w14:paraId="1D455BEF">
      <w:pPr>
        <w:spacing w:line="360" w:lineRule="auto"/>
        <w:ind w:firstLine="480" w:firstLineChars="200"/>
        <w:rPr>
          <w:rFonts w:cs="黑体" w:asciiTheme="minorEastAsia" w:hAnsiTheme="minorEastAsia"/>
          <w:sz w:val="24"/>
        </w:rPr>
      </w:pPr>
    </w:p>
    <w:p w14:paraId="6BC58598">
      <w:pPr>
        <w:spacing w:line="360" w:lineRule="auto"/>
        <w:ind w:firstLine="480" w:firstLineChars="200"/>
        <w:rPr>
          <w:rFonts w:cs="黑体" w:asciiTheme="minorEastAsia" w:hAnsiTheme="minorEastAsia"/>
          <w:sz w:val="24"/>
        </w:rPr>
      </w:pPr>
    </w:p>
    <w:p w14:paraId="377BE5C4">
      <w:pPr>
        <w:spacing w:line="360" w:lineRule="auto"/>
        <w:ind w:firstLine="480" w:firstLineChars="200"/>
        <w:rPr>
          <w:rFonts w:cs="黑体" w:asciiTheme="minorEastAsia" w:hAnsiTheme="minorEastAsia"/>
          <w:sz w:val="24"/>
        </w:rPr>
      </w:pPr>
    </w:p>
    <w:p w14:paraId="5D13E65A">
      <w:pPr>
        <w:spacing w:line="360" w:lineRule="auto"/>
        <w:ind w:firstLine="480" w:firstLineChars="200"/>
        <w:rPr>
          <w:rFonts w:cs="黑体" w:asciiTheme="minorEastAsia" w:hAnsiTheme="minorEastAsia"/>
          <w:sz w:val="24"/>
        </w:rPr>
      </w:pPr>
      <w:r>
        <w:rPr>
          <w:rFonts w:cs="黑体" w:asciiTheme="minorEastAsia" w:hAnsiTheme="minorEastAsia"/>
          <w:sz w:val="24"/>
        </w:rPr>
        <w:t>联合体牵头人名称</w:t>
      </w:r>
      <w:r>
        <w:rPr>
          <w:rFonts w:hint="eastAsia" w:cs="黑体" w:asciiTheme="minorEastAsia" w:hAnsiTheme="minorEastAsia"/>
          <w:sz w:val="24"/>
        </w:rPr>
        <w:t>：（盖公章）</w:t>
      </w:r>
    </w:p>
    <w:p w14:paraId="7E2C3157">
      <w:pPr>
        <w:spacing w:line="360" w:lineRule="auto"/>
        <w:ind w:firstLine="480" w:firstLineChars="200"/>
        <w:rPr>
          <w:rFonts w:cs="黑体" w:asciiTheme="minorEastAsia" w:hAnsiTheme="minorEastAsia"/>
          <w:sz w:val="24"/>
        </w:rPr>
      </w:pPr>
      <w:r>
        <w:rPr>
          <w:rFonts w:cs="黑体" w:asciiTheme="minorEastAsia" w:hAnsiTheme="minorEastAsia"/>
          <w:sz w:val="24"/>
        </w:rPr>
        <w:t>法定代表人(单位负责人)或其授权的代理人</w:t>
      </w:r>
      <w:r>
        <w:rPr>
          <w:rFonts w:hint="eastAsia" w:cs="黑体" w:asciiTheme="minorEastAsia" w:hAnsiTheme="minorEastAsia"/>
          <w:sz w:val="24"/>
        </w:rPr>
        <w:t>：</w:t>
      </w:r>
      <w:r>
        <w:rPr>
          <w:rFonts w:cs="黑体" w:asciiTheme="minorEastAsia" w:hAnsiTheme="minorEastAsia"/>
          <w:sz w:val="24"/>
        </w:rPr>
        <w:t>(签字或</w:t>
      </w:r>
      <w:r>
        <w:rPr>
          <w:rFonts w:hint="eastAsia" w:cs="黑体" w:asciiTheme="minorEastAsia" w:hAnsiTheme="minorEastAsia"/>
          <w:sz w:val="24"/>
        </w:rPr>
        <w:t>盖章</w:t>
      </w:r>
      <w:r>
        <w:rPr>
          <w:rFonts w:cs="黑体" w:asciiTheme="minorEastAsia" w:hAnsiTheme="minorEastAsia"/>
          <w:sz w:val="24"/>
        </w:rPr>
        <w:t>)</w:t>
      </w:r>
    </w:p>
    <w:p w14:paraId="4781ED5B">
      <w:pPr>
        <w:spacing w:line="360" w:lineRule="auto"/>
        <w:ind w:firstLine="480" w:firstLineChars="200"/>
        <w:rPr>
          <w:rFonts w:cs="黑体" w:asciiTheme="minorEastAsia" w:hAnsiTheme="minorEastAsia"/>
          <w:sz w:val="24"/>
        </w:rPr>
      </w:pPr>
      <w:r>
        <w:rPr>
          <w:rFonts w:cs="黑体" w:asciiTheme="minorEastAsia" w:hAnsiTheme="minorEastAsia"/>
          <w:sz w:val="24"/>
        </w:rPr>
        <w:t>联合体成员名称</w:t>
      </w:r>
      <w:r>
        <w:rPr>
          <w:rFonts w:hint="eastAsia" w:cs="黑体" w:asciiTheme="minorEastAsia" w:hAnsiTheme="minorEastAsia"/>
          <w:sz w:val="24"/>
        </w:rPr>
        <w:t>：</w:t>
      </w:r>
      <w:r>
        <w:rPr>
          <w:rFonts w:cs="黑体" w:asciiTheme="minorEastAsia" w:hAnsiTheme="minorEastAsia"/>
          <w:sz w:val="24"/>
        </w:rPr>
        <w:t>(盖公章)</w:t>
      </w:r>
    </w:p>
    <w:p w14:paraId="18B13C76">
      <w:pPr>
        <w:spacing w:line="360" w:lineRule="auto"/>
        <w:ind w:firstLine="480" w:firstLineChars="200"/>
        <w:rPr>
          <w:rFonts w:cs="黑体" w:asciiTheme="minorEastAsia" w:hAnsiTheme="minorEastAsia"/>
          <w:sz w:val="24"/>
        </w:rPr>
      </w:pPr>
      <w:r>
        <w:rPr>
          <w:rFonts w:cs="黑体" w:asciiTheme="minorEastAsia" w:hAnsiTheme="minorEastAsia"/>
          <w:sz w:val="24"/>
        </w:rPr>
        <w:t>法定代表人(单位负责人)或其授权的代理人</w:t>
      </w:r>
      <w:r>
        <w:rPr>
          <w:rFonts w:hint="eastAsia" w:cs="黑体" w:asciiTheme="minorEastAsia" w:hAnsiTheme="minorEastAsia"/>
          <w:sz w:val="24"/>
        </w:rPr>
        <w:t>：</w:t>
      </w:r>
      <w:r>
        <w:rPr>
          <w:rFonts w:cs="黑体" w:asciiTheme="minorEastAsia" w:hAnsiTheme="minorEastAsia"/>
          <w:sz w:val="24"/>
        </w:rPr>
        <w:t>( 签字或</w:t>
      </w:r>
      <w:r>
        <w:rPr>
          <w:rFonts w:hint="eastAsia" w:cs="黑体" w:asciiTheme="minorEastAsia" w:hAnsiTheme="minorEastAsia"/>
          <w:sz w:val="24"/>
        </w:rPr>
        <w:t>盖章</w:t>
      </w:r>
      <w:r>
        <w:rPr>
          <w:rFonts w:cs="黑体" w:asciiTheme="minorEastAsia" w:hAnsiTheme="minorEastAsia"/>
          <w:sz w:val="24"/>
        </w:rPr>
        <w:t>)</w:t>
      </w:r>
    </w:p>
    <w:p w14:paraId="7D26F977">
      <w:pPr>
        <w:spacing w:line="360" w:lineRule="auto"/>
        <w:ind w:firstLine="480" w:firstLineChars="200"/>
        <w:rPr>
          <w:rFonts w:cs="黑体" w:asciiTheme="minorEastAsia" w:hAnsiTheme="minorEastAsia"/>
          <w:sz w:val="24"/>
        </w:rPr>
      </w:pPr>
      <w:r>
        <w:rPr>
          <w:rFonts w:cs="黑体" w:asciiTheme="minorEastAsia" w:hAnsiTheme="minorEastAsia"/>
          <w:sz w:val="24"/>
        </w:rPr>
        <w:t>联合体成员名称</w:t>
      </w:r>
      <w:r>
        <w:rPr>
          <w:rFonts w:hint="eastAsia" w:cs="黑体" w:asciiTheme="minorEastAsia" w:hAnsiTheme="minorEastAsia"/>
          <w:sz w:val="24"/>
        </w:rPr>
        <w:t>：</w:t>
      </w:r>
      <w:r>
        <w:rPr>
          <w:rFonts w:cs="黑体" w:asciiTheme="minorEastAsia" w:hAnsiTheme="minorEastAsia"/>
          <w:sz w:val="24"/>
        </w:rPr>
        <w:t>(盖公章)</w:t>
      </w:r>
    </w:p>
    <w:p w14:paraId="693A775B">
      <w:pPr>
        <w:spacing w:line="360" w:lineRule="auto"/>
        <w:ind w:firstLine="480" w:firstLineChars="200"/>
        <w:rPr>
          <w:rFonts w:cs="黑体" w:asciiTheme="minorEastAsia" w:hAnsiTheme="minorEastAsia"/>
          <w:sz w:val="24"/>
        </w:rPr>
      </w:pPr>
      <w:r>
        <w:rPr>
          <w:rFonts w:cs="黑体" w:asciiTheme="minorEastAsia" w:hAnsiTheme="minorEastAsia"/>
          <w:sz w:val="24"/>
        </w:rPr>
        <w:t>法定代表人(单位负责人)或其授权的代理人</w:t>
      </w:r>
      <w:r>
        <w:rPr>
          <w:rFonts w:hint="eastAsia" w:cs="黑体" w:asciiTheme="minorEastAsia" w:hAnsiTheme="minorEastAsia"/>
          <w:sz w:val="24"/>
        </w:rPr>
        <w:t>：</w:t>
      </w:r>
      <w:r>
        <w:rPr>
          <w:rFonts w:cs="黑体" w:asciiTheme="minorEastAsia" w:hAnsiTheme="minorEastAsia"/>
          <w:sz w:val="24"/>
        </w:rPr>
        <w:t>( 签字或</w:t>
      </w:r>
      <w:r>
        <w:rPr>
          <w:rFonts w:hint="eastAsia" w:cs="黑体" w:asciiTheme="minorEastAsia" w:hAnsiTheme="minorEastAsia"/>
          <w:sz w:val="24"/>
        </w:rPr>
        <w:t>盖章</w:t>
      </w:r>
      <w:r>
        <w:rPr>
          <w:rFonts w:cs="黑体" w:asciiTheme="minorEastAsia" w:hAnsiTheme="minorEastAsia"/>
          <w:sz w:val="24"/>
        </w:rPr>
        <w:t>)</w:t>
      </w:r>
    </w:p>
    <w:p w14:paraId="255AA269">
      <w:pPr>
        <w:spacing w:line="360" w:lineRule="auto"/>
        <w:ind w:firstLine="480" w:firstLineChars="200"/>
        <w:rPr>
          <w:rFonts w:cs="黑体" w:asciiTheme="minorEastAsia" w:hAnsiTheme="minorEastAsia"/>
          <w:sz w:val="24"/>
        </w:rPr>
      </w:pPr>
      <w:r>
        <w:rPr>
          <w:rFonts w:cs="黑体" w:asciiTheme="minorEastAsia" w:hAnsiTheme="minorEastAsia"/>
          <w:sz w:val="24"/>
        </w:rPr>
        <w:t>.....</w:t>
      </w:r>
    </w:p>
    <w:p w14:paraId="19F97971">
      <w:pPr>
        <w:spacing w:line="360" w:lineRule="auto"/>
        <w:ind w:firstLine="480" w:firstLineChars="200"/>
        <w:rPr>
          <w:rFonts w:cs="黑体" w:asciiTheme="minorEastAsia" w:hAnsiTheme="minorEastAsia"/>
          <w:sz w:val="24"/>
        </w:rPr>
      </w:pPr>
      <w:r>
        <w:rPr>
          <w:rFonts w:hint="eastAsia" w:cs="黑体" w:asciiTheme="minorEastAsia" w:hAnsiTheme="minorEastAsia"/>
          <w:sz w:val="24"/>
        </w:rPr>
        <w:t>年月日</w:t>
      </w:r>
    </w:p>
    <w:p w14:paraId="27BA30EB">
      <w:pPr>
        <w:widowControl/>
        <w:ind w:firstLine="482" w:firstLineChars="200"/>
        <w:jc w:val="left"/>
        <w:rPr>
          <w:rFonts w:cs="宋体" w:asciiTheme="minorEastAsia" w:hAnsiTheme="minorEastAsia"/>
          <w:b/>
          <w:kern w:val="0"/>
          <w:sz w:val="24"/>
        </w:rPr>
      </w:pPr>
      <w:r>
        <w:rPr>
          <w:rFonts w:asciiTheme="minorEastAsia" w:hAnsiTheme="minorEastAsia"/>
          <w:b/>
          <w:sz w:val="24"/>
        </w:rPr>
        <w:br w:type="page"/>
      </w:r>
    </w:p>
    <w:p w14:paraId="4CFC0954">
      <w:pPr>
        <w:pStyle w:val="6"/>
        <w:ind w:firstLine="482" w:firstLineChars="200"/>
      </w:pPr>
      <w:r>
        <w:t>四、</w:t>
      </w:r>
      <w:r>
        <w:rPr>
          <w:rFonts w:hint="eastAsia"/>
        </w:rPr>
        <w:t>应答保证金</w:t>
      </w:r>
    </w:p>
    <w:p w14:paraId="0EAA3B19">
      <w:pPr>
        <w:pStyle w:val="3"/>
        <w:numPr>
          <w:ilvl w:val="0"/>
          <w:numId w:val="17"/>
        </w:numPr>
        <w:adjustRightInd w:val="0"/>
        <w:snapToGrid w:val="0"/>
        <w:ind w:firstLine="48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如采用</w:t>
      </w:r>
      <w:r>
        <w:rPr>
          <w:rFonts w:hint="eastAsia" w:asciiTheme="minorEastAsia" w:hAnsiTheme="minorEastAsia" w:eastAsiaTheme="minorEastAsia"/>
          <w:b/>
          <w:bCs/>
          <w:sz w:val="24"/>
          <w:szCs w:val="24"/>
          <w:lang w:eastAsia="zh-CN"/>
        </w:rPr>
        <w:t>电汇方式</w:t>
      </w:r>
      <w:r>
        <w:rPr>
          <w:rFonts w:asciiTheme="minorEastAsia" w:hAnsiTheme="minorEastAsia" w:eastAsiaTheme="minorEastAsia"/>
          <w:sz w:val="24"/>
          <w:szCs w:val="24"/>
          <w:lang w:eastAsia="zh-CN"/>
        </w:rPr>
        <w:t>递交</w:t>
      </w:r>
      <w:r>
        <w:rPr>
          <w:rFonts w:hint="eastAsia" w:asciiTheme="minorEastAsia" w:hAnsiTheme="minorEastAsia" w:eastAsiaTheme="minorEastAsia"/>
          <w:sz w:val="24"/>
          <w:szCs w:val="24"/>
          <w:lang w:eastAsia="zh-CN"/>
        </w:rPr>
        <w:t>应答</w:t>
      </w:r>
      <w:r>
        <w:rPr>
          <w:rFonts w:asciiTheme="minorEastAsia" w:hAnsiTheme="minorEastAsia" w:eastAsiaTheme="minorEastAsia"/>
          <w:sz w:val="24"/>
          <w:szCs w:val="24"/>
          <w:lang w:eastAsia="zh-CN"/>
        </w:rPr>
        <w:t>保证金，应在此提供</w:t>
      </w:r>
      <w:bookmarkStart w:id="234" w:name="_Hlk183009535"/>
      <w:r>
        <w:rPr>
          <w:rFonts w:hint="eastAsia" w:asciiTheme="minorEastAsia" w:hAnsiTheme="minorEastAsia" w:eastAsiaTheme="minorEastAsia"/>
          <w:sz w:val="24"/>
          <w:szCs w:val="24"/>
          <w:lang w:eastAsia="zh-CN"/>
        </w:rPr>
        <w:t>汇款证明材料</w:t>
      </w:r>
      <w:bookmarkEnd w:id="234"/>
      <w:r>
        <w:rPr>
          <w:rFonts w:asciiTheme="minorEastAsia" w:hAnsiTheme="minorEastAsia" w:eastAsiaTheme="minorEastAsia"/>
          <w:sz w:val="24"/>
          <w:szCs w:val="24"/>
          <w:lang w:eastAsia="zh-CN"/>
        </w:rPr>
        <w:t>的复印件</w:t>
      </w:r>
      <w:r>
        <w:rPr>
          <w:rFonts w:hint="eastAsia" w:asciiTheme="minorEastAsia" w:hAnsiTheme="minorEastAsia" w:eastAsiaTheme="minorEastAsia"/>
          <w:sz w:val="24"/>
          <w:szCs w:val="24"/>
          <w:lang w:eastAsia="zh-CN"/>
        </w:rPr>
        <w:t>。</w:t>
      </w:r>
    </w:p>
    <w:p w14:paraId="6610C867">
      <w:pPr>
        <w:pStyle w:val="3"/>
        <w:numPr>
          <w:ilvl w:val="0"/>
          <w:numId w:val="17"/>
        </w:numPr>
        <w:adjustRightInd w:val="0"/>
        <w:snapToGrid w:val="0"/>
        <w:ind w:firstLine="48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如采用</w:t>
      </w:r>
      <w:r>
        <w:rPr>
          <w:rStyle w:val="25"/>
          <w:rFonts w:hint="eastAsia"/>
          <w:bCs/>
          <w:color w:val="333333"/>
          <w:sz w:val="24"/>
          <w:szCs w:val="24"/>
          <w:shd w:val="clear" w:color="auto" w:fill="FFFFFF"/>
          <w:lang w:eastAsia="zh-CN"/>
        </w:rPr>
        <w:t>保函（保险）方式</w:t>
      </w:r>
      <w:r>
        <w:rPr>
          <w:rFonts w:asciiTheme="minorEastAsia" w:hAnsiTheme="minorEastAsia" w:eastAsiaTheme="minorEastAsia"/>
          <w:sz w:val="24"/>
          <w:szCs w:val="24"/>
          <w:lang w:eastAsia="zh-CN"/>
        </w:rPr>
        <w:t>递交</w:t>
      </w:r>
      <w:r>
        <w:rPr>
          <w:rFonts w:hint="eastAsia" w:asciiTheme="minorEastAsia" w:hAnsiTheme="minorEastAsia" w:eastAsiaTheme="minorEastAsia"/>
          <w:sz w:val="24"/>
          <w:szCs w:val="24"/>
          <w:lang w:eastAsia="zh-CN"/>
        </w:rPr>
        <w:t>应答</w:t>
      </w:r>
      <w:r>
        <w:rPr>
          <w:rFonts w:asciiTheme="minorEastAsia" w:hAnsiTheme="minorEastAsia" w:eastAsiaTheme="minorEastAsia"/>
          <w:sz w:val="24"/>
          <w:szCs w:val="24"/>
          <w:lang w:eastAsia="zh-CN"/>
        </w:rPr>
        <w:t>保证金</w:t>
      </w:r>
      <w:r>
        <w:rPr>
          <w:rStyle w:val="25"/>
          <w:rFonts w:hint="eastAsia"/>
          <w:b w:val="0"/>
          <w:color w:val="333333"/>
          <w:sz w:val="24"/>
          <w:szCs w:val="24"/>
          <w:shd w:val="clear" w:color="auto" w:fill="FFFFFF"/>
          <w:lang w:eastAsia="zh-CN"/>
        </w:rPr>
        <w:t>，</w:t>
      </w:r>
      <w:r>
        <w:rPr>
          <w:rFonts w:hint="eastAsia" w:asciiTheme="minorEastAsia" w:hAnsiTheme="minorEastAsia" w:eastAsiaTheme="minorEastAsia"/>
          <w:sz w:val="24"/>
          <w:szCs w:val="24"/>
          <w:lang w:eastAsia="zh-CN"/>
        </w:rPr>
        <w:t>保函（保险）为纸质版的，请供应商单独密封纸质保函（保险）原件，于应答截止时间前递交给代理机构，保函（保险）</w:t>
      </w:r>
      <w:r>
        <w:rPr>
          <w:rFonts w:hint="eastAsia" w:asciiTheme="minorEastAsia" w:hAnsiTheme="minorEastAsia" w:eastAsiaTheme="minorEastAsia"/>
          <w:sz w:val="24"/>
          <w:szCs w:val="24"/>
          <w:lang w:val="en-GB" w:eastAsia="zh-CN"/>
        </w:rPr>
        <w:t>有效期应与</w:t>
      </w:r>
      <w:r>
        <w:rPr>
          <w:rFonts w:hint="eastAsia" w:asciiTheme="minorEastAsia" w:hAnsiTheme="minorEastAsia" w:eastAsiaTheme="minorEastAsia"/>
          <w:sz w:val="24"/>
          <w:szCs w:val="24"/>
          <w:lang w:eastAsia="zh-CN"/>
        </w:rPr>
        <w:t>应答文件</w:t>
      </w:r>
      <w:r>
        <w:rPr>
          <w:rFonts w:hint="eastAsia" w:asciiTheme="minorEastAsia" w:hAnsiTheme="minorEastAsia" w:eastAsiaTheme="minorEastAsia"/>
          <w:sz w:val="24"/>
          <w:szCs w:val="24"/>
          <w:lang w:val="en-GB" w:eastAsia="zh-CN"/>
        </w:rPr>
        <w:t>有效期一致，</w:t>
      </w:r>
      <w:r>
        <w:rPr>
          <w:rFonts w:hint="eastAsia" w:asciiTheme="minorEastAsia" w:hAnsiTheme="minorEastAsia" w:eastAsiaTheme="minorEastAsia"/>
          <w:sz w:val="24"/>
          <w:szCs w:val="24"/>
          <w:lang w:eastAsia="zh-CN"/>
        </w:rPr>
        <w:t>并在此附保函（保险）复印件</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保函（保险）为电子版的，请在此附电子保函（保险）原件，电子保函（保险）有效期应与应答文件有效期一致。</w:t>
      </w:r>
    </w:p>
    <w:p w14:paraId="004AAEB8">
      <w:pPr>
        <w:widowControl/>
        <w:ind w:firstLine="482" w:firstLineChars="200"/>
        <w:jc w:val="left"/>
        <w:rPr>
          <w:rFonts w:cs="宋体" w:asciiTheme="minorEastAsia" w:hAnsiTheme="minorEastAsia"/>
          <w:b/>
          <w:kern w:val="0"/>
          <w:sz w:val="24"/>
        </w:rPr>
      </w:pPr>
      <w:r>
        <w:rPr>
          <w:rFonts w:asciiTheme="minorEastAsia" w:hAnsiTheme="minorEastAsia"/>
          <w:b/>
          <w:sz w:val="24"/>
        </w:rPr>
        <w:br w:type="page"/>
      </w:r>
    </w:p>
    <w:p w14:paraId="04FEB394">
      <w:pPr>
        <w:pStyle w:val="6"/>
        <w:ind w:firstLine="482" w:firstLineChars="200"/>
      </w:pPr>
      <w:r>
        <w:t>五、商务和技术偏差表</w:t>
      </w:r>
    </w:p>
    <w:p w14:paraId="56640B76">
      <w:pPr>
        <w:pStyle w:val="3"/>
        <w:tabs>
          <w:tab w:val="left" w:pos="1991"/>
        </w:tabs>
        <w:adjustRightInd w:val="0"/>
        <w:snapToGrid w:val="0"/>
        <w:spacing w:line="360" w:lineRule="auto"/>
        <w:ind w:firstLine="482" w:firstLineChars="200"/>
        <w:jc w:val="center"/>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（一）商务偏差表</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5"/>
        <w:gridCol w:w="1593"/>
        <w:gridCol w:w="2866"/>
        <w:gridCol w:w="2371"/>
        <w:gridCol w:w="1823"/>
      </w:tblGrid>
      <w:tr w14:paraId="48E6C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vAlign w:val="center"/>
          </w:tcPr>
          <w:p w14:paraId="6603156D">
            <w:pPr>
              <w:jc w:val="center"/>
              <w:rPr>
                <w:rFonts w:cs="黑体" w:asciiTheme="minorEastAsia" w:hAnsiTheme="minorEastAsia"/>
                <w:sz w:val="24"/>
              </w:rPr>
            </w:pPr>
            <w:r>
              <w:rPr>
                <w:rFonts w:hint="eastAsia" w:cs="黑体" w:asciiTheme="minorEastAsia" w:hAnsiTheme="minorEastAsia"/>
                <w:sz w:val="24"/>
              </w:rPr>
              <w:t>序号</w:t>
            </w:r>
          </w:p>
        </w:tc>
        <w:tc>
          <w:tcPr>
            <w:tcW w:w="2399" w:type="pct"/>
            <w:gridSpan w:val="2"/>
            <w:vAlign w:val="center"/>
          </w:tcPr>
          <w:p w14:paraId="270CCF5B">
            <w:pPr>
              <w:jc w:val="center"/>
              <w:rPr>
                <w:rFonts w:cs="黑体" w:asciiTheme="minorEastAsia" w:hAnsiTheme="minorEastAsia"/>
                <w:sz w:val="24"/>
              </w:rPr>
            </w:pPr>
            <w:r>
              <w:rPr>
                <w:rFonts w:hint="eastAsia" w:cs="黑体" w:asciiTheme="minorEastAsia" w:hAnsiTheme="minorEastAsia"/>
                <w:sz w:val="24"/>
              </w:rPr>
              <w:t>采购文件章节、条款号及要求</w:t>
            </w:r>
          </w:p>
        </w:tc>
        <w:tc>
          <w:tcPr>
            <w:tcW w:w="1276" w:type="pct"/>
            <w:vAlign w:val="center"/>
          </w:tcPr>
          <w:p w14:paraId="4722D4CB">
            <w:pPr>
              <w:jc w:val="center"/>
              <w:rPr>
                <w:rFonts w:cs="黑体" w:asciiTheme="minorEastAsia" w:hAnsiTheme="minorEastAsia"/>
                <w:sz w:val="24"/>
              </w:rPr>
            </w:pPr>
            <w:r>
              <w:rPr>
                <w:rFonts w:hint="eastAsia" w:cs="黑体" w:asciiTheme="minorEastAsia" w:hAnsiTheme="minorEastAsia"/>
                <w:sz w:val="24"/>
              </w:rPr>
              <w:t>应答文件章节、条款号及响应内容</w:t>
            </w:r>
          </w:p>
        </w:tc>
        <w:tc>
          <w:tcPr>
            <w:tcW w:w="981" w:type="pct"/>
            <w:vAlign w:val="center"/>
          </w:tcPr>
          <w:p w14:paraId="718FE99A">
            <w:pPr>
              <w:jc w:val="center"/>
              <w:rPr>
                <w:rFonts w:cs="黑体" w:asciiTheme="minorEastAsia" w:hAnsiTheme="minorEastAsia"/>
                <w:sz w:val="24"/>
              </w:rPr>
            </w:pPr>
            <w:r>
              <w:rPr>
                <w:rFonts w:hint="eastAsia" w:cs="黑体" w:asciiTheme="minorEastAsia" w:hAnsiTheme="minorEastAsia"/>
                <w:sz w:val="24"/>
              </w:rPr>
              <w:t>偏差说明</w:t>
            </w:r>
          </w:p>
        </w:tc>
      </w:tr>
      <w:tr w14:paraId="3B545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vAlign w:val="center"/>
          </w:tcPr>
          <w:p w14:paraId="25E73571">
            <w:pPr>
              <w:rPr>
                <w:rFonts w:cs="黑体" w:asciiTheme="minorEastAsia" w:hAnsiTheme="minorEastAsia"/>
                <w:sz w:val="24"/>
              </w:rPr>
            </w:pPr>
            <w:r>
              <w:rPr>
                <w:rFonts w:hint="eastAsia" w:cs="黑体" w:asciiTheme="minorEastAsia" w:hAnsiTheme="minorEastAsia"/>
                <w:sz w:val="24"/>
              </w:rPr>
              <w:t>1</w:t>
            </w:r>
          </w:p>
        </w:tc>
        <w:tc>
          <w:tcPr>
            <w:tcW w:w="857" w:type="pct"/>
            <w:vAlign w:val="center"/>
          </w:tcPr>
          <w:p w14:paraId="48223CDD">
            <w:pPr>
              <w:adjustRightInd w:val="0"/>
              <w:snapToGrid w:val="0"/>
              <w:spacing w:line="360" w:lineRule="auto"/>
              <w:rPr>
                <w:rFonts w:asciiTheme="minorEastAsia" w:hAnsiTheme="minorEastAsia"/>
                <w:sz w:val="24"/>
              </w:rPr>
            </w:pPr>
            <w:r>
              <w:rPr>
                <w:rFonts w:hint="eastAsia" w:asciiTheme="minorEastAsia" w:hAnsiTheme="minorEastAsia"/>
                <w:sz w:val="24"/>
              </w:rPr>
              <w:t>服务</w:t>
            </w:r>
            <w:r>
              <w:rPr>
                <w:rFonts w:asciiTheme="minorEastAsia" w:hAnsiTheme="minorEastAsia"/>
                <w:sz w:val="24"/>
              </w:rPr>
              <w:t>期</w:t>
            </w:r>
          </w:p>
        </w:tc>
        <w:tc>
          <w:tcPr>
            <w:tcW w:w="1541" w:type="pct"/>
            <w:vAlign w:val="center"/>
          </w:tcPr>
          <w:p w14:paraId="4766E9E5">
            <w:pPr>
              <w:adjustRightInd w:val="0"/>
              <w:snapToGrid w:val="0"/>
              <w:rPr>
                <w:rFonts w:asciiTheme="minorEastAsia" w:hAnsiTheme="minorEastAsia"/>
                <w:sz w:val="24"/>
              </w:rPr>
            </w:pPr>
            <w:r>
              <w:rPr>
                <w:rFonts w:hint="eastAsia" w:asciiTheme="minorEastAsia" w:hAnsiTheme="minorEastAsia"/>
                <w:sz w:val="24"/>
              </w:rPr>
              <w:t>详</w:t>
            </w:r>
            <w:r>
              <w:rPr>
                <w:rFonts w:asciiTheme="minorEastAsia" w:hAnsiTheme="minorEastAsia"/>
                <w:sz w:val="24"/>
              </w:rPr>
              <w:t>见第</w:t>
            </w:r>
            <w:r>
              <w:rPr>
                <w:rFonts w:hint="eastAsia" w:asciiTheme="minorEastAsia" w:hAnsiTheme="minorEastAsia"/>
                <w:sz w:val="24"/>
              </w:rPr>
              <w:t>一</w:t>
            </w:r>
            <w:r>
              <w:rPr>
                <w:rFonts w:asciiTheme="minorEastAsia" w:hAnsiTheme="minorEastAsia"/>
                <w:sz w:val="24"/>
              </w:rPr>
              <w:t>章</w:t>
            </w:r>
            <w:r>
              <w:rPr>
                <w:rFonts w:hint="eastAsia" w:asciiTheme="minorEastAsia" w:hAnsiTheme="minorEastAsia"/>
                <w:sz w:val="24"/>
              </w:rPr>
              <w:t>2</w:t>
            </w:r>
            <w:r>
              <w:rPr>
                <w:rFonts w:asciiTheme="minorEastAsia" w:hAnsiTheme="minorEastAsia"/>
                <w:sz w:val="24"/>
              </w:rPr>
              <w:t xml:space="preserve"> 项规定</w:t>
            </w:r>
          </w:p>
        </w:tc>
        <w:tc>
          <w:tcPr>
            <w:tcW w:w="1276" w:type="pct"/>
          </w:tcPr>
          <w:p w14:paraId="532D3D9B">
            <w:pPr>
              <w:rPr>
                <w:rFonts w:cs="黑体" w:asciiTheme="minorEastAsia" w:hAnsiTheme="minorEastAsia"/>
                <w:sz w:val="24"/>
              </w:rPr>
            </w:pPr>
          </w:p>
        </w:tc>
        <w:tc>
          <w:tcPr>
            <w:tcW w:w="981" w:type="pct"/>
          </w:tcPr>
          <w:p w14:paraId="4DD7107E">
            <w:pPr>
              <w:rPr>
                <w:rFonts w:cs="黑体" w:asciiTheme="minorEastAsia" w:hAnsiTheme="minorEastAsia"/>
                <w:sz w:val="24"/>
              </w:rPr>
            </w:pPr>
          </w:p>
        </w:tc>
      </w:tr>
      <w:tr w14:paraId="4F13F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vAlign w:val="center"/>
          </w:tcPr>
          <w:p w14:paraId="47821C04">
            <w:pPr>
              <w:rPr>
                <w:rFonts w:cs="黑体" w:asciiTheme="minorEastAsia" w:hAnsiTheme="minorEastAsia"/>
                <w:sz w:val="24"/>
              </w:rPr>
            </w:pPr>
            <w:r>
              <w:rPr>
                <w:rFonts w:hint="eastAsia" w:cs="黑体" w:asciiTheme="minorEastAsia" w:hAnsiTheme="minorEastAsia"/>
                <w:sz w:val="24"/>
              </w:rPr>
              <w:t>2</w:t>
            </w:r>
          </w:p>
        </w:tc>
        <w:tc>
          <w:tcPr>
            <w:tcW w:w="857" w:type="pct"/>
            <w:vAlign w:val="center"/>
          </w:tcPr>
          <w:p w14:paraId="5F78C410">
            <w:pPr>
              <w:adjustRightInd w:val="0"/>
              <w:snapToGrid w:val="0"/>
              <w:spacing w:line="360" w:lineRule="auto"/>
              <w:rPr>
                <w:rFonts w:asciiTheme="minorEastAsia" w:hAnsiTheme="minorEastAsia"/>
                <w:sz w:val="24"/>
              </w:rPr>
            </w:pPr>
            <w:r>
              <w:rPr>
                <w:rFonts w:hint="eastAsia" w:asciiTheme="minorEastAsia" w:hAnsiTheme="minorEastAsia"/>
                <w:sz w:val="24"/>
              </w:rPr>
              <w:t>服务</w:t>
            </w:r>
            <w:r>
              <w:rPr>
                <w:rFonts w:asciiTheme="minorEastAsia" w:hAnsiTheme="minorEastAsia"/>
                <w:sz w:val="24"/>
              </w:rPr>
              <w:t>地点</w:t>
            </w:r>
          </w:p>
        </w:tc>
        <w:tc>
          <w:tcPr>
            <w:tcW w:w="1541" w:type="pct"/>
            <w:vAlign w:val="center"/>
          </w:tcPr>
          <w:p w14:paraId="65520495">
            <w:pPr>
              <w:adjustRightInd w:val="0"/>
              <w:snapToGrid w:val="0"/>
              <w:rPr>
                <w:rFonts w:asciiTheme="minorEastAsia" w:hAnsiTheme="minorEastAsia"/>
                <w:sz w:val="24"/>
              </w:rPr>
            </w:pPr>
            <w:r>
              <w:rPr>
                <w:rFonts w:hint="eastAsia" w:asciiTheme="minorEastAsia" w:hAnsiTheme="minorEastAsia"/>
                <w:sz w:val="24"/>
              </w:rPr>
              <w:t>详</w:t>
            </w:r>
            <w:r>
              <w:rPr>
                <w:rFonts w:asciiTheme="minorEastAsia" w:hAnsiTheme="minorEastAsia"/>
                <w:sz w:val="24"/>
              </w:rPr>
              <w:t>见第</w:t>
            </w:r>
            <w:r>
              <w:rPr>
                <w:rFonts w:hint="eastAsia" w:asciiTheme="minorEastAsia" w:hAnsiTheme="minorEastAsia"/>
                <w:sz w:val="24"/>
              </w:rPr>
              <w:t>一</w:t>
            </w:r>
            <w:r>
              <w:rPr>
                <w:rFonts w:asciiTheme="minorEastAsia" w:hAnsiTheme="minorEastAsia"/>
                <w:sz w:val="24"/>
              </w:rPr>
              <w:t>章</w:t>
            </w:r>
            <w:r>
              <w:rPr>
                <w:rFonts w:hint="eastAsia" w:asciiTheme="minorEastAsia" w:hAnsiTheme="minorEastAsia"/>
                <w:sz w:val="24"/>
              </w:rPr>
              <w:t>2</w:t>
            </w:r>
            <w:r>
              <w:rPr>
                <w:rFonts w:asciiTheme="minorEastAsia" w:hAnsiTheme="minorEastAsia"/>
                <w:sz w:val="24"/>
              </w:rPr>
              <w:t>项规定</w:t>
            </w:r>
          </w:p>
        </w:tc>
        <w:tc>
          <w:tcPr>
            <w:tcW w:w="1276" w:type="pct"/>
          </w:tcPr>
          <w:p w14:paraId="34124209">
            <w:pPr>
              <w:rPr>
                <w:rFonts w:cs="黑体" w:asciiTheme="minorEastAsia" w:hAnsiTheme="minorEastAsia"/>
                <w:sz w:val="24"/>
              </w:rPr>
            </w:pPr>
          </w:p>
        </w:tc>
        <w:tc>
          <w:tcPr>
            <w:tcW w:w="981" w:type="pct"/>
          </w:tcPr>
          <w:p w14:paraId="3E471040">
            <w:pPr>
              <w:rPr>
                <w:rFonts w:cs="黑体" w:asciiTheme="minorEastAsia" w:hAnsiTheme="minorEastAsia"/>
                <w:sz w:val="24"/>
              </w:rPr>
            </w:pPr>
          </w:p>
        </w:tc>
      </w:tr>
      <w:tr w14:paraId="6685C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vAlign w:val="center"/>
          </w:tcPr>
          <w:p w14:paraId="18E23B47">
            <w:pPr>
              <w:rPr>
                <w:rFonts w:cs="黑体" w:asciiTheme="minorEastAsia" w:hAnsiTheme="minorEastAsia"/>
                <w:sz w:val="24"/>
              </w:rPr>
            </w:pPr>
            <w:r>
              <w:rPr>
                <w:rFonts w:hint="eastAsia" w:cs="黑体" w:asciiTheme="minorEastAsia" w:hAnsiTheme="minorEastAsia"/>
                <w:sz w:val="24"/>
              </w:rPr>
              <w:t>3</w:t>
            </w:r>
          </w:p>
        </w:tc>
        <w:tc>
          <w:tcPr>
            <w:tcW w:w="857" w:type="pct"/>
            <w:vAlign w:val="center"/>
          </w:tcPr>
          <w:p w14:paraId="4608BC6D">
            <w:pPr>
              <w:adjustRightInd w:val="0"/>
              <w:snapToGrid w:val="0"/>
              <w:spacing w:line="360" w:lineRule="auto"/>
              <w:rPr>
                <w:rFonts w:asciiTheme="minorEastAsia" w:hAnsiTheme="minorEastAsia"/>
                <w:sz w:val="24"/>
              </w:rPr>
            </w:pPr>
            <w:r>
              <w:rPr>
                <w:rFonts w:cs="黑体" w:asciiTheme="minorEastAsia" w:hAnsiTheme="minorEastAsia"/>
                <w:sz w:val="24"/>
              </w:rPr>
              <w:t>付款条件</w:t>
            </w:r>
          </w:p>
        </w:tc>
        <w:tc>
          <w:tcPr>
            <w:tcW w:w="1541" w:type="pct"/>
            <w:vAlign w:val="center"/>
          </w:tcPr>
          <w:p w14:paraId="168A59B0">
            <w:pPr>
              <w:adjustRightInd w:val="0"/>
              <w:snapToGrid w:val="0"/>
              <w:rPr>
                <w:rFonts w:asciiTheme="minorEastAsia" w:hAnsiTheme="minorEastAsia"/>
                <w:sz w:val="24"/>
              </w:rPr>
            </w:pPr>
            <w:r>
              <w:rPr>
                <w:rFonts w:hint="eastAsia" w:cs="黑体" w:asciiTheme="minorEastAsia" w:hAnsiTheme="minorEastAsia"/>
                <w:sz w:val="24"/>
              </w:rPr>
              <w:t>详</w:t>
            </w:r>
            <w:r>
              <w:rPr>
                <w:rFonts w:cs="黑体" w:asciiTheme="minorEastAsia" w:hAnsiTheme="minorEastAsia"/>
                <w:sz w:val="24"/>
              </w:rPr>
              <w:t>见</w:t>
            </w:r>
            <w:r>
              <w:rPr>
                <w:rFonts w:hint="eastAsia" w:cs="黑体" w:asciiTheme="minorEastAsia" w:hAnsiTheme="minorEastAsia"/>
                <w:sz w:val="24"/>
              </w:rPr>
              <w:t>第四章合同草案</w:t>
            </w:r>
          </w:p>
        </w:tc>
        <w:tc>
          <w:tcPr>
            <w:tcW w:w="1276" w:type="pct"/>
          </w:tcPr>
          <w:p w14:paraId="273818BE">
            <w:pPr>
              <w:rPr>
                <w:rFonts w:cs="黑体" w:asciiTheme="minorEastAsia" w:hAnsiTheme="minorEastAsia"/>
                <w:sz w:val="24"/>
              </w:rPr>
            </w:pPr>
          </w:p>
        </w:tc>
        <w:tc>
          <w:tcPr>
            <w:tcW w:w="981" w:type="pct"/>
          </w:tcPr>
          <w:p w14:paraId="1A984852">
            <w:pPr>
              <w:rPr>
                <w:rFonts w:cs="黑体" w:asciiTheme="minorEastAsia" w:hAnsiTheme="minorEastAsia"/>
                <w:sz w:val="24"/>
              </w:rPr>
            </w:pPr>
          </w:p>
        </w:tc>
      </w:tr>
      <w:tr w14:paraId="6D8BC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vAlign w:val="center"/>
          </w:tcPr>
          <w:p w14:paraId="50F9F8FF">
            <w:pPr>
              <w:rPr>
                <w:rFonts w:cs="黑体" w:asciiTheme="minorEastAsia" w:hAnsiTheme="minorEastAsia"/>
                <w:sz w:val="24"/>
              </w:rPr>
            </w:pPr>
            <w:r>
              <w:rPr>
                <w:rFonts w:hint="eastAsia" w:cs="黑体" w:asciiTheme="minorEastAsia" w:hAnsiTheme="minorEastAsia"/>
                <w:sz w:val="24"/>
              </w:rPr>
              <w:t>4</w:t>
            </w:r>
          </w:p>
        </w:tc>
        <w:tc>
          <w:tcPr>
            <w:tcW w:w="857" w:type="pct"/>
            <w:vAlign w:val="center"/>
          </w:tcPr>
          <w:p w14:paraId="2CB9DD16">
            <w:pPr>
              <w:rPr>
                <w:rFonts w:asciiTheme="minorEastAsia" w:hAnsiTheme="minorEastAsia"/>
                <w:sz w:val="24"/>
              </w:rPr>
            </w:pPr>
            <w:r>
              <w:rPr>
                <w:rFonts w:hint="eastAsia" w:asciiTheme="minorEastAsia" w:hAnsiTheme="minorEastAsia"/>
                <w:sz w:val="24"/>
              </w:rPr>
              <w:t>质保期</w:t>
            </w:r>
          </w:p>
        </w:tc>
        <w:tc>
          <w:tcPr>
            <w:tcW w:w="1541" w:type="pct"/>
            <w:vAlign w:val="center"/>
          </w:tcPr>
          <w:p w14:paraId="0E64FAE8">
            <w:pPr>
              <w:rPr>
                <w:rFonts w:asciiTheme="minorEastAsia" w:hAnsiTheme="minorEastAsia"/>
                <w:sz w:val="24"/>
              </w:rPr>
            </w:pPr>
            <w:r>
              <w:rPr>
                <w:rFonts w:hint="eastAsia" w:cs="黑体" w:asciiTheme="minorEastAsia" w:hAnsiTheme="minorEastAsia"/>
                <w:sz w:val="24"/>
              </w:rPr>
              <w:t>详</w:t>
            </w:r>
            <w:r>
              <w:rPr>
                <w:rFonts w:cs="黑体" w:asciiTheme="minorEastAsia" w:hAnsiTheme="minorEastAsia"/>
                <w:sz w:val="24"/>
              </w:rPr>
              <w:t>见</w:t>
            </w:r>
            <w:r>
              <w:rPr>
                <w:rFonts w:hint="eastAsia" w:cs="黑体" w:asciiTheme="minorEastAsia" w:hAnsiTheme="minorEastAsia"/>
                <w:sz w:val="24"/>
              </w:rPr>
              <w:t>第五章采购需求</w:t>
            </w:r>
          </w:p>
        </w:tc>
        <w:tc>
          <w:tcPr>
            <w:tcW w:w="1276" w:type="pct"/>
          </w:tcPr>
          <w:p w14:paraId="74877D27">
            <w:pPr>
              <w:rPr>
                <w:rFonts w:cs="黑体" w:asciiTheme="minorEastAsia" w:hAnsiTheme="minorEastAsia"/>
                <w:sz w:val="24"/>
              </w:rPr>
            </w:pPr>
          </w:p>
        </w:tc>
        <w:tc>
          <w:tcPr>
            <w:tcW w:w="981" w:type="pct"/>
          </w:tcPr>
          <w:p w14:paraId="7BA85D36">
            <w:pPr>
              <w:rPr>
                <w:rFonts w:cs="黑体" w:asciiTheme="minorEastAsia" w:hAnsiTheme="minorEastAsia"/>
                <w:sz w:val="24"/>
              </w:rPr>
            </w:pPr>
          </w:p>
        </w:tc>
      </w:tr>
      <w:tr w14:paraId="3BDA1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14:paraId="3A667E66">
            <w:pPr>
              <w:rPr>
                <w:rFonts w:cs="黑体" w:asciiTheme="minorEastAsia" w:hAnsiTheme="minorEastAsia"/>
                <w:sz w:val="24"/>
              </w:rPr>
            </w:pPr>
            <w:r>
              <w:rPr>
                <w:rFonts w:hint="eastAsia" w:cs="黑体" w:asciiTheme="minorEastAsia" w:hAnsiTheme="minorEastAsia"/>
                <w:sz w:val="24"/>
              </w:rPr>
              <w:t>45</w:t>
            </w:r>
          </w:p>
        </w:tc>
        <w:tc>
          <w:tcPr>
            <w:tcW w:w="1593" w:type="dxa"/>
            <w:vAlign w:val="center"/>
          </w:tcPr>
          <w:p w14:paraId="3E878C8B">
            <w:pPr>
              <w:rPr>
                <w:rFonts w:cs="黑体" w:asciiTheme="minorEastAsia" w:hAnsiTheme="minorEastAsia"/>
                <w:sz w:val="24"/>
              </w:rPr>
            </w:pPr>
            <w:r>
              <w:rPr>
                <w:rFonts w:hint="eastAsia" w:cs="黑体" w:asciiTheme="minorEastAsia" w:hAnsiTheme="minorEastAsia"/>
                <w:sz w:val="24"/>
              </w:rPr>
              <w:t>其</w:t>
            </w:r>
            <w:r>
              <w:rPr>
                <w:rFonts w:cs="黑体" w:asciiTheme="minorEastAsia" w:hAnsiTheme="minorEastAsia"/>
                <w:sz w:val="24"/>
              </w:rPr>
              <w:t>它要求</w:t>
            </w:r>
          </w:p>
        </w:tc>
        <w:tc>
          <w:tcPr>
            <w:tcW w:w="2866" w:type="dxa"/>
            <w:vAlign w:val="center"/>
          </w:tcPr>
          <w:p w14:paraId="2BAE5F80">
            <w:pPr>
              <w:rPr>
                <w:rFonts w:cs="黑体" w:asciiTheme="minorEastAsia" w:hAnsiTheme="minorEastAsia"/>
                <w:sz w:val="24"/>
              </w:rPr>
            </w:pPr>
            <w:r>
              <w:rPr>
                <w:rFonts w:hint="eastAsia" w:cs="黑体" w:asciiTheme="minorEastAsia" w:hAnsiTheme="minorEastAsia"/>
                <w:sz w:val="24"/>
              </w:rPr>
              <w:t>详</w:t>
            </w:r>
            <w:r>
              <w:rPr>
                <w:rFonts w:cs="黑体" w:asciiTheme="minorEastAsia" w:hAnsiTheme="minorEastAsia"/>
                <w:sz w:val="24"/>
              </w:rPr>
              <w:t>见</w:t>
            </w:r>
            <w:r>
              <w:rPr>
                <w:rFonts w:hint="eastAsia" w:cs="黑体" w:asciiTheme="minorEastAsia" w:hAnsiTheme="minorEastAsia"/>
                <w:sz w:val="24"/>
              </w:rPr>
              <w:t>第四章合同草案</w:t>
            </w:r>
          </w:p>
        </w:tc>
        <w:tc>
          <w:tcPr>
            <w:tcW w:w="1276" w:type="pct"/>
          </w:tcPr>
          <w:p w14:paraId="2373F230">
            <w:pPr>
              <w:rPr>
                <w:rFonts w:cs="黑体" w:asciiTheme="minorEastAsia" w:hAnsiTheme="minorEastAsia"/>
                <w:sz w:val="24"/>
              </w:rPr>
            </w:pPr>
          </w:p>
        </w:tc>
        <w:tc>
          <w:tcPr>
            <w:tcW w:w="981" w:type="pct"/>
          </w:tcPr>
          <w:p w14:paraId="71391A02">
            <w:pPr>
              <w:rPr>
                <w:rFonts w:cs="黑体" w:asciiTheme="minorEastAsia" w:hAnsiTheme="minorEastAsia"/>
                <w:sz w:val="24"/>
              </w:rPr>
            </w:pPr>
          </w:p>
        </w:tc>
      </w:tr>
      <w:tr w14:paraId="1A762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tcPr>
          <w:p w14:paraId="17BACBDB">
            <w:pPr>
              <w:rPr>
                <w:rFonts w:cs="黑体" w:asciiTheme="minorEastAsia" w:hAnsiTheme="minorEastAsia"/>
                <w:sz w:val="24"/>
              </w:rPr>
            </w:pPr>
            <w:r>
              <w:rPr>
                <w:rFonts w:cs="黑体" w:asciiTheme="minorEastAsia" w:hAnsiTheme="minorEastAsia"/>
                <w:sz w:val="24"/>
              </w:rPr>
              <w:t>…</w:t>
            </w:r>
          </w:p>
        </w:tc>
        <w:tc>
          <w:tcPr>
            <w:tcW w:w="857" w:type="pct"/>
          </w:tcPr>
          <w:p w14:paraId="361222B8">
            <w:pPr>
              <w:rPr>
                <w:rFonts w:cs="黑体" w:asciiTheme="minorEastAsia" w:hAnsiTheme="minorEastAsia"/>
                <w:sz w:val="24"/>
              </w:rPr>
            </w:pPr>
            <w:r>
              <w:rPr>
                <w:rFonts w:cs="黑体" w:asciiTheme="minorEastAsia" w:hAnsiTheme="minorEastAsia"/>
                <w:sz w:val="24"/>
              </w:rPr>
              <w:t>…</w:t>
            </w:r>
          </w:p>
        </w:tc>
        <w:tc>
          <w:tcPr>
            <w:tcW w:w="1541" w:type="pct"/>
            <w:vAlign w:val="center"/>
          </w:tcPr>
          <w:p w14:paraId="68ECA83C">
            <w:pPr>
              <w:rPr>
                <w:rFonts w:cs="黑体" w:asciiTheme="minorEastAsia" w:hAnsiTheme="minorEastAsia"/>
                <w:sz w:val="24"/>
              </w:rPr>
            </w:pPr>
          </w:p>
        </w:tc>
        <w:tc>
          <w:tcPr>
            <w:tcW w:w="1276" w:type="pct"/>
          </w:tcPr>
          <w:p w14:paraId="3B1D524E">
            <w:pPr>
              <w:rPr>
                <w:rFonts w:cs="黑体" w:asciiTheme="minorEastAsia" w:hAnsiTheme="minorEastAsia"/>
                <w:sz w:val="24"/>
              </w:rPr>
            </w:pPr>
          </w:p>
        </w:tc>
        <w:tc>
          <w:tcPr>
            <w:tcW w:w="981" w:type="pct"/>
          </w:tcPr>
          <w:p w14:paraId="560B0629">
            <w:pPr>
              <w:rPr>
                <w:rFonts w:cs="黑体" w:asciiTheme="minorEastAsia" w:hAnsiTheme="minorEastAsia"/>
                <w:sz w:val="24"/>
              </w:rPr>
            </w:pPr>
          </w:p>
        </w:tc>
      </w:tr>
    </w:tbl>
    <w:p w14:paraId="71C74ECE">
      <w:pPr>
        <w:pStyle w:val="3"/>
        <w:adjustRightInd w:val="0"/>
        <w:snapToGrid w:val="0"/>
        <w:spacing w:line="360" w:lineRule="auto"/>
        <w:rPr>
          <w:sz w:val="24"/>
          <w:szCs w:val="24"/>
          <w:lang w:eastAsia="zh-CN"/>
        </w:rPr>
      </w:pPr>
      <w:r>
        <w:rPr>
          <w:sz w:val="24"/>
          <w:szCs w:val="24"/>
          <w:lang w:eastAsia="zh-CN"/>
        </w:rPr>
        <w:t>注：</w:t>
      </w:r>
      <w:r>
        <w:rPr>
          <w:rFonts w:hint="eastAsia"/>
          <w:sz w:val="24"/>
          <w:szCs w:val="24"/>
          <w:lang w:eastAsia="zh-CN"/>
        </w:rPr>
        <w:t>1.</w:t>
      </w:r>
      <w:r>
        <w:rPr>
          <w:sz w:val="24"/>
          <w:szCs w:val="24"/>
          <w:lang w:eastAsia="zh-CN"/>
        </w:rPr>
        <w:t>供应商</w:t>
      </w:r>
      <w:r>
        <w:rPr>
          <w:rFonts w:hint="eastAsia"/>
          <w:sz w:val="24"/>
          <w:szCs w:val="24"/>
          <w:lang w:eastAsia="zh-CN"/>
        </w:rPr>
        <w:t>原则上应</w:t>
      </w:r>
      <w:r>
        <w:rPr>
          <w:sz w:val="24"/>
          <w:szCs w:val="24"/>
          <w:lang w:eastAsia="zh-CN"/>
        </w:rPr>
        <w:t>响应上述商</w:t>
      </w:r>
      <w:r>
        <w:rPr>
          <w:rFonts w:hint="eastAsia"/>
          <w:sz w:val="24"/>
          <w:szCs w:val="24"/>
          <w:lang w:eastAsia="zh-CN"/>
        </w:rPr>
        <w:t>务</w:t>
      </w:r>
      <w:r>
        <w:rPr>
          <w:sz w:val="24"/>
          <w:szCs w:val="24"/>
          <w:lang w:eastAsia="zh-CN"/>
        </w:rPr>
        <w:t>条款</w:t>
      </w:r>
      <w:r>
        <w:rPr>
          <w:rFonts w:hint="eastAsia"/>
          <w:sz w:val="24"/>
          <w:szCs w:val="24"/>
          <w:lang w:eastAsia="zh-CN"/>
        </w:rPr>
        <w:t>，同时根据采购文件第四章合同草案/专用合同条款、第五章采购需求的商务条款进行响应。如果供应商未列明偏离，则认定为供应商响应采购文件的全部要求。</w:t>
      </w:r>
      <w:bookmarkStart w:id="235" w:name="_Hlk162948467"/>
      <w:r>
        <w:rPr>
          <w:rFonts w:hint="eastAsia"/>
          <w:sz w:val="24"/>
          <w:szCs w:val="24"/>
          <w:lang w:eastAsia="zh-CN"/>
        </w:rPr>
        <w:t>供应商应仔细检查应答文件中关于“服务期、付款条件、质保期”等上述已列明商务条款的应答内容前后一致性。</w:t>
      </w:r>
      <w:bookmarkEnd w:id="235"/>
    </w:p>
    <w:p w14:paraId="2CF49977">
      <w:pPr>
        <w:pStyle w:val="3"/>
        <w:adjustRightInd w:val="0"/>
        <w:snapToGrid w:val="0"/>
        <w:spacing w:line="360" w:lineRule="auto"/>
        <w:rPr>
          <w:b/>
          <w:bCs/>
          <w:sz w:val="24"/>
          <w:szCs w:val="24"/>
          <w:lang w:eastAsia="zh-CN"/>
        </w:rPr>
      </w:pPr>
      <w:r>
        <w:rPr>
          <w:rFonts w:hint="eastAsia"/>
          <w:b/>
          <w:bCs/>
          <w:sz w:val="24"/>
          <w:szCs w:val="24"/>
          <w:lang w:eastAsia="zh-CN"/>
        </w:rPr>
        <w:t>2. 付款条件中的具体付款期限，供应商无需响应，由甲方在合同签订时，根据成交供应商企业性质确定付款期限；若供应商成为成交供应商，无论其在应答文件中是否响应具体付款期限，最终付款期限仍以合同签订时甲方根据成交供应商企业性质确定的付款期限为准，成交供应商拒不接受的，将取消其成交供应商资格。</w:t>
      </w:r>
    </w:p>
    <w:p w14:paraId="45D1AB2E">
      <w:pPr>
        <w:pStyle w:val="4"/>
        <w:ind w:firstLine="480" w:firstLineChars="200"/>
        <w:rPr>
          <w:rFonts w:hAnsi="宋体" w:cs="宋体"/>
          <w:kern w:val="0"/>
          <w:sz w:val="24"/>
          <w:szCs w:val="24"/>
          <w:lang w:val="en-US"/>
        </w:rPr>
      </w:pPr>
    </w:p>
    <w:p w14:paraId="6894A877">
      <w:pPr>
        <w:pStyle w:val="4"/>
      </w:pPr>
    </w:p>
    <w:p w14:paraId="08085E8D">
      <w:pPr>
        <w:pStyle w:val="3"/>
        <w:tabs>
          <w:tab w:val="left" w:pos="6521"/>
        </w:tabs>
        <w:wordWrap w:val="0"/>
        <w:adjustRightInd w:val="0"/>
        <w:snapToGrid w:val="0"/>
        <w:spacing w:line="360" w:lineRule="auto"/>
        <w:ind w:right="600" w:firstLine="480" w:firstLineChars="200"/>
        <w:jc w:val="righ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供应商</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盖公章</w:t>
      </w:r>
      <w:r>
        <w:rPr>
          <w:rFonts w:asciiTheme="minorEastAsia" w:hAnsiTheme="minorEastAsia" w:eastAsiaTheme="minorEastAsia"/>
          <w:sz w:val="24"/>
          <w:szCs w:val="24"/>
          <w:lang w:eastAsia="zh-CN"/>
        </w:rPr>
        <w:t>）</w:t>
      </w:r>
    </w:p>
    <w:p w14:paraId="008A9272">
      <w:pPr>
        <w:pStyle w:val="3"/>
        <w:tabs>
          <w:tab w:val="left" w:pos="5352"/>
          <w:tab w:val="left" w:pos="6192"/>
          <w:tab w:val="left" w:pos="7032"/>
        </w:tabs>
        <w:wordWrap w:val="0"/>
        <w:adjustRightInd w:val="0"/>
        <w:snapToGrid w:val="0"/>
        <w:spacing w:line="360" w:lineRule="auto"/>
        <w:ind w:right="840" w:firstLine="480" w:firstLineChars="200"/>
        <w:jc w:val="righ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年月日</w:t>
      </w:r>
    </w:p>
    <w:p w14:paraId="46D26F04">
      <w:pPr>
        <w:widowControl/>
        <w:ind w:firstLine="480" w:firstLineChars="200"/>
        <w:jc w:val="left"/>
        <w:rPr>
          <w:rFonts w:cs="黑体" w:asciiTheme="minorEastAsia" w:hAnsiTheme="minorEastAsia"/>
          <w:sz w:val="24"/>
        </w:rPr>
      </w:pPr>
      <w:r>
        <w:rPr>
          <w:rFonts w:cs="黑体" w:asciiTheme="minorEastAsia" w:hAnsiTheme="minorEastAsia"/>
          <w:sz w:val="24"/>
        </w:rPr>
        <w:br w:type="page"/>
      </w:r>
    </w:p>
    <w:p w14:paraId="0CEEE23F">
      <w:pPr>
        <w:pStyle w:val="3"/>
        <w:tabs>
          <w:tab w:val="left" w:pos="1991"/>
        </w:tabs>
        <w:adjustRightInd w:val="0"/>
        <w:snapToGrid w:val="0"/>
        <w:spacing w:line="360" w:lineRule="auto"/>
        <w:ind w:firstLine="482" w:firstLineChars="200"/>
        <w:jc w:val="center"/>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（二）技术偏差表</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0"/>
        <w:gridCol w:w="1885"/>
        <w:gridCol w:w="2030"/>
        <w:gridCol w:w="2177"/>
        <w:gridCol w:w="1323"/>
        <w:gridCol w:w="1289"/>
      </w:tblGrid>
      <w:tr w14:paraId="63F52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 w:type="pct"/>
            <w:vAlign w:val="center"/>
          </w:tcPr>
          <w:p w14:paraId="3F63022F">
            <w:pPr>
              <w:jc w:val="center"/>
              <w:rPr>
                <w:rFonts w:cs="黑体" w:asciiTheme="minorEastAsia" w:hAnsiTheme="minorEastAsia"/>
                <w:sz w:val="24"/>
              </w:rPr>
            </w:pPr>
            <w:r>
              <w:rPr>
                <w:rFonts w:hint="eastAsia" w:cs="黑体" w:asciiTheme="minorEastAsia" w:hAnsiTheme="minorEastAsia"/>
                <w:sz w:val="24"/>
              </w:rPr>
              <w:t>序号</w:t>
            </w:r>
          </w:p>
        </w:tc>
        <w:tc>
          <w:tcPr>
            <w:tcW w:w="1015" w:type="pct"/>
            <w:vAlign w:val="center"/>
          </w:tcPr>
          <w:p w14:paraId="69BCBFB2">
            <w:pPr>
              <w:jc w:val="center"/>
              <w:rPr>
                <w:rFonts w:cs="黑体" w:asciiTheme="minorEastAsia" w:hAnsiTheme="minorEastAsia"/>
                <w:sz w:val="24"/>
              </w:rPr>
            </w:pPr>
            <w:r>
              <w:rPr>
                <w:rFonts w:hint="eastAsia" w:cs="黑体" w:asciiTheme="minorEastAsia" w:hAnsiTheme="minorEastAsia"/>
                <w:sz w:val="24"/>
              </w:rPr>
              <w:t>采购文件章节、条款号</w:t>
            </w:r>
          </w:p>
        </w:tc>
        <w:tc>
          <w:tcPr>
            <w:tcW w:w="1093" w:type="pct"/>
            <w:vAlign w:val="center"/>
          </w:tcPr>
          <w:p w14:paraId="4E92332B">
            <w:pPr>
              <w:jc w:val="center"/>
              <w:rPr>
                <w:rFonts w:cs="黑体" w:asciiTheme="minorEastAsia" w:hAnsiTheme="minorEastAsia"/>
                <w:sz w:val="24"/>
              </w:rPr>
            </w:pPr>
            <w:r>
              <w:rPr>
                <w:rFonts w:hint="eastAsia" w:cs="黑体" w:asciiTheme="minorEastAsia" w:hAnsiTheme="minorEastAsia"/>
                <w:sz w:val="24"/>
              </w:rPr>
              <w:t>采购文件具体要求</w:t>
            </w:r>
          </w:p>
        </w:tc>
        <w:tc>
          <w:tcPr>
            <w:tcW w:w="1172" w:type="pct"/>
            <w:vAlign w:val="center"/>
          </w:tcPr>
          <w:p w14:paraId="32CBBA49">
            <w:pPr>
              <w:jc w:val="center"/>
              <w:rPr>
                <w:rFonts w:cs="黑体" w:asciiTheme="minorEastAsia" w:hAnsiTheme="minorEastAsia"/>
                <w:sz w:val="24"/>
              </w:rPr>
            </w:pPr>
            <w:r>
              <w:rPr>
                <w:rFonts w:hint="eastAsia" w:cs="黑体" w:asciiTheme="minorEastAsia" w:hAnsiTheme="minorEastAsia"/>
                <w:sz w:val="24"/>
              </w:rPr>
              <w:t>应答文件章节、条款号及响应内容</w:t>
            </w:r>
          </w:p>
        </w:tc>
        <w:tc>
          <w:tcPr>
            <w:tcW w:w="712" w:type="pct"/>
            <w:vAlign w:val="center"/>
          </w:tcPr>
          <w:p w14:paraId="2976DAC2">
            <w:pPr>
              <w:jc w:val="center"/>
              <w:rPr>
                <w:rFonts w:cs="黑体" w:asciiTheme="minorEastAsia" w:hAnsiTheme="minorEastAsia"/>
                <w:sz w:val="24"/>
              </w:rPr>
            </w:pPr>
            <w:r>
              <w:rPr>
                <w:rFonts w:hint="eastAsia" w:cs="黑体" w:asciiTheme="minorEastAsia" w:hAnsiTheme="minorEastAsia"/>
                <w:sz w:val="24"/>
              </w:rPr>
              <w:t>偏差说明</w:t>
            </w:r>
          </w:p>
        </w:tc>
        <w:tc>
          <w:tcPr>
            <w:tcW w:w="694" w:type="pct"/>
            <w:vAlign w:val="center"/>
          </w:tcPr>
          <w:p w14:paraId="3A7C9621">
            <w:pPr>
              <w:ind w:left="176" w:hanging="176" w:hangingChars="73"/>
              <w:jc w:val="center"/>
              <w:rPr>
                <w:rFonts w:cs="黑体" w:asciiTheme="minorEastAsia" w:hAnsiTheme="minorEastAsia"/>
                <w:sz w:val="24"/>
              </w:rPr>
            </w:pPr>
            <w:r>
              <w:rPr>
                <w:rFonts w:hint="eastAsia" w:cs="Arial"/>
                <w:b/>
                <w:sz w:val="24"/>
              </w:rPr>
              <w:t>其他</w:t>
            </w:r>
            <w:r>
              <w:rPr>
                <w:rFonts w:cs="Arial"/>
                <w:b/>
                <w:sz w:val="24"/>
              </w:rPr>
              <w:t>建议</w:t>
            </w:r>
          </w:p>
        </w:tc>
      </w:tr>
      <w:tr w14:paraId="1A617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 w:type="pct"/>
            <w:vAlign w:val="center"/>
          </w:tcPr>
          <w:p w14:paraId="56316941">
            <w:pPr>
              <w:jc w:val="center"/>
              <w:rPr>
                <w:rFonts w:cs="黑体" w:asciiTheme="minorEastAsia" w:hAnsiTheme="minorEastAsia"/>
                <w:sz w:val="24"/>
              </w:rPr>
            </w:pPr>
            <w:r>
              <w:rPr>
                <w:rFonts w:hint="eastAsia" w:cs="黑体" w:asciiTheme="minorEastAsia" w:hAnsiTheme="minorEastAsia"/>
                <w:sz w:val="24"/>
              </w:rPr>
              <w:t>1</w:t>
            </w:r>
          </w:p>
        </w:tc>
        <w:tc>
          <w:tcPr>
            <w:tcW w:w="1015" w:type="pct"/>
          </w:tcPr>
          <w:p w14:paraId="27EED712">
            <w:pPr>
              <w:adjustRightInd w:val="0"/>
              <w:snapToGrid w:val="0"/>
              <w:spacing w:line="360" w:lineRule="auto"/>
              <w:rPr>
                <w:rFonts w:asciiTheme="minorEastAsia" w:hAnsiTheme="minorEastAsia"/>
                <w:sz w:val="24"/>
              </w:rPr>
            </w:pPr>
          </w:p>
        </w:tc>
        <w:tc>
          <w:tcPr>
            <w:tcW w:w="1093" w:type="pct"/>
          </w:tcPr>
          <w:p w14:paraId="6C0D30A2">
            <w:pPr>
              <w:adjustRightInd w:val="0"/>
              <w:snapToGrid w:val="0"/>
              <w:rPr>
                <w:rFonts w:asciiTheme="minorEastAsia" w:hAnsiTheme="minorEastAsia"/>
                <w:sz w:val="24"/>
              </w:rPr>
            </w:pPr>
          </w:p>
        </w:tc>
        <w:tc>
          <w:tcPr>
            <w:tcW w:w="1172" w:type="pct"/>
          </w:tcPr>
          <w:p w14:paraId="6CC0F30D">
            <w:pPr>
              <w:rPr>
                <w:rFonts w:cs="黑体" w:asciiTheme="minorEastAsia" w:hAnsiTheme="minorEastAsia"/>
                <w:sz w:val="24"/>
              </w:rPr>
            </w:pPr>
          </w:p>
        </w:tc>
        <w:tc>
          <w:tcPr>
            <w:tcW w:w="712" w:type="pct"/>
          </w:tcPr>
          <w:p w14:paraId="3EB64BE8">
            <w:pPr>
              <w:rPr>
                <w:rFonts w:cs="黑体" w:asciiTheme="minorEastAsia" w:hAnsiTheme="minorEastAsia"/>
                <w:sz w:val="24"/>
              </w:rPr>
            </w:pPr>
          </w:p>
        </w:tc>
        <w:tc>
          <w:tcPr>
            <w:tcW w:w="694" w:type="pct"/>
          </w:tcPr>
          <w:p w14:paraId="60A1B0BC">
            <w:pPr>
              <w:rPr>
                <w:rFonts w:cs="黑体" w:asciiTheme="minorEastAsia" w:hAnsiTheme="minorEastAsia"/>
                <w:sz w:val="24"/>
              </w:rPr>
            </w:pPr>
          </w:p>
        </w:tc>
      </w:tr>
      <w:tr w14:paraId="0CC3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 w:type="pct"/>
            <w:vAlign w:val="center"/>
          </w:tcPr>
          <w:p w14:paraId="2A6FC2EC">
            <w:pPr>
              <w:jc w:val="center"/>
              <w:rPr>
                <w:rFonts w:cs="黑体" w:asciiTheme="minorEastAsia" w:hAnsiTheme="minorEastAsia"/>
                <w:sz w:val="24"/>
              </w:rPr>
            </w:pPr>
            <w:r>
              <w:rPr>
                <w:rFonts w:hint="eastAsia" w:cs="黑体" w:asciiTheme="minorEastAsia" w:hAnsiTheme="minorEastAsia"/>
                <w:sz w:val="24"/>
              </w:rPr>
              <w:t>2</w:t>
            </w:r>
          </w:p>
        </w:tc>
        <w:tc>
          <w:tcPr>
            <w:tcW w:w="1015" w:type="pct"/>
          </w:tcPr>
          <w:p w14:paraId="6D75599B">
            <w:pPr>
              <w:adjustRightInd w:val="0"/>
              <w:snapToGrid w:val="0"/>
              <w:spacing w:line="360" w:lineRule="auto"/>
              <w:rPr>
                <w:rFonts w:asciiTheme="minorEastAsia" w:hAnsiTheme="minorEastAsia"/>
                <w:sz w:val="24"/>
              </w:rPr>
            </w:pPr>
          </w:p>
        </w:tc>
        <w:tc>
          <w:tcPr>
            <w:tcW w:w="1093" w:type="pct"/>
          </w:tcPr>
          <w:p w14:paraId="01EDD68B">
            <w:pPr>
              <w:adjustRightInd w:val="0"/>
              <w:snapToGrid w:val="0"/>
              <w:rPr>
                <w:rFonts w:asciiTheme="minorEastAsia" w:hAnsiTheme="minorEastAsia"/>
                <w:sz w:val="24"/>
              </w:rPr>
            </w:pPr>
          </w:p>
        </w:tc>
        <w:tc>
          <w:tcPr>
            <w:tcW w:w="1172" w:type="pct"/>
          </w:tcPr>
          <w:p w14:paraId="117F8336">
            <w:pPr>
              <w:rPr>
                <w:rFonts w:cs="黑体" w:asciiTheme="minorEastAsia" w:hAnsiTheme="minorEastAsia"/>
                <w:sz w:val="24"/>
              </w:rPr>
            </w:pPr>
          </w:p>
        </w:tc>
        <w:tc>
          <w:tcPr>
            <w:tcW w:w="712" w:type="pct"/>
          </w:tcPr>
          <w:p w14:paraId="46322F9E">
            <w:pPr>
              <w:rPr>
                <w:rFonts w:cs="黑体" w:asciiTheme="minorEastAsia" w:hAnsiTheme="minorEastAsia"/>
                <w:sz w:val="24"/>
              </w:rPr>
            </w:pPr>
          </w:p>
        </w:tc>
        <w:tc>
          <w:tcPr>
            <w:tcW w:w="694" w:type="pct"/>
          </w:tcPr>
          <w:p w14:paraId="74C182B8">
            <w:pPr>
              <w:rPr>
                <w:rFonts w:cs="黑体" w:asciiTheme="minorEastAsia" w:hAnsiTheme="minorEastAsia"/>
                <w:sz w:val="24"/>
              </w:rPr>
            </w:pPr>
          </w:p>
        </w:tc>
      </w:tr>
      <w:tr w14:paraId="23354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 w:type="pct"/>
            <w:vAlign w:val="center"/>
          </w:tcPr>
          <w:p w14:paraId="3D364C9B">
            <w:pPr>
              <w:jc w:val="center"/>
              <w:rPr>
                <w:rFonts w:cs="黑体" w:asciiTheme="minorEastAsia" w:hAnsiTheme="minorEastAsia"/>
                <w:sz w:val="24"/>
              </w:rPr>
            </w:pPr>
            <w:r>
              <w:rPr>
                <w:rFonts w:hint="eastAsia" w:cs="黑体" w:asciiTheme="minorEastAsia" w:hAnsiTheme="minorEastAsia"/>
                <w:sz w:val="24"/>
              </w:rPr>
              <w:t>3</w:t>
            </w:r>
          </w:p>
        </w:tc>
        <w:tc>
          <w:tcPr>
            <w:tcW w:w="1015" w:type="pct"/>
          </w:tcPr>
          <w:p w14:paraId="2BF9DAFC">
            <w:pPr>
              <w:adjustRightInd w:val="0"/>
              <w:snapToGrid w:val="0"/>
              <w:spacing w:line="360" w:lineRule="auto"/>
              <w:rPr>
                <w:rFonts w:asciiTheme="minorEastAsia" w:hAnsiTheme="minorEastAsia"/>
                <w:sz w:val="24"/>
              </w:rPr>
            </w:pPr>
          </w:p>
        </w:tc>
        <w:tc>
          <w:tcPr>
            <w:tcW w:w="1093" w:type="pct"/>
          </w:tcPr>
          <w:p w14:paraId="3026E7B8">
            <w:pPr>
              <w:adjustRightInd w:val="0"/>
              <w:snapToGrid w:val="0"/>
              <w:rPr>
                <w:rFonts w:asciiTheme="minorEastAsia" w:hAnsiTheme="minorEastAsia"/>
                <w:sz w:val="24"/>
              </w:rPr>
            </w:pPr>
          </w:p>
        </w:tc>
        <w:tc>
          <w:tcPr>
            <w:tcW w:w="1172" w:type="pct"/>
          </w:tcPr>
          <w:p w14:paraId="54876029">
            <w:pPr>
              <w:rPr>
                <w:rFonts w:cs="黑体" w:asciiTheme="minorEastAsia" w:hAnsiTheme="minorEastAsia"/>
                <w:sz w:val="24"/>
              </w:rPr>
            </w:pPr>
          </w:p>
        </w:tc>
        <w:tc>
          <w:tcPr>
            <w:tcW w:w="712" w:type="pct"/>
          </w:tcPr>
          <w:p w14:paraId="1DFB8D41">
            <w:pPr>
              <w:rPr>
                <w:rFonts w:cs="黑体" w:asciiTheme="minorEastAsia" w:hAnsiTheme="minorEastAsia"/>
                <w:sz w:val="24"/>
              </w:rPr>
            </w:pPr>
          </w:p>
        </w:tc>
        <w:tc>
          <w:tcPr>
            <w:tcW w:w="694" w:type="pct"/>
          </w:tcPr>
          <w:p w14:paraId="6D28EA7D">
            <w:pPr>
              <w:rPr>
                <w:rFonts w:cs="黑体" w:asciiTheme="minorEastAsia" w:hAnsiTheme="minorEastAsia"/>
                <w:sz w:val="24"/>
              </w:rPr>
            </w:pPr>
          </w:p>
        </w:tc>
      </w:tr>
      <w:tr w14:paraId="213E0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 w:type="pct"/>
            <w:vAlign w:val="center"/>
          </w:tcPr>
          <w:p w14:paraId="38773A24">
            <w:pPr>
              <w:jc w:val="center"/>
              <w:rPr>
                <w:rFonts w:cs="黑体" w:asciiTheme="minorEastAsia" w:hAnsiTheme="minorEastAsia"/>
                <w:sz w:val="24"/>
              </w:rPr>
            </w:pPr>
            <w:r>
              <w:rPr>
                <w:rFonts w:hint="eastAsia" w:cs="黑体" w:asciiTheme="minorEastAsia" w:hAnsiTheme="minorEastAsia"/>
                <w:sz w:val="24"/>
              </w:rPr>
              <w:t>4</w:t>
            </w:r>
          </w:p>
        </w:tc>
        <w:tc>
          <w:tcPr>
            <w:tcW w:w="1015" w:type="pct"/>
          </w:tcPr>
          <w:p w14:paraId="6D6CA0E3">
            <w:pPr>
              <w:adjustRightInd w:val="0"/>
              <w:snapToGrid w:val="0"/>
              <w:spacing w:line="360" w:lineRule="auto"/>
              <w:rPr>
                <w:rFonts w:asciiTheme="minorEastAsia" w:hAnsiTheme="minorEastAsia"/>
                <w:sz w:val="24"/>
              </w:rPr>
            </w:pPr>
          </w:p>
        </w:tc>
        <w:tc>
          <w:tcPr>
            <w:tcW w:w="1093" w:type="pct"/>
          </w:tcPr>
          <w:p w14:paraId="093D6BD0">
            <w:pPr>
              <w:adjustRightInd w:val="0"/>
              <w:snapToGrid w:val="0"/>
              <w:rPr>
                <w:rFonts w:asciiTheme="minorEastAsia" w:hAnsiTheme="minorEastAsia"/>
                <w:sz w:val="24"/>
              </w:rPr>
            </w:pPr>
          </w:p>
        </w:tc>
        <w:tc>
          <w:tcPr>
            <w:tcW w:w="1172" w:type="pct"/>
          </w:tcPr>
          <w:p w14:paraId="7AF90012">
            <w:pPr>
              <w:rPr>
                <w:rFonts w:cs="黑体" w:asciiTheme="minorEastAsia" w:hAnsiTheme="minorEastAsia"/>
                <w:sz w:val="24"/>
              </w:rPr>
            </w:pPr>
          </w:p>
        </w:tc>
        <w:tc>
          <w:tcPr>
            <w:tcW w:w="712" w:type="pct"/>
          </w:tcPr>
          <w:p w14:paraId="00E875E5">
            <w:pPr>
              <w:rPr>
                <w:rFonts w:cs="黑体" w:asciiTheme="minorEastAsia" w:hAnsiTheme="minorEastAsia"/>
                <w:sz w:val="24"/>
              </w:rPr>
            </w:pPr>
          </w:p>
        </w:tc>
        <w:tc>
          <w:tcPr>
            <w:tcW w:w="694" w:type="pct"/>
          </w:tcPr>
          <w:p w14:paraId="5E1BBA75">
            <w:pPr>
              <w:rPr>
                <w:rFonts w:cs="黑体" w:asciiTheme="minorEastAsia" w:hAnsiTheme="minorEastAsia"/>
                <w:sz w:val="24"/>
              </w:rPr>
            </w:pPr>
          </w:p>
        </w:tc>
      </w:tr>
      <w:tr w14:paraId="22788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 w:type="pct"/>
            <w:vAlign w:val="center"/>
          </w:tcPr>
          <w:p w14:paraId="795C3FB4">
            <w:pPr>
              <w:jc w:val="center"/>
              <w:rPr>
                <w:rFonts w:cs="黑体" w:asciiTheme="minorEastAsia" w:hAnsiTheme="minorEastAsia"/>
                <w:sz w:val="24"/>
              </w:rPr>
            </w:pPr>
            <w:r>
              <w:rPr>
                <w:rFonts w:hint="eastAsia" w:cs="黑体" w:asciiTheme="minorEastAsia" w:hAnsiTheme="minorEastAsia"/>
                <w:sz w:val="24"/>
              </w:rPr>
              <w:t>5</w:t>
            </w:r>
          </w:p>
        </w:tc>
        <w:tc>
          <w:tcPr>
            <w:tcW w:w="1015" w:type="pct"/>
          </w:tcPr>
          <w:p w14:paraId="641359DC">
            <w:pPr>
              <w:rPr>
                <w:rFonts w:cs="黑体" w:asciiTheme="minorEastAsia" w:hAnsiTheme="minorEastAsia"/>
                <w:sz w:val="24"/>
              </w:rPr>
            </w:pPr>
          </w:p>
        </w:tc>
        <w:tc>
          <w:tcPr>
            <w:tcW w:w="1093" w:type="pct"/>
          </w:tcPr>
          <w:p w14:paraId="0CA9F1AE">
            <w:pPr>
              <w:rPr>
                <w:rFonts w:cs="黑体" w:asciiTheme="minorEastAsia" w:hAnsiTheme="minorEastAsia"/>
                <w:sz w:val="24"/>
              </w:rPr>
            </w:pPr>
          </w:p>
        </w:tc>
        <w:tc>
          <w:tcPr>
            <w:tcW w:w="1172" w:type="pct"/>
          </w:tcPr>
          <w:p w14:paraId="58EF69E5">
            <w:pPr>
              <w:rPr>
                <w:rFonts w:cs="黑体" w:asciiTheme="minorEastAsia" w:hAnsiTheme="minorEastAsia"/>
                <w:sz w:val="24"/>
              </w:rPr>
            </w:pPr>
          </w:p>
        </w:tc>
        <w:tc>
          <w:tcPr>
            <w:tcW w:w="712" w:type="pct"/>
          </w:tcPr>
          <w:p w14:paraId="6C616E91">
            <w:pPr>
              <w:rPr>
                <w:rFonts w:cs="黑体" w:asciiTheme="minorEastAsia" w:hAnsiTheme="minorEastAsia"/>
                <w:sz w:val="24"/>
              </w:rPr>
            </w:pPr>
          </w:p>
        </w:tc>
        <w:tc>
          <w:tcPr>
            <w:tcW w:w="694" w:type="pct"/>
          </w:tcPr>
          <w:p w14:paraId="3FB25262">
            <w:pPr>
              <w:rPr>
                <w:rFonts w:cs="黑体" w:asciiTheme="minorEastAsia" w:hAnsiTheme="minorEastAsia"/>
                <w:sz w:val="24"/>
              </w:rPr>
            </w:pPr>
          </w:p>
        </w:tc>
      </w:tr>
      <w:tr w14:paraId="493CC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2" w:type="pct"/>
            <w:vAlign w:val="center"/>
          </w:tcPr>
          <w:p w14:paraId="03298D22">
            <w:pPr>
              <w:jc w:val="center"/>
              <w:rPr>
                <w:rFonts w:cs="黑体" w:asciiTheme="minorEastAsia" w:hAnsiTheme="minorEastAsia"/>
                <w:sz w:val="24"/>
              </w:rPr>
            </w:pPr>
            <w:r>
              <w:rPr>
                <w:rFonts w:cs="黑体" w:asciiTheme="minorEastAsia" w:hAnsiTheme="minorEastAsia"/>
                <w:sz w:val="24"/>
              </w:rPr>
              <w:t>…</w:t>
            </w:r>
          </w:p>
        </w:tc>
        <w:tc>
          <w:tcPr>
            <w:tcW w:w="1015" w:type="pct"/>
          </w:tcPr>
          <w:p w14:paraId="5D7F1665">
            <w:pPr>
              <w:rPr>
                <w:rFonts w:cs="黑体" w:asciiTheme="minorEastAsia" w:hAnsiTheme="minorEastAsia"/>
                <w:sz w:val="24"/>
              </w:rPr>
            </w:pPr>
            <w:r>
              <w:rPr>
                <w:rFonts w:cs="黑体" w:asciiTheme="minorEastAsia" w:hAnsiTheme="minorEastAsia"/>
                <w:sz w:val="24"/>
              </w:rPr>
              <w:t>…</w:t>
            </w:r>
          </w:p>
        </w:tc>
        <w:tc>
          <w:tcPr>
            <w:tcW w:w="1093" w:type="pct"/>
          </w:tcPr>
          <w:p w14:paraId="0E0DEE2F">
            <w:pPr>
              <w:rPr>
                <w:rFonts w:cs="黑体" w:asciiTheme="minorEastAsia" w:hAnsiTheme="minorEastAsia"/>
                <w:sz w:val="24"/>
              </w:rPr>
            </w:pPr>
          </w:p>
        </w:tc>
        <w:tc>
          <w:tcPr>
            <w:tcW w:w="1172" w:type="pct"/>
          </w:tcPr>
          <w:p w14:paraId="2D08EFA6">
            <w:pPr>
              <w:rPr>
                <w:rFonts w:cs="黑体" w:asciiTheme="minorEastAsia" w:hAnsiTheme="minorEastAsia"/>
                <w:sz w:val="24"/>
              </w:rPr>
            </w:pPr>
          </w:p>
        </w:tc>
        <w:tc>
          <w:tcPr>
            <w:tcW w:w="712" w:type="pct"/>
          </w:tcPr>
          <w:p w14:paraId="7E7802B6">
            <w:pPr>
              <w:rPr>
                <w:rFonts w:cs="黑体" w:asciiTheme="minorEastAsia" w:hAnsiTheme="minorEastAsia"/>
                <w:sz w:val="24"/>
              </w:rPr>
            </w:pPr>
          </w:p>
        </w:tc>
        <w:tc>
          <w:tcPr>
            <w:tcW w:w="694" w:type="pct"/>
          </w:tcPr>
          <w:p w14:paraId="604F6692">
            <w:pPr>
              <w:rPr>
                <w:rFonts w:cs="黑体" w:asciiTheme="minorEastAsia" w:hAnsiTheme="minorEastAsia"/>
                <w:sz w:val="24"/>
              </w:rPr>
            </w:pPr>
          </w:p>
        </w:tc>
      </w:tr>
    </w:tbl>
    <w:p w14:paraId="26FC0AD9">
      <w:pPr>
        <w:numPr>
          <w:ilvl w:val="0"/>
          <w:numId w:val="18"/>
        </w:numPr>
        <w:spacing w:beforeLines="20" w:afterLines="20" w:line="360" w:lineRule="auto"/>
        <w:ind w:left="0" w:firstLine="480" w:firstLineChars="200"/>
        <w:jc w:val="left"/>
        <w:rPr>
          <w:rFonts w:ascii="宋体" w:hAnsi="宋体" w:eastAsia="宋体" w:cs="宋体"/>
          <w:kern w:val="0"/>
          <w:sz w:val="24"/>
          <w:szCs w:val="22"/>
        </w:rPr>
      </w:pPr>
      <w:r>
        <w:rPr>
          <w:rFonts w:hint="eastAsia" w:ascii="宋体" w:hAnsi="宋体" w:eastAsia="宋体" w:cs="宋体"/>
          <w:kern w:val="0"/>
          <w:sz w:val="24"/>
          <w:szCs w:val="22"/>
        </w:rPr>
        <w:t>供应商原则上对照采购文件</w:t>
      </w:r>
      <w:r>
        <w:rPr>
          <w:rFonts w:ascii="宋体" w:hAnsi="宋体" w:eastAsia="宋体" w:cs="宋体"/>
          <w:kern w:val="0"/>
          <w:sz w:val="24"/>
          <w:szCs w:val="22"/>
        </w:rPr>
        <w:t>第五章</w:t>
      </w:r>
      <w:r>
        <w:rPr>
          <w:rFonts w:hint="eastAsia" w:ascii="宋体" w:hAnsi="宋体" w:eastAsia="宋体" w:cs="宋体"/>
          <w:kern w:val="0"/>
          <w:sz w:val="24"/>
          <w:szCs w:val="22"/>
        </w:rPr>
        <w:t>采购</w:t>
      </w:r>
      <w:r>
        <w:rPr>
          <w:rFonts w:ascii="宋体" w:hAnsi="宋体" w:eastAsia="宋体" w:cs="宋体"/>
          <w:kern w:val="0"/>
          <w:sz w:val="24"/>
          <w:szCs w:val="22"/>
        </w:rPr>
        <w:t>需求</w:t>
      </w:r>
      <w:r>
        <w:rPr>
          <w:rFonts w:hint="eastAsia" w:ascii="宋体" w:hAnsi="宋体" w:eastAsia="宋体" w:cs="宋体"/>
          <w:kern w:val="0"/>
          <w:sz w:val="24"/>
          <w:szCs w:val="22"/>
        </w:rPr>
        <w:t>，逐条说明所提供货物和服务已对采购文件的要求做出了实质性的响应，并申明与采购需求条文的偏差和例外。特别对有具体参数要求的指标，供应商可提供所投设备的具体参数值。</w:t>
      </w:r>
    </w:p>
    <w:p w14:paraId="430E9D66">
      <w:pPr>
        <w:numPr>
          <w:ilvl w:val="0"/>
          <w:numId w:val="18"/>
        </w:numPr>
        <w:spacing w:beforeLines="20" w:afterLines="20" w:line="360" w:lineRule="auto"/>
        <w:ind w:left="0" w:firstLine="480" w:firstLineChars="200"/>
        <w:jc w:val="left"/>
        <w:rPr>
          <w:rFonts w:ascii="宋体" w:hAnsi="宋体" w:eastAsia="宋体" w:cs="宋体"/>
          <w:kern w:val="0"/>
          <w:sz w:val="24"/>
          <w:szCs w:val="22"/>
        </w:rPr>
      </w:pPr>
      <w:r>
        <w:rPr>
          <w:rFonts w:hint="eastAsia" w:ascii="宋体" w:hAnsi="宋体" w:eastAsia="宋体" w:cs="宋体"/>
          <w:kern w:val="0"/>
          <w:sz w:val="24"/>
          <w:szCs w:val="22"/>
        </w:rPr>
        <w:t>供应商</w:t>
      </w:r>
      <w:r>
        <w:rPr>
          <w:rFonts w:ascii="宋体" w:hAnsi="宋体" w:eastAsia="宋体" w:cs="宋体"/>
          <w:kern w:val="0"/>
          <w:sz w:val="24"/>
          <w:szCs w:val="22"/>
        </w:rPr>
        <w:t>需列出不能符合条款</w:t>
      </w:r>
      <w:r>
        <w:rPr>
          <w:rFonts w:hint="eastAsia" w:ascii="宋体" w:hAnsi="宋体" w:eastAsia="宋体" w:cs="宋体"/>
          <w:kern w:val="0"/>
          <w:sz w:val="24"/>
          <w:szCs w:val="22"/>
        </w:rPr>
        <w:t>的</w:t>
      </w:r>
      <w:r>
        <w:rPr>
          <w:rFonts w:ascii="宋体" w:hAnsi="宋体" w:eastAsia="宋体" w:cs="宋体"/>
          <w:kern w:val="0"/>
          <w:sz w:val="24"/>
          <w:szCs w:val="22"/>
        </w:rPr>
        <w:t>偏差说明，</w:t>
      </w:r>
      <w:r>
        <w:rPr>
          <w:rFonts w:hint="eastAsia" w:ascii="宋体" w:hAnsi="宋体" w:eastAsia="宋体" w:cs="宋体"/>
          <w:b/>
          <w:kern w:val="0"/>
          <w:sz w:val="24"/>
          <w:szCs w:val="22"/>
          <w:u w:val="single"/>
        </w:rPr>
        <w:t>如果供应商未列明偏离，则认定为供应商响应采购文件的全部要求。</w:t>
      </w:r>
    </w:p>
    <w:p w14:paraId="3FA147C9">
      <w:pPr>
        <w:pStyle w:val="3"/>
        <w:tabs>
          <w:tab w:val="left" w:pos="6521"/>
        </w:tabs>
        <w:wordWrap w:val="0"/>
        <w:adjustRightInd w:val="0"/>
        <w:snapToGrid w:val="0"/>
        <w:spacing w:line="360" w:lineRule="auto"/>
        <w:ind w:right="960" w:firstLine="480" w:firstLineChars="200"/>
        <w:jc w:val="right"/>
        <w:rPr>
          <w:rFonts w:asciiTheme="minorEastAsia" w:hAnsiTheme="minorEastAsia" w:eastAsiaTheme="minorEastAsia"/>
          <w:sz w:val="24"/>
          <w:szCs w:val="24"/>
          <w:lang w:eastAsia="zh-CN"/>
        </w:rPr>
      </w:pPr>
    </w:p>
    <w:p w14:paraId="16FC426A">
      <w:pPr>
        <w:pStyle w:val="3"/>
        <w:tabs>
          <w:tab w:val="left" w:pos="6521"/>
        </w:tabs>
        <w:wordWrap w:val="0"/>
        <w:adjustRightInd w:val="0"/>
        <w:snapToGrid w:val="0"/>
        <w:spacing w:line="360" w:lineRule="auto"/>
        <w:ind w:right="960" w:firstLine="480" w:firstLineChars="200"/>
        <w:jc w:val="right"/>
        <w:rPr>
          <w:rFonts w:asciiTheme="minorEastAsia" w:hAnsiTheme="minorEastAsia" w:eastAsiaTheme="minorEastAsia"/>
          <w:sz w:val="24"/>
          <w:szCs w:val="24"/>
          <w:lang w:eastAsia="zh-CN"/>
        </w:rPr>
      </w:pPr>
    </w:p>
    <w:p w14:paraId="1A096C6A">
      <w:pPr>
        <w:pStyle w:val="3"/>
        <w:tabs>
          <w:tab w:val="left" w:pos="6521"/>
        </w:tabs>
        <w:wordWrap w:val="0"/>
        <w:adjustRightInd w:val="0"/>
        <w:snapToGrid w:val="0"/>
        <w:spacing w:line="360" w:lineRule="auto"/>
        <w:ind w:right="960" w:firstLine="480" w:firstLineChars="200"/>
        <w:jc w:val="right"/>
        <w:rPr>
          <w:rFonts w:asciiTheme="minorEastAsia" w:hAnsiTheme="minorEastAsia" w:eastAsiaTheme="minorEastAsia"/>
          <w:sz w:val="24"/>
          <w:szCs w:val="24"/>
          <w:lang w:eastAsia="zh-CN"/>
        </w:rPr>
      </w:pPr>
    </w:p>
    <w:p w14:paraId="25EB9578">
      <w:pPr>
        <w:pStyle w:val="3"/>
        <w:tabs>
          <w:tab w:val="left" w:pos="6521"/>
        </w:tabs>
        <w:wordWrap w:val="0"/>
        <w:adjustRightInd w:val="0"/>
        <w:snapToGrid w:val="0"/>
        <w:spacing w:line="360" w:lineRule="auto"/>
        <w:ind w:right="960" w:firstLine="480" w:firstLineChars="200"/>
        <w:jc w:val="righ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供应商</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盖公章</w:t>
      </w:r>
      <w:r>
        <w:rPr>
          <w:rFonts w:asciiTheme="minorEastAsia" w:hAnsiTheme="minorEastAsia" w:eastAsiaTheme="minorEastAsia"/>
          <w:sz w:val="24"/>
          <w:szCs w:val="24"/>
          <w:lang w:eastAsia="zh-CN"/>
        </w:rPr>
        <w:t>）</w:t>
      </w:r>
    </w:p>
    <w:p w14:paraId="136FEC6D">
      <w:pPr>
        <w:pStyle w:val="3"/>
        <w:tabs>
          <w:tab w:val="left" w:pos="5352"/>
          <w:tab w:val="left" w:pos="6192"/>
          <w:tab w:val="left" w:pos="7032"/>
        </w:tabs>
        <w:wordWrap w:val="0"/>
        <w:adjustRightInd w:val="0"/>
        <w:snapToGrid w:val="0"/>
        <w:spacing w:line="360" w:lineRule="auto"/>
        <w:ind w:right="1200" w:firstLine="480" w:firstLineChars="200"/>
        <w:jc w:val="righ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年月日</w:t>
      </w:r>
    </w:p>
    <w:p w14:paraId="50698526">
      <w:pPr>
        <w:widowControl/>
        <w:ind w:firstLine="880" w:firstLineChars="200"/>
        <w:jc w:val="left"/>
        <w:rPr>
          <w:rFonts w:cs="黑体" w:asciiTheme="minorEastAsia" w:hAnsiTheme="minorEastAsia"/>
          <w:sz w:val="44"/>
          <w:szCs w:val="44"/>
        </w:rPr>
      </w:pPr>
      <w:r>
        <w:rPr>
          <w:rFonts w:cs="黑体" w:asciiTheme="minorEastAsia" w:hAnsiTheme="minorEastAsia"/>
          <w:sz w:val="44"/>
          <w:szCs w:val="44"/>
        </w:rPr>
        <w:br w:type="page"/>
      </w:r>
    </w:p>
    <w:p w14:paraId="742E1551">
      <w:pPr>
        <w:pStyle w:val="6"/>
        <w:ind w:firstLine="482" w:firstLineChars="200"/>
      </w:pPr>
      <w:r>
        <w:rPr>
          <w:rFonts w:hint="eastAsia"/>
        </w:rPr>
        <w:t>六、报价表</w:t>
      </w:r>
    </w:p>
    <w:p w14:paraId="16383620">
      <w:pPr>
        <w:spacing w:line="360" w:lineRule="auto"/>
        <w:ind w:firstLine="482" w:firstLineChars="200"/>
        <w:rPr>
          <w:rFonts w:asciiTheme="minorEastAsia" w:hAnsiTheme="minorEastAsia"/>
          <w:sz w:val="24"/>
        </w:rPr>
      </w:pPr>
      <w:r>
        <w:rPr>
          <w:rFonts w:asciiTheme="minorEastAsia" w:hAnsiTheme="minorEastAsia"/>
          <w:b/>
          <w:sz w:val="24"/>
        </w:rPr>
        <w:t>6.</w:t>
      </w:r>
      <w:r>
        <w:rPr>
          <w:rFonts w:hint="eastAsia" w:asciiTheme="minorEastAsia" w:hAnsiTheme="minorEastAsia"/>
          <w:b/>
          <w:sz w:val="24"/>
        </w:rPr>
        <w:t>1、报价一览表</w:t>
      </w:r>
    </w:p>
    <w:p w14:paraId="3F7BE3EB">
      <w:pPr>
        <w:spacing w:line="360" w:lineRule="auto"/>
        <w:ind w:firstLine="480" w:firstLineChars="200"/>
        <w:rPr>
          <w:rFonts w:asciiTheme="minorEastAsia" w:hAnsiTheme="minorEastAsia"/>
          <w:sz w:val="24"/>
          <w:u w:val="single"/>
        </w:rPr>
      </w:pPr>
      <w:r>
        <w:rPr>
          <w:rFonts w:hint="eastAsia" w:asciiTheme="minorEastAsia" w:hAnsiTheme="minorEastAsia"/>
          <w:sz w:val="24"/>
        </w:rPr>
        <w:t>项</w:t>
      </w:r>
      <w:r>
        <w:rPr>
          <w:rFonts w:asciiTheme="minorEastAsia" w:hAnsiTheme="minorEastAsia"/>
          <w:sz w:val="24"/>
        </w:rPr>
        <w:t>目名称：</w:t>
      </w:r>
      <w:r>
        <w:rPr>
          <w:rFonts w:hint="eastAsia" w:asciiTheme="minorEastAsia" w:hAnsiTheme="minorEastAsia"/>
          <w:sz w:val="24"/>
        </w:rPr>
        <w:t xml:space="preserve">                                 采</w:t>
      </w:r>
      <w:r>
        <w:rPr>
          <w:rFonts w:asciiTheme="minorEastAsia" w:hAnsiTheme="minorEastAsia"/>
          <w:sz w:val="24"/>
        </w:rPr>
        <w:t>购</w:t>
      </w:r>
      <w:r>
        <w:rPr>
          <w:rFonts w:hint="eastAsia" w:asciiTheme="minorEastAsia" w:hAnsiTheme="minorEastAsia"/>
          <w:sz w:val="24"/>
        </w:rPr>
        <w:t>编号：</w:t>
      </w:r>
    </w:p>
    <w:tbl>
      <w:tblPr>
        <w:tblStyle w:val="2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1490"/>
        <w:gridCol w:w="1860"/>
        <w:gridCol w:w="1163"/>
        <w:gridCol w:w="1252"/>
        <w:gridCol w:w="1252"/>
        <w:gridCol w:w="1251"/>
      </w:tblGrid>
      <w:tr w14:paraId="63B70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546" w:type="pct"/>
            <w:vAlign w:val="center"/>
          </w:tcPr>
          <w:p w14:paraId="544BFFD9">
            <w:pPr>
              <w:jc w:val="center"/>
              <w:rPr>
                <w:rFonts w:asciiTheme="minorEastAsia" w:hAnsiTheme="minorEastAsia"/>
                <w:b/>
                <w:sz w:val="24"/>
              </w:rPr>
            </w:pPr>
            <w:r>
              <w:rPr>
                <w:rFonts w:hint="eastAsia" w:asciiTheme="minorEastAsia" w:hAnsiTheme="minorEastAsia"/>
                <w:b/>
                <w:sz w:val="24"/>
              </w:rPr>
              <w:t>序号</w:t>
            </w:r>
          </w:p>
        </w:tc>
        <w:tc>
          <w:tcPr>
            <w:tcW w:w="802" w:type="pct"/>
            <w:vAlign w:val="center"/>
          </w:tcPr>
          <w:p w14:paraId="644865BF">
            <w:pPr>
              <w:jc w:val="center"/>
              <w:rPr>
                <w:rFonts w:asciiTheme="minorEastAsia" w:hAnsiTheme="minorEastAsia"/>
                <w:b/>
                <w:sz w:val="24"/>
              </w:rPr>
            </w:pPr>
            <w:r>
              <w:rPr>
                <w:rFonts w:hint="eastAsia" w:asciiTheme="minorEastAsia" w:hAnsiTheme="minorEastAsia"/>
                <w:b/>
                <w:sz w:val="24"/>
              </w:rPr>
              <w:t>项目名称</w:t>
            </w:r>
          </w:p>
        </w:tc>
        <w:tc>
          <w:tcPr>
            <w:tcW w:w="1001" w:type="pct"/>
            <w:vAlign w:val="center"/>
          </w:tcPr>
          <w:p w14:paraId="192E10F5">
            <w:pPr>
              <w:jc w:val="center"/>
              <w:rPr>
                <w:rFonts w:asciiTheme="minorEastAsia" w:hAnsiTheme="minorEastAsia"/>
                <w:b/>
                <w:sz w:val="24"/>
              </w:rPr>
            </w:pPr>
            <w:r>
              <w:rPr>
                <w:rFonts w:hint="eastAsia" w:asciiTheme="minorEastAsia" w:hAnsiTheme="minorEastAsia"/>
                <w:b/>
                <w:sz w:val="24"/>
              </w:rPr>
              <w:t>应答报价</w:t>
            </w:r>
          </w:p>
          <w:p w14:paraId="66953D98">
            <w:pPr>
              <w:jc w:val="center"/>
              <w:rPr>
                <w:rFonts w:asciiTheme="minorEastAsia" w:hAnsiTheme="minorEastAsia"/>
                <w:b/>
                <w:sz w:val="24"/>
              </w:rPr>
            </w:pPr>
            <w:r>
              <w:rPr>
                <w:rFonts w:hint="eastAsia" w:asciiTheme="minorEastAsia" w:hAnsiTheme="minorEastAsia"/>
                <w:b/>
                <w:sz w:val="24"/>
              </w:rPr>
              <w:t>（元）（含税）</w:t>
            </w:r>
          </w:p>
        </w:tc>
        <w:tc>
          <w:tcPr>
            <w:tcW w:w="626" w:type="pct"/>
            <w:vAlign w:val="center"/>
          </w:tcPr>
          <w:p w14:paraId="14C2D3F3">
            <w:pPr>
              <w:jc w:val="center"/>
              <w:rPr>
                <w:rFonts w:asciiTheme="minorEastAsia" w:hAnsiTheme="minorEastAsia"/>
                <w:b/>
                <w:sz w:val="24"/>
              </w:rPr>
            </w:pPr>
            <w:r>
              <w:rPr>
                <w:rFonts w:hint="eastAsia" w:asciiTheme="minorEastAsia" w:hAnsiTheme="minorEastAsia"/>
                <w:b/>
                <w:sz w:val="24"/>
              </w:rPr>
              <w:t>税率</w:t>
            </w:r>
          </w:p>
        </w:tc>
        <w:tc>
          <w:tcPr>
            <w:tcW w:w="674" w:type="pct"/>
            <w:vAlign w:val="center"/>
          </w:tcPr>
          <w:p w14:paraId="0F142358">
            <w:pPr>
              <w:jc w:val="center"/>
              <w:rPr>
                <w:rFonts w:asciiTheme="minorEastAsia" w:hAnsiTheme="minorEastAsia"/>
                <w:b/>
                <w:sz w:val="24"/>
              </w:rPr>
            </w:pPr>
            <w:r>
              <w:rPr>
                <w:rFonts w:hint="eastAsia" w:asciiTheme="minorEastAsia" w:hAnsiTheme="minorEastAsia"/>
                <w:b/>
                <w:sz w:val="24"/>
              </w:rPr>
              <w:t>服务期</w:t>
            </w:r>
          </w:p>
        </w:tc>
        <w:tc>
          <w:tcPr>
            <w:tcW w:w="674" w:type="pct"/>
            <w:vAlign w:val="center"/>
          </w:tcPr>
          <w:p w14:paraId="1540FF8E">
            <w:pPr>
              <w:jc w:val="center"/>
              <w:rPr>
                <w:rFonts w:asciiTheme="minorEastAsia" w:hAnsiTheme="minorEastAsia"/>
                <w:b/>
                <w:sz w:val="24"/>
              </w:rPr>
            </w:pPr>
            <w:r>
              <w:rPr>
                <w:rFonts w:hint="eastAsia" w:asciiTheme="minorEastAsia" w:hAnsiTheme="minorEastAsia"/>
                <w:b/>
                <w:sz w:val="24"/>
              </w:rPr>
              <w:t>服务</w:t>
            </w:r>
            <w:r>
              <w:rPr>
                <w:rFonts w:asciiTheme="minorEastAsia" w:hAnsiTheme="minorEastAsia"/>
                <w:b/>
                <w:sz w:val="24"/>
              </w:rPr>
              <w:t>地</w:t>
            </w:r>
            <w:r>
              <w:rPr>
                <w:rFonts w:hint="eastAsia" w:asciiTheme="minorEastAsia" w:hAnsiTheme="minorEastAsia"/>
                <w:b/>
                <w:sz w:val="24"/>
              </w:rPr>
              <w:t>点</w:t>
            </w:r>
          </w:p>
        </w:tc>
        <w:tc>
          <w:tcPr>
            <w:tcW w:w="673" w:type="pct"/>
            <w:vAlign w:val="center"/>
          </w:tcPr>
          <w:p w14:paraId="5CF71875">
            <w:pPr>
              <w:jc w:val="center"/>
              <w:rPr>
                <w:rFonts w:asciiTheme="minorEastAsia" w:hAnsiTheme="minorEastAsia"/>
                <w:b/>
                <w:sz w:val="24"/>
              </w:rPr>
            </w:pPr>
            <w:r>
              <w:rPr>
                <w:rFonts w:hint="eastAsia" w:asciiTheme="minorEastAsia" w:hAnsiTheme="minorEastAsia"/>
                <w:b/>
                <w:sz w:val="24"/>
              </w:rPr>
              <w:t>备注</w:t>
            </w:r>
          </w:p>
        </w:tc>
      </w:tr>
      <w:tr w14:paraId="0DBEC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546" w:type="pct"/>
            <w:vAlign w:val="center"/>
          </w:tcPr>
          <w:p w14:paraId="52EFFD19">
            <w:pPr>
              <w:spacing w:line="360" w:lineRule="auto"/>
              <w:jc w:val="center"/>
              <w:rPr>
                <w:rFonts w:asciiTheme="minorEastAsia" w:hAnsiTheme="minorEastAsia"/>
                <w:sz w:val="24"/>
              </w:rPr>
            </w:pPr>
          </w:p>
        </w:tc>
        <w:tc>
          <w:tcPr>
            <w:tcW w:w="802" w:type="pct"/>
            <w:vAlign w:val="center"/>
          </w:tcPr>
          <w:p w14:paraId="0DD707A0">
            <w:pPr>
              <w:spacing w:line="360" w:lineRule="auto"/>
              <w:jc w:val="center"/>
              <w:rPr>
                <w:rFonts w:asciiTheme="minorEastAsia" w:hAnsiTheme="minorEastAsia"/>
                <w:sz w:val="24"/>
              </w:rPr>
            </w:pPr>
          </w:p>
        </w:tc>
        <w:tc>
          <w:tcPr>
            <w:tcW w:w="1001" w:type="pct"/>
            <w:vAlign w:val="center"/>
          </w:tcPr>
          <w:p w14:paraId="5A70B3A0">
            <w:pPr>
              <w:spacing w:line="360" w:lineRule="auto"/>
              <w:jc w:val="center"/>
              <w:rPr>
                <w:rFonts w:asciiTheme="minorEastAsia" w:hAnsiTheme="minorEastAsia"/>
                <w:sz w:val="24"/>
              </w:rPr>
            </w:pPr>
          </w:p>
        </w:tc>
        <w:tc>
          <w:tcPr>
            <w:tcW w:w="626" w:type="pct"/>
            <w:vAlign w:val="center"/>
          </w:tcPr>
          <w:p w14:paraId="1E08CD5C">
            <w:pPr>
              <w:spacing w:line="360" w:lineRule="auto"/>
              <w:jc w:val="center"/>
              <w:rPr>
                <w:rFonts w:asciiTheme="minorEastAsia" w:hAnsiTheme="minorEastAsia"/>
                <w:sz w:val="24"/>
              </w:rPr>
            </w:pPr>
          </w:p>
        </w:tc>
        <w:tc>
          <w:tcPr>
            <w:tcW w:w="674" w:type="pct"/>
            <w:vAlign w:val="center"/>
          </w:tcPr>
          <w:p w14:paraId="4925DA2D">
            <w:pPr>
              <w:spacing w:line="360" w:lineRule="auto"/>
              <w:jc w:val="center"/>
              <w:rPr>
                <w:rFonts w:asciiTheme="minorEastAsia" w:hAnsiTheme="minorEastAsia"/>
                <w:sz w:val="24"/>
              </w:rPr>
            </w:pPr>
          </w:p>
        </w:tc>
        <w:tc>
          <w:tcPr>
            <w:tcW w:w="674" w:type="pct"/>
            <w:vAlign w:val="center"/>
          </w:tcPr>
          <w:p w14:paraId="364EA615">
            <w:pPr>
              <w:spacing w:line="360" w:lineRule="auto"/>
              <w:jc w:val="center"/>
              <w:rPr>
                <w:rFonts w:asciiTheme="minorEastAsia" w:hAnsiTheme="minorEastAsia"/>
                <w:sz w:val="24"/>
              </w:rPr>
            </w:pPr>
          </w:p>
        </w:tc>
        <w:tc>
          <w:tcPr>
            <w:tcW w:w="673" w:type="pct"/>
            <w:vAlign w:val="center"/>
          </w:tcPr>
          <w:p w14:paraId="31CEF972">
            <w:pPr>
              <w:spacing w:line="360" w:lineRule="auto"/>
              <w:jc w:val="center"/>
              <w:rPr>
                <w:rFonts w:asciiTheme="minorEastAsia" w:hAnsiTheme="minorEastAsia"/>
                <w:sz w:val="24"/>
              </w:rPr>
            </w:pPr>
          </w:p>
        </w:tc>
      </w:tr>
    </w:tbl>
    <w:p w14:paraId="443818FF">
      <w:pPr>
        <w:pStyle w:val="3"/>
        <w:wordWrap w:val="0"/>
        <w:spacing w:line="360" w:lineRule="auto"/>
        <w:ind w:firstLine="480" w:firstLineChars="200"/>
        <w:jc w:val="right"/>
        <w:rPr>
          <w:rFonts w:asciiTheme="minorEastAsia" w:hAnsiTheme="minorEastAsia" w:eastAsiaTheme="minorEastAsia"/>
          <w:sz w:val="24"/>
          <w:szCs w:val="24"/>
          <w:lang w:eastAsia="zh-CN"/>
        </w:rPr>
      </w:pPr>
    </w:p>
    <w:p w14:paraId="7A5113B3">
      <w:pPr>
        <w:pStyle w:val="3"/>
        <w:wordWrap w:val="0"/>
        <w:spacing w:line="360" w:lineRule="auto"/>
        <w:ind w:firstLine="480" w:firstLineChars="200"/>
        <w:jc w:val="right"/>
        <w:rPr>
          <w:rFonts w:asciiTheme="minorEastAsia" w:hAnsiTheme="minorEastAsia" w:eastAsiaTheme="minorEastAsia"/>
          <w:sz w:val="24"/>
          <w:szCs w:val="24"/>
          <w:lang w:eastAsia="zh-CN"/>
        </w:rPr>
      </w:pPr>
    </w:p>
    <w:p w14:paraId="66BD660E">
      <w:pPr>
        <w:pStyle w:val="3"/>
        <w:wordWrap w:val="0"/>
        <w:spacing w:line="360" w:lineRule="auto"/>
        <w:ind w:firstLine="480" w:firstLineChars="200"/>
        <w:jc w:val="right"/>
        <w:rPr>
          <w:rFonts w:asciiTheme="minorEastAsia" w:hAnsiTheme="minorEastAsia" w:eastAsiaTheme="minorEastAsia"/>
          <w:sz w:val="24"/>
          <w:szCs w:val="24"/>
          <w:lang w:eastAsia="zh-CN"/>
        </w:rPr>
      </w:pPr>
    </w:p>
    <w:p w14:paraId="05EF6840">
      <w:pPr>
        <w:pStyle w:val="3"/>
        <w:wordWrap w:val="0"/>
        <w:spacing w:line="360" w:lineRule="auto"/>
        <w:ind w:firstLine="480" w:firstLineChars="200"/>
        <w:jc w:val="right"/>
        <w:rPr>
          <w:rFonts w:asciiTheme="minorEastAsia" w:hAnsiTheme="minorEastAsia" w:eastAsiaTheme="minorEastAsia"/>
          <w:sz w:val="24"/>
          <w:szCs w:val="24"/>
          <w:lang w:eastAsia="zh-CN"/>
        </w:rPr>
      </w:pPr>
    </w:p>
    <w:p w14:paraId="732CDFBA">
      <w:pPr>
        <w:pStyle w:val="3"/>
        <w:wordWrap w:val="0"/>
        <w:spacing w:line="360" w:lineRule="auto"/>
        <w:ind w:firstLine="480" w:firstLineChars="200"/>
        <w:jc w:val="right"/>
        <w:rPr>
          <w:rFonts w:asciiTheme="minorEastAsia" w:hAnsiTheme="minorEastAsia" w:eastAsiaTheme="minorEastAsia"/>
          <w:sz w:val="24"/>
          <w:szCs w:val="24"/>
          <w:lang w:eastAsia="zh-CN"/>
        </w:rPr>
      </w:pPr>
    </w:p>
    <w:p w14:paraId="601E8FFE">
      <w:pPr>
        <w:pStyle w:val="3"/>
        <w:wordWrap w:val="0"/>
        <w:spacing w:line="360" w:lineRule="auto"/>
        <w:ind w:firstLine="480" w:firstLineChars="200"/>
        <w:jc w:val="right"/>
        <w:rPr>
          <w:rFonts w:asciiTheme="minorEastAsia" w:hAnsiTheme="minorEastAsia" w:eastAsiaTheme="minorEastAsia"/>
          <w:sz w:val="24"/>
          <w:szCs w:val="24"/>
          <w:lang w:eastAsia="zh-CN"/>
        </w:rPr>
      </w:pPr>
    </w:p>
    <w:p w14:paraId="1BFE2901">
      <w:pPr>
        <w:pStyle w:val="3"/>
        <w:wordWrap w:val="0"/>
        <w:spacing w:line="360" w:lineRule="auto"/>
        <w:ind w:firstLine="480" w:firstLineChars="200"/>
        <w:jc w:val="righ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供</w:t>
      </w:r>
      <w:r>
        <w:rPr>
          <w:rFonts w:asciiTheme="minorEastAsia" w:hAnsiTheme="minorEastAsia" w:eastAsiaTheme="minorEastAsia"/>
          <w:sz w:val="24"/>
          <w:szCs w:val="24"/>
          <w:lang w:eastAsia="zh-CN"/>
        </w:rPr>
        <w:t>应商：</w:t>
      </w:r>
      <w:r>
        <w:rPr>
          <w:rFonts w:cs="Times New Roman" w:asciiTheme="minorEastAsia" w:hAnsiTheme="minorEastAsia" w:eastAsiaTheme="minorEastAsia"/>
          <w:sz w:val="24"/>
          <w:szCs w:val="24"/>
          <w:u w:val="single" w:color="000000"/>
          <w:lang w:eastAsia="zh-CN"/>
        </w:rPr>
        <w:tab/>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盖公章</w:t>
      </w:r>
      <w:r>
        <w:rPr>
          <w:rFonts w:asciiTheme="minorEastAsia" w:hAnsiTheme="minorEastAsia" w:eastAsiaTheme="minorEastAsia"/>
          <w:sz w:val="24"/>
          <w:szCs w:val="24"/>
          <w:lang w:eastAsia="zh-CN"/>
        </w:rPr>
        <w:t>）</w:t>
      </w:r>
    </w:p>
    <w:p w14:paraId="58183D96">
      <w:pPr>
        <w:wordWrap w:val="0"/>
        <w:spacing w:line="360" w:lineRule="auto"/>
        <w:ind w:firstLine="480" w:firstLineChars="200"/>
        <w:jc w:val="right"/>
        <w:rPr>
          <w:rFonts w:asciiTheme="minorEastAsia" w:hAnsiTheme="minorEastAsia"/>
          <w:sz w:val="24"/>
        </w:rPr>
      </w:pPr>
      <w:r>
        <w:rPr>
          <w:rFonts w:asciiTheme="minorEastAsia" w:hAnsiTheme="minorEastAsia"/>
          <w:sz w:val="24"/>
        </w:rPr>
        <w:t>日期：年月日</w:t>
      </w:r>
    </w:p>
    <w:p w14:paraId="7AEA8EDB">
      <w:pPr>
        <w:ind w:firstLine="420" w:firstLineChars="200"/>
      </w:pPr>
      <w:r>
        <w:br w:type="page"/>
      </w:r>
    </w:p>
    <w:p w14:paraId="55AEA4BC">
      <w:pPr>
        <w:spacing w:line="360" w:lineRule="auto"/>
        <w:ind w:firstLine="482" w:firstLineChars="200"/>
        <w:rPr>
          <w:rFonts w:asciiTheme="minorEastAsia" w:hAnsiTheme="minorEastAsia"/>
          <w:b/>
          <w:sz w:val="24"/>
        </w:rPr>
      </w:pPr>
      <w:r>
        <w:rPr>
          <w:rFonts w:asciiTheme="minorEastAsia" w:hAnsiTheme="minorEastAsia"/>
          <w:b/>
          <w:sz w:val="24"/>
        </w:rPr>
        <w:t>6.2</w:t>
      </w:r>
      <w:r>
        <w:rPr>
          <w:rFonts w:hint="eastAsia" w:asciiTheme="minorEastAsia" w:hAnsiTheme="minorEastAsia"/>
          <w:b/>
          <w:sz w:val="24"/>
        </w:rPr>
        <w:t>、分项</w:t>
      </w:r>
      <w:r>
        <w:rPr>
          <w:rFonts w:asciiTheme="minorEastAsia" w:hAnsiTheme="minorEastAsia"/>
          <w:b/>
          <w:sz w:val="24"/>
        </w:rPr>
        <w:t>报价</w:t>
      </w:r>
      <w:r>
        <w:rPr>
          <w:rFonts w:hint="eastAsia" w:asciiTheme="minorEastAsia" w:hAnsiTheme="minorEastAsia"/>
          <w:b/>
          <w:sz w:val="24"/>
        </w:rPr>
        <w:t>表</w:t>
      </w:r>
    </w:p>
    <w:p w14:paraId="228748C5">
      <w:pPr>
        <w:snapToGrid w:val="0"/>
        <w:spacing w:beforeLines="20" w:afterLines="20" w:line="360" w:lineRule="auto"/>
        <w:ind w:firstLine="562" w:firstLineChars="200"/>
        <w:jc w:val="center"/>
        <w:rPr>
          <w:rFonts w:ascii="宋体" w:hAnsi="宋体" w:cs="宋体"/>
          <w:b/>
          <w:bCs/>
          <w:sz w:val="28"/>
          <w:szCs w:val="28"/>
        </w:rPr>
      </w:pPr>
      <w:r>
        <w:rPr>
          <w:rFonts w:hint="eastAsia" w:ascii="宋体" w:hAnsi="宋体" w:cs="宋体"/>
          <w:b/>
          <w:bCs/>
          <w:sz w:val="28"/>
          <w:szCs w:val="28"/>
        </w:rPr>
        <w:t>分项报价表</w:t>
      </w:r>
    </w:p>
    <w:p w14:paraId="44D0DD0E">
      <w:pPr>
        <w:pStyle w:val="2"/>
        <w:ind w:firstLine="480" w:firstLineChars="200"/>
        <w:jc w:val="right"/>
        <w:rPr>
          <w:sz w:val="24"/>
          <w:szCs w:val="24"/>
          <w:lang w:eastAsia="zh-CN"/>
        </w:rPr>
      </w:pPr>
      <w:r>
        <w:rPr>
          <w:rFonts w:hint="eastAsia"/>
          <w:sz w:val="24"/>
          <w:szCs w:val="24"/>
          <w:lang w:eastAsia="zh-CN"/>
        </w:rPr>
        <w:t>单位：人民币元</w:t>
      </w:r>
    </w:p>
    <w:tbl>
      <w:tblPr>
        <w:tblStyle w:val="22"/>
        <w:tblW w:w="504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33"/>
        <w:gridCol w:w="2692"/>
        <w:gridCol w:w="1046"/>
        <w:gridCol w:w="941"/>
        <w:gridCol w:w="1352"/>
        <w:gridCol w:w="1332"/>
        <w:gridCol w:w="1060"/>
      </w:tblGrid>
      <w:tr w14:paraId="4AAD7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 w:hRule="atLeast"/>
        </w:trPr>
        <w:tc>
          <w:tcPr>
            <w:tcW w:w="400" w:type="pct"/>
            <w:shd w:val="clear" w:color="auto" w:fill="auto"/>
          </w:tcPr>
          <w:p w14:paraId="76141C2F">
            <w:pPr>
              <w:pStyle w:val="35"/>
              <w:adjustRightInd w:val="0"/>
              <w:snapToGrid w:val="0"/>
              <w:spacing w:line="360" w:lineRule="auto"/>
              <w:jc w:val="center"/>
              <w:rPr>
                <w:b/>
                <w:sz w:val="24"/>
                <w:szCs w:val="24"/>
              </w:rPr>
            </w:pPr>
            <w:r>
              <w:rPr>
                <w:rFonts w:hint="eastAsia"/>
                <w:b/>
                <w:sz w:val="24"/>
                <w:szCs w:val="24"/>
              </w:rPr>
              <w:t>序号</w:t>
            </w:r>
          </w:p>
        </w:tc>
        <w:tc>
          <w:tcPr>
            <w:tcW w:w="1470" w:type="pct"/>
            <w:tcBorders>
              <w:right w:val="single" w:color="000000" w:sz="4" w:space="0"/>
            </w:tcBorders>
            <w:shd w:val="clear" w:color="auto" w:fill="auto"/>
          </w:tcPr>
          <w:p w14:paraId="408DAB83">
            <w:pPr>
              <w:pStyle w:val="35"/>
              <w:adjustRightInd w:val="0"/>
              <w:snapToGrid w:val="0"/>
              <w:spacing w:line="360" w:lineRule="auto"/>
              <w:jc w:val="center"/>
              <w:rPr>
                <w:b/>
                <w:sz w:val="24"/>
                <w:szCs w:val="24"/>
              </w:rPr>
            </w:pPr>
            <w:r>
              <w:rPr>
                <w:rFonts w:hint="eastAsia"/>
                <w:b/>
                <w:sz w:val="24"/>
                <w:szCs w:val="24"/>
              </w:rPr>
              <w:t>分项名称</w:t>
            </w:r>
          </w:p>
        </w:tc>
        <w:tc>
          <w:tcPr>
            <w:tcW w:w="571" w:type="pct"/>
            <w:tcBorders>
              <w:left w:val="single" w:color="auto" w:sz="4" w:space="0"/>
            </w:tcBorders>
            <w:shd w:val="clear" w:color="auto" w:fill="auto"/>
          </w:tcPr>
          <w:p w14:paraId="22D45459">
            <w:pPr>
              <w:pStyle w:val="35"/>
              <w:adjustRightInd w:val="0"/>
              <w:snapToGrid w:val="0"/>
              <w:spacing w:line="360" w:lineRule="auto"/>
              <w:rPr>
                <w:b/>
                <w:sz w:val="24"/>
                <w:szCs w:val="24"/>
              </w:rPr>
            </w:pPr>
            <w:r>
              <w:rPr>
                <w:rFonts w:hint="eastAsia"/>
                <w:b/>
                <w:sz w:val="24"/>
                <w:szCs w:val="24"/>
              </w:rPr>
              <w:t>单位</w:t>
            </w:r>
          </w:p>
        </w:tc>
        <w:tc>
          <w:tcPr>
            <w:tcW w:w="514" w:type="pct"/>
            <w:shd w:val="clear" w:color="auto" w:fill="auto"/>
          </w:tcPr>
          <w:p w14:paraId="280B103D">
            <w:pPr>
              <w:pStyle w:val="35"/>
              <w:adjustRightInd w:val="0"/>
              <w:snapToGrid w:val="0"/>
              <w:spacing w:line="360" w:lineRule="auto"/>
              <w:rPr>
                <w:b/>
                <w:sz w:val="24"/>
                <w:szCs w:val="24"/>
              </w:rPr>
            </w:pPr>
            <w:r>
              <w:rPr>
                <w:rFonts w:hint="eastAsia"/>
                <w:b/>
                <w:sz w:val="24"/>
                <w:szCs w:val="24"/>
              </w:rPr>
              <w:t>数量</w:t>
            </w:r>
          </w:p>
        </w:tc>
        <w:tc>
          <w:tcPr>
            <w:tcW w:w="736" w:type="pct"/>
            <w:shd w:val="clear" w:color="auto" w:fill="auto"/>
          </w:tcPr>
          <w:p w14:paraId="6172D12E">
            <w:pPr>
              <w:pStyle w:val="35"/>
              <w:adjustRightInd w:val="0"/>
              <w:snapToGrid w:val="0"/>
              <w:jc w:val="center"/>
              <w:rPr>
                <w:b/>
                <w:sz w:val="24"/>
                <w:szCs w:val="24"/>
              </w:rPr>
            </w:pPr>
            <w:r>
              <w:rPr>
                <w:rFonts w:hint="eastAsia"/>
                <w:b/>
              </w:rPr>
              <w:t>单价</w:t>
            </w:r>
          </w:p>
        </w:tc>
        <w:tc>
          <w:tcPr>
            <w:tcW w:w="727" w:type="pct"/>
            <w:shd w:val="clear" w:color="auto" w:fill="auto"/>
          </w:tcPr>
          <w:p w14:paraId="5041E9C8">
            <w:pPr>
              <w:pStyle w:val="35"/>
              <w:adjustRightInd w:val="0"/>
              <w:snapToGrid w:val="0"/>
              <w:jc w:val="center"/>
              <w:rPr>
                <w:b/>
                <w:sz w:val="24"/>
                <w:szCs w:val="24"/>
              </w:rPr>
            </w:pPr>
            <w:r>
              <w:rPr>
                <w:rFonts w:hint="eastAsia"/>
                <w:b/>
              </w:rPr>
              <w:t>总价</w:t>
            </w:r>
          </w:p>
        </w:tc>
        <w:tc>
          <w:tcPr>
            <w:tcW w:w="579" w:type="pct"/>
            <w:shd w:val="clear" w:color="auto" w:fill="auto"/>
          </w:tcPr>
          <w:p w14:paraId="09E59129">
            <w:pPr>
              <w:pStyle w:val="35"/>
              <w:adjustRightInd w:val="0"/>
              <w:snapToGrid w:val="0"/>
              <w:spacing w:line="360" w:lineRule="auto"/>
              <w:rPr>
                <w:b/>
                <w:sz w:val="24"/>
                <w:szCs w:val="24"/>
              </w:rPr>
            </w:pPr>
            <w:r>
              <w:rPr>
                <w:rFonts w:hint="eastAsia"/>
                <w:b/>
                <w:sz w:val="24"/>
                <w:szCs w:val="24"/>
              </w:rPr>
              <w:t>备注</w:t>
            </w:r>
          </w:p>
        </w:tc>
      </w:tr>
      <w:tr w14:paraId="37A62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 w:hRule="atLeast"/>
        </w:trPr>
        <w:tc>
          <w:tcPr>
            <w:tcW w:w="400" w:type="pct"/>
            <w:shd w:val="clear" w:color="auto" w:fill="auto"/>
            <w:vAlign w:val="center"/>
          </w:tcPr>
          <w:p w14:paraId="0A0DCCDA">
            <w:pPr>
              <w:pStyle w:val="35"/>
              <w:numPr>
                <w:ilvl w:val="0"/>
                <w:numId w:val="19"/>
              </w:numPr>
              <w:adjustRightInd w:val="0"/>
              <w:snapToGrid w:val="0"/>
              <w:spacing w:line="360" w:lineRule="auto"/>
              <w:jc w:val="center"/>
              <w:rPr>
                <w:sz w:val="24"/>
                <w:szCs w:val="24"/>
              </w:rPr>
            </w:pPr>
          </w:p>
        </w:tc>
        <w:tc>
          <w:tcPr>
            <w:tcW w:w="1470" w:type="pct"/>
            <w:tcBorders>
              <w:right w:val="single" w:color="000000" w:sz="4" w:space="0"/>
            </w:tcBorders>
            <w:shd w:val="clear" w:color="auto" w:fill="auto"/>
            <w:vAlign w:val="center"/>
          </w:tcPr>
          <w:p w14:paraId="60BBE141">
            <w:pPr>
              <w:adjustRightInd w:val="0"/>
              <w:snapToGrid w:val="0"/>
              <w:spacing w:line="360" w:lineRule="auto"/>
              <w:jc w:val="center"/>
              <w:rPr>
                <w:sz w:val="24"/>
              </w:rPr>
            </w:pPr>
          </w:p>
        </w:tc>
        <w:tc>
          <w:tcPr>
            <w:tcW w:w="571" w:type="pct"/>
            <w:tcBorders>
              <w:left w:val="single" w:color="auto" w:sz="4" w:space="0"/>
            </w:tcBorders>
            <w:shd w:val="clear" w:color="auto" w:fill="auto"/>
          </w:tcPr>
          <w:p w14:paraId="5D769F97">
            <w:pPr>
              <w:adjustRightInd w:val="0"/>
              <w:snapToGrid w:val="0"/>
              <w:spacing w:line="360" w:lineRule="auto"/>
              <w:rPr>
                <w:sz w:val="24"/>
              </w:rPr>
            </w:pPr>
          </w:p>
        </w:tc>
        <w:tc>
          <w:tcPr>
            <w:tcW w:w="514" w:type="pct"/>
            <w:shd w:val="clear" w:color="auto" w:fill="auto"/>
          </w:tcPr>
          <w:p w14:paraId="368FCA47">
            <w:pPr>
              <w:adjustRightInd w:val="0"/>
              <w:snapToGrid w:val="0"/>
              <w:spacing w:line="360" w:lineRule="auto"/>
              <w:rPr>
                <w:sz w:val="24"/>
              </w:rPr>
            </w:pPr>
          </w:p>
        </w:tc>
        <w:tc>
          <w:tcPr>
            <w:tcW w:w="736" w:type="pct"/>
            <w:shd w:val="clear" w:color="auto" w:fill="auto"/>
          </w:tcPr>
          <w:p w14:paraId="662E2EE2">
            <w:pPr>
              <w:adjustRightInd w:val="0"/>
              <w:snapToGrid w:val="0"/>
              <w:spacing w:line="360" w:lineRule="auto"/>
              <w:rPr>
                <w:sz w:val="24"/>
              </w:rPr>
            </w:pPr>
          </w:p>
        </w:tc>
        <w:tc>
          <w:tcPr>
            <w:tcW w:w="727" w:type="pct"/>
            <w:shd w:val="clear" w:color="auto" w:fill="auto"/>
          </w:tcPr>
          <w:p w14:paraId="294D19C8">
            <w:pPr>
              <w:adjustRightInd w:val="0"/>
              <w:snapToGrid w:val="0"/>
              <w:spacing w:line="360" w:lineRule="auto"/>
              <w:rPr>
                <w:sz w:val="24"/>
              </w:rPr>
            </w:pPr>
          </w:p>
        </w:tc>
        <w:tc>
          <w:tcPr>
            <w:tcW w:w="579" w:type="pct"/>
            <w:shd w:val="clear" w:color="auto" w:fill="auto"/>
          </w:tcPr>
          <w:p w14:paraId="5C002920">
            <w:pPr>
              <w:adjustRightInd w:val="0"/>
              <w:snapToGrid w:val="0"/>
              <w:spacing w:line="360" w:lineRule="auto"/>
              <w:rPr>
                <w:sz w:val="24"/>
              </w:rPr>
            </w:pPr>
          </w:p>
        </w:tc>
      </w:tr>
      <w:tr w14:paraId="3AB9F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 w:hRule="atLeast"/>
        </w:trPr>
        <w:tc>
          <w:tcPr>
            <w:tcW w:w="400" w:type="pct"/>
            <w:shd w:val="clear" w:color="auto" w:fill="auto"/>
            <w:vAlign w:val="center"/>
          </w:tcPr>
          <w:p w14:paraId="49FA050D">
            <w:pPr>
              <w:pStyle w:val="35"/>
              <w:numPr>
                <w:ilvl w:val="0"/>
                <w:numId w:val="19"/>
              </w:numPr>
              <w:adjustRightInd w:val="0"/>
              <w:snapToGrid w:val="0"/>
              <w:spacing w:line="360" w:lineRule="auto"/>
              <w:jc w:val="center"/>
              <w:rPr>
                <w:sz w:val="24"/>
              </w:rPr>
            </w:pPr>
          </w:p>
        </w:tc>
        <w:tc>
          <w:tcPr>
            <w:tcW w:w="1470" w:type="pct"/>
            <w:tcBorders>
              <w:right w:val="single" w:color="000000" w:sz="4" w:space="0"/>
            </w:tcBorders>
            <w:shd w:val="clear" w:color="auto" w:fill="auto"/>
            <w:vAlign w:val="center"/>
          </w:tcPr>
          <w:p w14:paraId="7A08B36B">
            <w:pPr>
              <w:adjustRightInd w:val="0"/>
              <w:snapToGrid w:val="0"/>
              <w:spacing w:line="360" w:lineRule="auto"/>
              <w:jc w:val="center"/>
              <w:rPr>
                <w:rFonts w:cs="Times New Roman" w:asciiTheme="minorEastAsia" w:hAnsiTheme="minorEastAsia"/>
                <w:sz w:val="24"/>
              </w:rPr>
            </w:pPr>
          </w:p>
        </w:tc>
        <w:tc>
          <w:tcPr>
            <w:tcW w:w="571" w:type="pct"/>
            <w:tcBorders>
              <w:left w:val="single" w:color="auto" w:sz="4" w:space="0"/>
            </w:tcBorders>
            <w:shd w:val="clear" w:color="auto" w:fill="auto"/>
          </w:tcPr>
          <w:p w14:paraId="3BDB9B86">
            <w:pPr>
              <w:adjustRightInd w:val="0"/>
              <w:snapToGrid w:val="0"/>
              <w:spacing w:line="360" w:lineRule="auto"/>
              <w:rPr>
                <w:sz w:val="24"/>
              </w:rPr>
            </w:pPr>
          </w:p>
        </w:tc>
        <w:tc>
          <w:tcPr>
            <w:tcW w:w="514" w:type="pct"/>
            <w:shd w:val="clear" w:color="auto" w:fill="auto"/>
          </w:tcPr>
          <w:p w14:paraId="488F09F5">
            <w:pPr>
              <w:adjustRightInd w:val="0"/>
              <w:snapToGrid w:val="0"/>
              <w:spacing w:line="360" w:lineRule="auto"/>
              <w:rPr>
                <w:sz w:val="24"/>
              </w:rPr>
            </w:pPr>
          </w:p>
        </w:tc>
        <w:tc>
          <w:tcPr>
            <w:tcW w:w="736" w:type="pct"/>
            <w:shd w:val="clear" w:color="auto" w:fill="auto"/>
          </w:tcPr>
          <w:p w14:paraId="5071BE7E">
            <w:pPr>
              <w:adjustRightInd w:val="0"/>
              <w:snapToGrid w:val="0"/>
              <w:spacing w:line="360" w:lineRule="auto"/>
              <w:rPr>
                <w:sz w:val="24"/>
              </w:rPr>
            </w:pPr>
          </w:p>
        </w:tc>
        <w:tc>
          <w:tcPr>
            <w:tcW w:w="727" w:type="pct"/>
            <w:shd w:val="clear" w:color="auto" w:fill="auto"/>
          </w:tcPr>
          <w:p w14:paraId="0EB1ABC8">
            <w:pPr>
              <w:adjustRightInd w:val="0"/>
              <w:snapToGrid w:val="0"/>
              <w:spacing w:line="360" w:lineRule="auto"/>
              <w:rPr>
                <w:sz w:val="24"/>
              </w:rPr>
            </w:pPr>
          </w:p>
        </w:tc>
        <w:tc>
          <w:tcPr>
            <w:tcW w:w="579" w:type="pct"/>
            <w:shd w:val="clear" w:color="auto" w:fill="auto"/>
          </w:tcPr>
          <w:p w14:paraId="3A767DC0">
            <w:pPr>
              <w:adjustRightInd w:val="0"/>
              <w:snapToGrid w:val="0"/>
              <w:spacing w:line="360" w:lineRule="auto"/>
              <w:rPr>
                <w:sz w:val="24"/>
              </w:rPr>
            </w:pPr>
          </w:p>
        </w:tc>
      </w:tr>
      <w:tr w14:paraId="4E477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 w:hRule="atLeast"/>
        </w:trPr>
        <w:tc>
          <w:tcPr>
            <w:tcW w:w="400" w:type="pct"/>
            <w:shd w:val="clear" w:color="auto" w:fill="auto"/>
            <w:vAlign w:val="center"/>
          </w:tcPr>
          <w:p w14:paraId="53AA4A5A">
            <w:pPr>
              <w:pStyle w:val="35"/>
              <w:numPr>
                <w:ilvl w:val="0"/>
                <w:numId w:val="19"/>
              </w:numPr>
              <w:adjustRightInd w:val="0"/>
              <w:snapToGrid w:val="0"/>
              <w:spacing w:line="360" w:lineRule="auto"/>
              <w:jc w:val="center"/>
              <w:rPr>
                <w:sz w:val="24"/>
              </w:rPr>
            </w:pPr>
          </w:p>
        </w:tc>
        <w:tc>
          <w:tcPr>
            <w:tcW w:w="1470" w:type="pct"/>
            <w:tcBorders>
              <w:right w:val="single" w:color="000000" w:sz="4" w:space="0"/>
            </w:tcBorders>
            <w:shd w:val="clear" w:color="auto" w:fill="auto"/>
            <w:vAlign w:val="center"/>
          </w:tcPr>
          <w:p w14:paraId="5675E9E3">
            <w:pPr>
              <w:adjustRightInd w:val="0"/>
              <w:snapToGrid w:val="0"/>
              <w:spacing w:line="360" w:lineRule="auto"/>
              <w:jc w:val="center"/>
              <w:rPr>
                <w:rFonts w:cs="Times New Roman" w:asciiTheme="minorEastAsia" w:hAnsiTheme="minorEastAsia"/>
                <w:sz w:val="24"/>
              </w:rPr>
            </w:pPr>
          </w:p>
        </w:tc>
        <w:tc>
          <w:tcPr>
            <w:tcW w:w="571" w:type="pct"/>
            <w:tcBorders>
              <w:left w:val="single" w:color="auto" w:sz="4" w:space="0"/>
            </w:tcBorders>
            <w:shd w:val="clear" w:color="auto" w:fill="auto"/>
          </w:tcPr>
          <w:p w14:paraId="7ADA656F">
            <w:pPr>
              <w:adjustRightInd w:val="0"/>
              <w:snapToGrid w:val="0"/>
              <w:spacing w:line="360" w:lineRule="auto"/>
              <w:rPr>
                <w:sz w:val="24"/>
              </w:rPr>
            </w:pPr>
          </w:p>
        </w:tc>
        <w:tc>
          <w:tcPr>
            <w:tcW w:w="514" w:type="pct"/>
            <w:shd w:val="clear" w:color="auto" w:fill="auto"/>
          </w:tcPr>
          <w:p w14:paraId="4FA6D83D">
            <w:pPr>
              <w:adjustRightInd w:val="0"/>
              <w:snapToGrid w:val="0"/>
              <w:spacing w:line="360" w:lineRule="auto"/>
              <w:rPr>
                <w:sz w:val="24"/>
              </w:rPr>
            </w:pPr>
          </w:p>
        </w:tc>
        <w:tc>
          <w:tcPr>
            <w:tcW w:w="736" w:type="pct"/>
            <w:shd w:val="clear" w:color="auto" w:fill="auto"/>
          </w:tcPr>
          <w:p w14:paraId="0870DAE9">
            <w:pPr>
              <w:adjustRightInd w:val="0"/>
              <w:snapToGrid w:val="0"/>
              <w:spacing w:line="360" w:lineRule="auto"/>
              <w:rPr>
                <w:sz w:val="24"/>
              </w:rPr>
            </w:pPr>
          </w:p>
        </w:tc>
        <w:tc>
          <w:tcPr>
            <w:tcW w:w="727" w:type="pct"/>
            <w:shd w:val="clear" w:color="auto" w:fill="auto"/>
          </w:tcPr>
          <w:p w14:paraId="53E86A07">
            <w:pPr>
              <w:adjustRightInd w:val="0"/>
              <w:snapToGrid w:val="0"/>
              <w:spacing w:line="360" w:lineRule="auto"/>
              <w:rPr>
                <w:sz w:val="24"/>
              </w:rPr>
            </w:pPr>
          </w:p>
        </w:tc>
        <w:tc>
          <w:tcPr>
            <w:tcW w:w="579" w:type="pct"/>
            <w:shd w:val="clear" w:color="auto" w:fill="auto"/>
          </w:tcPr>
          <w:p w14:paraId="05B6D6D4">
            <w:pPr>
              <w:adjustRightInd w:val="0"/>
              <w:snapToGrid w:val="0"/>
              <w:spacing w:line="360" w:lineRule="auto"/>
              <w:rPr>
                <w:sz w:val="24"/>
              </w:rPr>
            </w:pPr>
          </w:p>
        </w:tc>
      </w:tr>
      <w:tr w14:paraId="0F5BE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 w:hRule="atLeast"/>
        </w:trPr>
        <w:tc>
          <w:tcPr>
            <w:tcW w:w="400" w:type="pct"/>
            <w:shd w:val="clear" w:color="auto" w:fill="auto"/>
            <w:vAlign w:val="center"/>
          </w:tcPr>
          <w:p w14:paraId="6D97C544">
            <w:pPr>
              <w:pStyle w:val="35"/>
              <w:numPr>
                <w:ilvl w:val="0"/>
                <w:numId w:val="19"/>
              </w:numPr>
              <w:adjustRightInd w:val="0"/>
              <w:snapToGrid w:val="0"/>
              <w:spacing w:line="360" w:lineRule="auto"/>
              <w:jc w:val="center"/>
              <w:rPr>
                <w:sz w:val="24"/>
              </w:rPr>
            </w:pPr>
          </w:p>
        </w:tc>
        <w:tc>
          <w:tcPr>
            <w:tcW w:w="1470" w:type="pct"/>
            <w:tcBorders>
              <w:right w:val="single" w:color="000000" w:sz="4" w:space="0"/>
            </w:tcBorders>
            <w:shd w:val="clear" w:color="auto" w:fill="auto"/>
            <w:vAlign w:val="center"/>
          </w:tcPr>
          <w:p w14:paraId="5C10C632">
            <w:pPr>
              <w:adjustRightInd w:val="0"/>
              <w:snapToGrid w:val="0"/>
              <w:spacing w:line="360" w:lineRule="auto"/>
              <w:jc w:val="center"/>
              <w:rPr>
                <w:rFonts w:cs="Times New Roman" w:asciiTheme="minorEastAsia" w:hAnsiTheme="minorEastAsia"/>
                <w:sz w:val="24"/>
              </w:rPr>
            </w:pPr>
          </w:p>
        </w:tc>
        <w:tc>
          <w:tcPr>
            <w:tcW w:w="571" w:type="pct"/>
            <w:tcBorders>
              <w:left w:val="single" w:color="auto" w:sz="4" w:space="0"/>
            </w:tcBorders>
            <w:shd w:val="clear" w:color="auto" w:fill="auto"/>
          </w:tcPr>
          <w:p w14:paraId="509FEA84">
            <w:pPr>
              <w:adjustRightInd w:val="0"/>
              <w:snapToGrid w:val="0"/>
              <w:spacing w:line="360" w:lineRule="auto"/>
              <w:rPr>
                <w:sz w:val="24"/>
              </w:rPr>
            </w:pPr>
          </w:p>
        </w:tc>
        <w:tc>
          <w:tcPr>
            <w:tcW w:w="514" w:type="pct"/>
            <w:shd w:val="clear" w:color="auto" w:fill="auto"/>
          </w:tcPr>
          <w:p w14:paraId="1A4A1316">
            <w:pPr>
              <w:adjustRightInd w:val="0"/>
              <w:snapToGrid w:val="0"/>
              <w:spacing w:line="360" w:lineRule="auto"/>
              <w:rPr>
                <w:sz w:val="24"/>
              </w:rPr>
            </w:pPr>
          </w:p>
        </w:tc>
        <w:tc>
          <w:tcPr>
            <w:tcW w:w="736" w:type="pct"/>
            <w:shd w:val="clear" w:color="auto" w:fill="auto"/>
          </w:tcPr>
          <w:p w14:paraId="5A459282">
            <w:pPr>
              <w:adjustRightInd w:val="0"/>
              <w:snapToGrid w:val="0"/>
              <w:spacing w:line="360" w:lineRule="auto"/>
              <w:rPr>
                <w:sz w:val="24"/>
              </w:rPr>
            </w:pPr>
          </w:p>
        </w:tc>
        <w:tc>
          <w:tcPr>
            <w:tcW w:w="727" w:type="pct"/>
            <w:shd w:val="clear" w:color="auto" w:fill="auto"/>
          </w:tcPr>
          <w:p w14:paraId="436EB467">
            <w:pPr>
              <w:adjustRightInd w:val="0"/>
              <w:snapToGrid w:val="0"/>
              <w:spacing w:line="360" w:lineRule="auto"/>
              <w:rPr>
                <w:sz w:val="24"/>
              </w:rPr>
            </w:pPr>
          </w:p>
        </w:tc>
        <w:tc>
          <w:tcPr>
            <w:tcW w:w="579" w:type="pct"/>
            <w:shd w:val="clear" w:color="auto" w:fill="auto"/>
          </w:tcPr>
          <w:p w14:paraId="07143E5B">
            <w:pPr>
              <w:adjustRightInd w:val="0"/>
              <w:snapToGrid w:val="0"/>
              <w:spacing w:line="360" w:lineRule="auto"/>
              <w:rPr>
                <w:sz w:val="24"/>
              </w:rPr>
            </w:pPr>
          </w:p>
        </w:tc>
      </w:tr>
      <w:tr w14:paraId="65CA3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 w:hRule="atLeast"/>
        </w:trPr>
        <w:tc>
          <w:tcPr>
            <w:tcW w:w="400" w:type="pct"/>
            <w:shd w:val="clear" w:color="auto" w:fill="auto"/>
            <w:vAlign w:val="center"/>
          </w:tcPr>
          <w:p w14:paraId="5E36B0CD">
            <w:pPr>
              <w:pStyle w:val="35"/>
              <w:numPr>
                <w:ilvl w:val="0"/>
                <w:numId w:val="19"/>
              </w:numPr>
              <w:adjustRightInd w:val="0"/>
              <w:snapToGrid w:val="0"/>
              <w:spacing w:line="360" w:lineRule="auto"/>
              <w:jc w:val="center"/>
              <w:rPr>
                <w:sz w:val="24"/>
              </w:rPr>
            </w:pPr>
          </w:p>
        </w:tc>
        <w:tc>
          <w:tcPr>
            <w:tcW w:w="1470" w:type="pct"/>
            <w:tcBorders>
              <w:right w:val="single" w:color="000000" w:sz="4" w:space="0"/>
            </w:tcBorders>
            <w:shd w:val="clear" w:color="auto" w:fill="auto"/>
            <w:vAlign w:val="center"/>
          </w:tcPr>
          <w:p w14:paraId="235AEA1A">
            <w:pPr>
              <w:adjustRightInd w:val="0"/>
              <w:snapToGrid w:val="0"/>
              <w:spacing w:line="360" w:lineRule="auto"/>
              <w:jc w:val="center"/>
              <w:rPr>
                <w:rFonts w:cs="Arial"/>
                <w:sz w:val="24"/>
              </w:rPr>
            </w:pPr>
          </w:p>
        </w:tc>
        <w:tc>
          <w:tcPr>
            <w:tcW w:w="571" w:type="pct"/>
            <w:tcBorders>
              <w:left w:val="single" w:color="auto" w:sz="4" w:space="0"/>
            </w:tcBorders>
            <w:shd w:val="clear" w:color="auto" w:fill="auto"/>
          </w:tcPr>
          <w:p w14:paraId="428F6C5C">
            <w:pPr>
              <w:adjustRightInd w:val="0"/>
              <w:snapToGrid w:val="0"/>
              <w:spacing w:line="360" w:lineRule="auto"/>
              <w:rPr>
                <w:sz w:val="24"/>
              </w:rPr>
            </w:pPr>
          </w:p>
        </w:tc>
        <w:tc>
          <w:tcPr>
            <w:tcW w:w="514" w:type="pct"/>
            <w:shd w:val="clear" w:color="auto" w:fill="auto"/>
          </w:tcPr>
          <w:p w14:paraId="1005BF2D">
            <w:pPr>
              <w:adjustRightInd w:val="0"/>
              <w:snapToGrid w:val="0"/>
              <w:spacing w:line="360" w:lineRule="auto"/>
              <w:rPr>
                <w:sz w:val="24"/>
              </w:rPr>
            </w:pPr>
          </w:p>
        </w:tc>
        <w:tc>
          <w:tcPr>
            <w:tcW w:w="736" w:type="pct"/>
            <w:shd w:val="clear" w:color="auto" w:fill="auto"/>
          </w:tcPr>
          <w:p w14:paraId="7EF72E3B">
            <w:pPr>
              <w:adjustRightInd w:val="0"/>
              <w:snapToGrid w:val="0"/>
              <w:spacing w:line="360" w:lineRule="auto"/>
              <w:rPr>
                <w:sz w:val="24"/>
              </w:rPr>
            </w:pPr>
          </w:p>
        </w:tc>
        <w:tc>
          <w:tcPr>
            <w:tcW w:w="727" w:type="pct"/>
            <w:shd w:val="clear" w:color="auto" w:fill="auto"/>
          </w:tcPr>
          <w:p w14:paraId="5F3CC15C">
            <w:pPr>
              <w:adjustRightInd w:val="0"/>
              <w:snapToGrid w:val="0"/>
              <w:spacing w:line="360" w:lineRule="auto"/>
              <w:rPr>
                <w:sz w:val="24"/>
              </w:rPr>
            </w:pPr>
          </w:p>
        </w:tc>
        <w:tc>
          <w:tcPr>
            <w:tcW w:w="579" w:type="pct"/>
            <w:shd w:val="clear" w:color="auto" w:fill="auto"/>
          </w:tcPr>
          <w:p w14:paraId="2A7E4F37">
            <w:pPr>
              <w:adjustRightInd w:val="0"/>
              <w:snapToGrid w:val="0"/>
              <w:spacing w:line="360" w:lineRule="auto"/>
              <w:rPr>
                <w:sz w:val="24"/>
              </w:rPr>
            </w:pPr>
          </w:p>
        </w:tc>
      </w:tr>
      <w:tr w14:paraId="068BD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 w:hRule="atLeast"/>
        </w:trPr>
        <w:tc>
          <w:tcPr>
            <w:tcW w:w="400" w:type="pct"/>
            <w:shd w:val="clear" w:color="auto" w:fill="auto"/>
            <w:vAlign w:val="center"/>
          </w:tcPr>
          <w:p w14:paraId="3E2286E9">
            <w:pPr>
              <w:pStyle w:val="35"/>
              <w:numPr>
                <w:ilvl w:val="0"/>
                <w:numId w:val="19"/>
              </w:numPr>
              <w:adjustRightInd w:val="0"/>
              <w:snapToGrid w:val="0"/>
              <w:spacing w:line="360" w:lineRule="auto"/>
              <w:jc w:val="center"/>
              <w:rPr>
                <w:sz w:val="24"/>
              </w:rPr>
            </w:pPr>
          </w:p>
        </w:tc>
        <w:tc>
          <w:tcPr>
            <w:tcW w:w="1470" w:type="pct"/>
            <w:tcBorders>
              <w:right w:val="single" w:color="000000" w:sz="4" w:space="0"/>
            </w:tcBorders>
            <w:shd w:val="clear" w:color="auto" w:fill="auto"/>
            <w:vAlign w:val="center"/>
          </w:tcPr>
          <w:p w14:paraId="1700B97B">
            <w:pPr>
              <w:adjustRightInd w:val="0"/>
              <w:snapToGrid w:val="0"/>
              <w:spacing w:line="360" w:lineRule="auto"/>
              <w:jc w:val="center"/>
              <w:rPr>
                <w:rFonts w:cs="Arial"/>
                <w:sz w:val="24"/>
              </w:rPr>
            </w:pPr>
          </w:p>
        </w:tc>
        <w:tc>
          <w:tcPr>
            <w:tcW w:w="571" w:type="pct"/>
            <w:tcBorders>
              <w:left w:val="single" w:color="auto" w:sz="4" w:space="0"/>
            </w:tcBorders>
            <w:shd w:val="clear" w:color="auto" w:fill="auto"/>
          </w:tcPr>
          <w:p w14:paraId="56215D91">
            <w:pPr>
              <w:adjustRightInd w:val="0"/>
              <w:snapToGrid w:val="0"/>
              <w:spacing w:line="360" w:lineRule="auto"/>
              <w:rPr>
                <w:sz w:val="24"/>
              </w:rPr>
            </w:pPr>
          </w:p>
        </w:tc>
        <w:tc>
          <w:tcPr>
            <w:tcW w:w="514" w:type="pct"/>
            <w:shd w:val="clear" w:color="auto" w:fill="auto"/>
          </w:tcPr>
          <w:p w14:paraId="5B2E6027">
            <w:pPr>
              <w:adjustRightInd w:val="0"/>
              <w:snapToGrid w:val="0"/>
              <w:spacing w:line="360" w:lineRule="auto"/>
              <w:rPr>
                <w:sz w:val="24"/>
              </w:rPr>
            </w:pPr>
          </w:p>
        </w:tc>
        <w:tc>
          <w:tcPr>
            <w:tcW w:w="736" w:type="pct"/>
            <w:shd w:val="clear" w:color="auto" w:fill="auto"/>
          </w:tcPr>
          <w:p w14:paraId="44691268">
            <w:pPr>
              <w:adjustRightInd w:val="0"/>
              <w:snapToGrid w:val="0"/>
              <w:spacing w:line="360" w:lineRule="auto"/>
              <w:rPr>
                <w:sz w:val="24"/>
              </w:rPr>
            </w:pPr>
          </w:p>
        </w:tc>
        <w:tc>
          <w:tcPr>
            <w:tcW w:w="727" w:type="pct"/>
            <w:shd w:val="clear" w:color="auto" w:fill="auto"/>
          </w:tcPr>
          <w:p w14:paraId="6CEC189C">
            <w:pPr>
              <w:adjustRightInd w:val="0"/>
              <w:snapToGrid w:val="0"/>
              <w:spacing w:line="360" w:lineRule="auto"/>
              <w:rPr>
                <w:sz w:val="24"/>
              </w:rPr>
            </w:pPr>
          </w:p>
        </w:tc>
        <w:tc>
          <w:tcPr>
            <w:tcW w:w="579" w:type="pct"/>
            <w:shd w:val="clear" w:color="auto" w:fill="auto"/>
          </w:tcPr>
          <w:p w14:paraId="7064AC8B">
            <w:pPr>
              <w:adjustRightInd w:val="0"/>
              <w:snapToGrid w:val="0"/>
              <w:spacing w:line="360" w:lineRule="auto"/>
              <w:rPr>
                <w:sz w:val="24"/>
              </w:rPr>
            </w:pPr>
          </w:p>
        </w:tc>
      </w:tr>
      <w:tr w14:paraId="4F569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 w:hRule="atLeast"/>
        </w:trPr>
        <w:tc>
          <w:tcPr>
            <w:tcW w:w="400" w:type="pct"/>
            <w:shd w:val="clear" w:color="auto" w:fill="auto"/>
            <w:vAlign w:val="center"/>
          </w:tcPr>
          <w:p w14:paraId="30A5D313">
            <w:pPr>
              <w:pStyle w:val="35"/>
              <w:numPr>
                <w:ilvl w:val="0"/>
                <w:numId w:val="19"/>
              </w:numPr>
              <w:adjustRightInd w:val="0"/>
              <w:snapToGrid w:val="0"/>
              <w:spacing w:line="360" w:lineRule="auto"/>
              <w:jc w:val="center"/>
              <w:rPr>
                <w:sz w:val="24"/>
              </w:rPr>
            </w:pPr>
          </w:p>
        </w:tc>
        <w:tc>
          <w:tcPr>
            <w:tcW w:w="1470" w:type="pct"/>
            <w:tcBorders>
              <w:right w:val="single" w:color="000000" w:sz="4" w:space="0"/>
            </w:tcBorders>
            <w:shd w:val="clear" w:color="auto" w:fill="auto"/>
            <w:vAlign w:val="center"/>
          </w:tcPr>
          <w:p w14:paraId="120E46A5">
            <w:pPr>
              <w:adjustRightInd w:val="0"/>
              <w:snapToGrid w:val="0"/>
              <w:spacing w:line="360" w:lineRule="auto"/>
              <w:jc w:val="center"/>
              <w:rPr>
                <w:rFonts w:cs="Arial"/>
                <w:sz w:val="24"/>
              </w:rPr>
            </w:pPr>
          </w:p>
        </w:tc>
        <w:tc>
          <w:tcPr>
            <w:tcW w:w="571" w:type="pct"/>
            <w:tcBorders>
              <w:left w:val="single" w:color="auto" w:sz="4" w:space="0"/>
            </w:tcBorders>
            <w:shd w:val="clear" w:color="auto" w:fill="auto"/>
          </w:tcPr>
          <w:p w14:paraId="56F69877">
            <w:pPr>
              <w:adjustRightInd w:val="0"/>
              <w:snapToGrid w:val="0"/>
              <w:spacing w:line="360" w:lineRule="auto"/>
              <w:rPr>
                <w:sz w:val="24"/>
              </w:rPr>
            </w:pPr>
          </w:p>
        </w:tc>
        <w:tc>
          <w:tcPr>
            <w:tcW w:w="514" w:type="pct"/>
            <w:shd w:val="clear" w:color="auto" w:fill="auto"/>
          </w:tcPr>
          <w:p w14:paraId="6A04C068">
            <w:pPr>
              <w:adjustRightInd w:val="0"/>
              <w:snapToGrid w:val="0"/>
              <w:spacing w:line="360" w:lineRule="auto"/>
              <w:rPr>
                <w:sz w:val="24"/>
              </w:rPr>
            </w:pPr>
          </w:p>
        </w:tc>
        <w:tc>
          <w:tcPr>
            <w:tcW w:w="736" w:type="pct"/>
            <w:shd w:val="clear" w:color="auto" w:fill="auto"/>
          </w:tcPr>
          <w:p w14:paraId="45C0EB3F">
            <w:pPr>
              <w:adjustRightInd w:val="0"/>
              <w:snapToGrid w:val="0"/>
              <w:spacing w:line="360" w:lineRule="auto"/>
              <w:rPr>
                <w:sz w:val="24"/>
              </w:rPr>
            </w:pPr>
          </w:p>
        </w:tc>
        <w:tc>
          <w:tcPr>
            <w:tcW w:w="727" w:type="pct"/>
            <w:shd w:val="clear" w:color="auto" w:fill="auto"/>
          </w:tcPr>
          <w:p w14:paraId="64F8EC73">
            <w:pPr>
              <w:adjustRightInd w:val="0"/>
              <w:snapToGrid w:val="0"/>
              <w:spacing w:line="360" w:lineRule="auto"/>
              <w:rPr>
                <w:sz w:val="24"/>
              </w:rPr>
            </w:pPr>
          </w:p>
        </w:tc>
        <w:tc>
          <w:tcPr>
            <w:tcW w:w="579" w:type="pct"/>
            <w:shd w:val="clear" w:color="auto" w:fill="auto"/>
          </w:tcPr>
          <w:p w14:paraId="223E3218">
            <w:pPr>
              <w:adjustRightInd w:val="0"/>
              <w:snapToGrid w:val="0"/>
              <w:spacing w:line="360" w:lineRule="auto"/>
              <w:rPr>
                <w:sz w:val="24"/>
              </w:rPr>
            </w:pPr>
          </w:p>
        </w:tc>
      </w:tr>
      <w:tr w14:paraId="6DC30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 w:hRule="atLeast"/>
        </w:trPr>
        <w:tc>
          <w:tcPr>
            <w:tcW w:w="400" w:type="pct"/>
            <w:shd w:val="clear" w:color="auto" w:fill="auto"/>
            <w:vAlign w:val="center"/>
          </w:tcPr>
          <w:p w14:paraId="75176686">
            <w:pPr>
              <w:pStyle w:val="35"/>
              <w:numPr>
                <w:ilvl w:val="0"/>
                <w:numId w:val="19"/>
              </w:numPr>
              <w:adjustRightInd w:val="0"/>
              <w:snapToGrid w:val="0"/>
              <w:spacing w:line="360" w:lineRule="auto"/>
              <w:jc w:val="center"/>
              <w:rPr>
                <w:sz w:val="24"/>
              </w:rPr>
            </w:pPr>
          </w:p>
        </w:tc>
        <w:tc>
          <w:tcPr>
            <w:tcW w:w="1470" w:type="pct"/>
            <w:tcBorders>
              <w:right w:val="single" w:color="000000" w:sz="4" w:space="0"/>
            </w:tcBorders>
            <w:shd w:val="clear" w:color="auto" w:fill="auto"/>
            <w:vAlign w:val="center"/>
          </w:tcPr>
          <w:p w14:paraId="610AB89A">
            <w:pPr>
              <w:adjustRightInd w:val="0"/>
              <w:snapToGrid w:val="0"/>
              <w:spacing w:line="360" w:lineRule="auto"/>
              <w:jc w:val="center"/>
              <w:rPr>
                <w:rFonts w:cs="Arial"/>
                <w:sz w:val="24"/>
              </w:rPr>
            </w:pPr>
          </w:p>
        </w:tc>
        <w:tc>
          <w:tcPr>
            <w:tcW w:w="571" w:type="pct"/>
            <w:tcBorders>
              <w:left w:val="single" w:color="auto" w:sz="4" w:space="0"/>
            </w:tcBorders>
            <w:shd w:val="clear" w:color="auto" w:fill="auto"/>
          </w:tcPr>
          <w:p w14:paraId="55308280">
            <w:pPr>
              <w:adjustRightInd w:val="0"/>
              <w:snapToGrid w:val="0"/>
              <w:spacing w:line="360" w:lineRule="auto"/>
              <w:rPr>
                <w:sz w:val="24"/>
              </w:rPr>
            </w:pPr>
          </w:p>
        </w:tc>
        <w:tc>
          <w:tcPr>
            <w:tcW w:w="514" w:type="pct"/>
            <w:shd w:val="clear" w:color="auto" w:fill="auto"/>
          </w:tcPr>
          <w:p w14:paraId="3B245E99">
            <w:pPr>
              <w:adjustRightInd w:val="0"/>
              <w:snapToGrid w:val="0"/>
              <w:spacing w:line="360" w:lineRule="auto"/>
              <w:rPr>
                <w:sz w:val="24"/>
              </w:rPr>
            </w:pPr>
          </w:p>
        </w:tc>
        <w:tc>
          <w:tcPr>
            <w:tcW w:w="736" w:type="pct"/>
            <w:shd w:val="clear" w:color="auto" w:fill="auto"/>
          </w:tcPr>
          <w:p w14:paraId="4C8BECB5">
            <w:pPr>
              <w:adjustRightInd w:val="0"/>
              <w:snapToGrid w:val="0"/>
              <w:spacing w:line="360" w:lineRule="auto"/>
              <w:rPr>
                <w:sz w:val="24"/>
              </w:rPr>
            </w:pPr>
          </w:p>
        </w:tc>
        <w:tc>
          <w:tcPr>
            <w:tcW w:w="727" w:type="pct"/>
            <w:shd w:val="clear" w:color="auto" w:fill="auto"/>
          </w:tcPr>
          <w:p w14:paraId="623135A6">
            <w:pPr>
              <w:adjustRightInd w:val="0"/>
              <w:snapToGrid w:val="0"/>
              <w:spacing w:line="360" w:lineRule="auto"/>
              <w:rPr>
                <w:sz w:val="24"/>
              </w:rPr>
            </w:pPr>
          </w:p>
        </w:tc>
        <w:tc>
          <w:tcPr>
            <w:tcW w:w="579" w:type="pct"/>
            <w:shd w:val="clear" w:color="auto" w:fill="auto"/>
          </w:tcPr>
          <w:p w14:paraId="111CDC6A">
            <w:pPr>
              <w:adjustRightInd w:val="0"/>
              <w:snapToGrid w:val="0"/>
              <w:spacing w:line="360" w:lineRule="auto"/>
              <w:rPr>
                <w:sz w:val="24"/>
              </w:rPr>
            </w:pPr>
          </w:p>
        </w:tc>
      </w:tr>
      <w:tr w14:paraId="4568F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 w:hRule="atLeast"/>
        </w:trPr>
        <w:tc>
          <w:tcPr>
            <w:tcW w:w="400" w:type="pct"/>
            <w:shd w:val="clear" w:color="auto" w:fill="auto"/>
            <w:vAlign w:val="center"/>
          </w:tcPr>
          <w:p w14:paraId="1D180F39">
            <w:pPr>
              <w:pStyle w:val="35"/>
              <w:numPr>
                <w:ilvl w:val="0"/>
                <w:numId w:val="19"/>
              </w:numPr>
              <w:adjustRightInd w:val="0"/>
              <w:snapToGrid w:val="0"/>
              <w:spacing w:line="360" w:lineRule="auto"/>
              <w:jc w:val="center"/>
              <w:rPr>
                <w:sz w:val="24"/>
              </w:rPr>
            </w:pPr>
          </w:p>
        </w:tc>
        <w:tc>
          <w:tcPr>
            <w:tcW w:w="1470" w:type="pct"/>
            <w:tcBorders>
              <w:right w:val="single" w:color="000000" w:sz="4" w:space="0"/>
            </w:tcBorders>
            <w:shd w:val="clear" w:color="auto" w:fill="auto"/>
            <w:vAlign w:val="center"/>
          </w:tcPr>
          <w:p w14:paraId="2EEEA5A3">
            <w:pPr>
              <w:adjustRightInd w:val="0"/>
              <w:snapToGrid w:val="0"/>
              <w:spacing w:line="360" w:lineRule="auto"/>
              <w:jc w:val="center"/>
              <w:rPr>
                <w:rFonts w:cs="Arial"/>
                <w:sz w:val="24"/>
              </w:rPr>
            </w:pPr>
          </w:p>
        </w:tc>
        <w:tc>
          <w:tcPr>
            <w:tcW w:w="571" w:type="pct"/>
            <w:tcBorders>
              <w:left w:val="single" w:color="auto" w:sz="4" w:space="0"/>
            </w:tcBorders>
            <w:shd w:val="clear" w:color="auto" w:fill="auto"/>
          </w:tcPr>
          <w:p w14:paraId="60041748">
            <w:pPr>
              <w:adjustRightInd w:val="0"/>
              <w:snapToGrid w:val="0"/>
              <w:spacing w:line="360" w:lineRule="auto"/>
              <w:rPr>
                <w:sz w:val="24"/>
              </w:rPr>
            </w:pPr>
          </w:p>
        </w:tc>
        <w:tc>
          <w:tcPr>
            <w:tcW w:w="514" w:type="pct"/>
            <w:shd w:val="clear" w:color="auto" w:fill="auto"/>
          </w:tcPr>
          <w:p w14:paraId="18DF6CA7">
            <w:pPr>
              <w:adjustRightInd w:val="0"/>
              <w:snapToGrid w:val="0"/>
              <w:spacing w:line="360" w:lineRule="auto"/>
              <w:rPr>
                <w:sz w:val="24"/>
              </w:rPr>
            </w:pPr>
          </w:p>
        </w:tc>
        <w:tc>
          <w:tcPr>
            <w:tcW w:w="736" w:type="pct"/>
            <w:shd w:val="clear" w:color="auto" w:fill="auto"/>
          </w:tcPr>
          <w:p w14:paraId="72EE6EAD">
            <w:pPr>
              <w:adjustRightInd w:val="0"/>
              <w:snapToGrid w:val="0"/>
              <w:spacing w:line="360" w:lineRule="auto"/>
              <w:rPr>
                <w:sz w:val="24"/>
              </w:rPr>
            </w:pPr>
          </w:p>
        </w:tc>
        <w:tc>
          <w:tcPr>
            <w:tcW w:w="727" w:type="pct"/>
            <w:shd w:val="clear" w:color="auto" w:fill="auto"/>
          </w:tcPr>
          <w:p w14:paraId="18D72197">
            <w:pPr>
              <w:adjustRightInd w:val="0"/>
              <w:snapToGrid w:val="0"/>
              <w:spacing w:line="360" w:lineRule="auto"/>
              <w:rPr>
                <w:sz w:val="24"/>
              </w:rPr>
            </w:pPr>
          </w:p>
        </w:tc>
        <w:tc>
          <w:tcPr>
            <w:tcW w:w="579" w:type="pct"/>
            <w:shd w:val="clear" w:color="auto" w:fill="auto"/>
          </w:tcPr>
          <w:p w14:paraId="405F68F6">
            <w:pPr>
              <w:adjustRightInd w:val="0"/>
              <w:snapToGrid w:val="0"/>
              <w:spacing w:line="360" w:lineRule="auto"/>
              <w:rPr>
                <w:sz w:val="24"/>
              </w:rPr>
            </w:pPr>
          </w:p>
        </w:tc>
      </w:tr>
      <w:tr w14:paraId="2B682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 w:hRule="atLeast"/>
        </w:trPr>
        <w:tc>
          <w:tcPr>
            <w:tcW w:w="400" w:type="pct"/>
            <w:shd w:val="clear" w:color="auto" w:fill="auto"/>
            <w:vAlign w:val="center"/>
          </w:tcPr>
          <w:p w14:paraId="630A05A0">
            <w:pPr>
              <w:pStyle w:val="35"/>
              <w:numPr>
                <w:ilvl w:val="0"/>
                <w:numId w:val="19"/>
              </w:numPr>
              <w:adjustRightInd w:val="0"/>
              <w:snapToGrid w:val="0"/>
              <w:spacing w:line="360" w:lineRule="auto"/>
              <w:jc w:val="center"/>
              <w:rPr>
                <w:sz w:val="24"/>
              </w:rPr>
            </w:pPr>
          </w:p>
        </w:tc>
        <w:tc>
          <w:tcPr>
            <w:tcW w:w="1470" w:type="pct"/>
            <w:tcBorders>
              <w:right w:val="single" w:color="000000" w:sz="4" w:space="0"/>
            </w:tcBorders>
            <w:shd w:val="clear" w:color="auto" w:fill="auto"/>
            <w:vAlign w:val="center"/>
          </w:tcPr>
          <w:p w14:paraId="6D54197C">
            <w:pPr>
              <w:adjustRightInd w:val="0"/>
              <w:snapToGrid w:val="0"/>
              <w:spacing w:line="360" w:lineRule="auto"/>
              <w:jc w:val="center"/>
              <w:rPr>
                <w:rFonts w:cs="Arial"/>
                <w:sz w:val="24"/>
              </w:rPr>
            </w:pPr>
          </w:p>
        </w:tc>
        <w:tc>
          <w:tcPr>
            <w:tcW w:w="571" w:type="pct"/>
            <w:tcBorders>
              <w:left w:val="single" w:color="auto" w:sz="4" w:space="0"/>
            </w:tcBorders>
            <w:shd w:val="clear" w:color="auto" w:fill="auto"/>
          </w:tcPr>
          <w:p w14:paraId="1560E6FD">
            <w:pPr>
              <w:adjustRightInd w:val="0"/>
              <w:snapToGrid w:val="0"/>
              <w:spacing w:line="360" w:lineRule="auto"/>
              <w:rPr>
                <w:sz w:val="24"/>
              </w:rPr>
            </w:pPr>
          </w:p>
        </w:tc>
        <w:tc>
          <w:tcPr>
            <w:tcW w:w="514" w:type="pct"/>
            <w:shd w:val="clear" w:color="auto" w:fill="auto"/>
          </w:tcPr>
          <w:p w14:paraId="56C1519F">
            <w:pPr>
              <w:adjustRightInd w:val="0"/>
              <w:snapToGrid w:val="0"/>
              <w:spacing w:line="360" w:lineRule="auto"/>
              <w:rPr>
                <w:sz w:val="24"/>
              </w:rPr>
            </w:pPr>
          </w:p>
        </w:tc>
        <w:tc>
          <w:tcPr>
            <w:tcW w:w="736" w:type="pct"/>
            <w:shd w:val="clear" w:color="auto" w:fill="auto"/>
          </w:tcPr>
          <w:p w14:paraId="3E281BD5">
            <w:pPr>
              <w:adjustRightInd w:val="0"/>
              <w:snapToGrid w:val="0"/>
              <w:spacing w:line="360" w:lineRule="auto"/>
              <w:rPr>
                <w:sz w:val="24"/>
              </w:rPr>
            </w:pPr>
          </w:p>
        </w:tc>
        <w:tc>
          <w:tcPr>
            <w:tcW w:w="727" w:type="pct"/>
            <w:shd w:val="clear" w:color="auto" w:fill="auto"/>
          </w:tcPr>
          <w:p w14:paraId="1099C3F3">
            <w:pPr>
              <w:adjustRightInd w:val="0"/>
              <w:snapToGrid w:val="0"/>
              <w:spacing w:line="360" w:lineRule="auto"/>
              <w:rPr>
                <w:sz w:val="24"/>
              </w:rPr>
            </w:pPr>
          </w:p>
        </w:tc>
        <w:tc>
          <w:tcPr>
            <w:tcW w:w="579" w:type="pct"/>
            <w:shd w:val="clear" w:color="auto" w:fill="auto"/>
          </w:tcPr>
          <w:p w14:paraId="741F7C7F">
            <w:pPr>
              <w:adjustRightInd w:val="0"/>
              <w:snapToGrid w:val="0"/>
              <w:spacing w:line="360" w:lineRule="auto"/>
              <w:rPr>
                <w:sz w:val="24"/>
              </w:rPr>
            </w:pPr>
          </w:p>
        </w:tc>
      </w:tr>
      <w:tr w14:paraId="7A462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 w:hRule="atLeast"/>
        </w:trPr>
        <w:tc>
          <w:tcPr>
            <w:tcW w:w="400" w:type="pct"/>
            <w:shd w:val="clear" w:color="auto" w:fill="auto"/>
            <w:vAlign w:val="center"/>
          </w:tcPr>
          <w:p w14:paraId="0BE852CC">
            <w:pPr>
              <w:pStyle w:val="35"/>
              <w:numPr>
                <w:ilvl w:val="0"/>
                <w:numId w:val="19"/>
              </w:numPr>
              <w:adjustRightInd w:val="0"/>
              <w:snapToGrid w:val="0"/>
              <w:spacing w:line="360" w:lineRule="auto"/>
              <w:jc w:val="center"/>
              <w:rPr>
                <w:sz w:val="24"/>
              </w:rPr>
            </w:pPr>
          </w:p>
        </w:tc>
        <w:tc>
          <w:tcPr>
            <w:tcW w:w="1470" w:type="pct"/>
            <w:tcBorders>
              <w:right w:val="single" w:color="000000" w:sz="4" w:space="0"/>
            </w:tcBorders>
            <w:shd w:val="clear" w:color="auto" w:fill="auto"/>
            <w:vAlign w:val="center"/>
          </w:tcPr>
          <w:p w14:paraId="11443AA5">
            <w:pPr>
              <w:adjustRightInd w:val="0"/>
              <w:snapToGrid w:val="0"/>
              <w:spacing w:line="360" w:lineRule="auto"/>
              <w:jc w:val="center"/>
              <w:rPr>
                <w:rFonts w:cs="Arial"/>
                <w:sz w:val="24"/>
              </w:rPr>
            </w:pPr>
          </w:p>
        </w:tc>
        <w:tc>
          <w:tcPr>
            <w:tcW w:w="571" w:type="pct"/>
            <w:tcBorders>
              <w:left w:val="single" w:color="auto" w:sz="4" w:space="0"/>
            </w:tcBorders>
            <w:shd w:val="clear" w:color="auto" w:fill="auto"/>
          </w:tcPr>
          <w:p w14:paraId="3AF56CCF">
            <w:pPr>
              <w:adjustRightInd w:val="0"/>
              <w:snapToGrid w:val="0"/>
              <w:spacing w:line="360" w:lineRule="auto"/>
              <w:rPr>
                <w:sz w:val="24"/>
              </w:rPr>
            </w:pPr>
          </w:p>
        </w:tc>
        <w:tc>
          <w:tcPr>
            <w:tcW w:w="514" w:type="pct"/>
            <w:shd w:val="clear" w:color="auto" w:fill="auto"/>
          </w:tcPr>
          <w:p w14:paraId="3A7E84B3">
            <w:pPr>
              <w:adjustRightInd w:val="0"/>
              <w:snapToGrid w:val="0"/>
              <w:spacing w:line="360" w:lineRule="auto"/>
              <w:rPr>
                <w:sz w:val="24"/>
              </w:rPr>
            </w:pPr>
          </w:p>
        </w:tc>
        <w:tc>
          <w:tcPr>
            <w:tcW w:w="736" w:type="pct"/>
            <w:shd w:val="clear" w:color="auto" w:fill="auto"/>
          </w:tcPr>
          <w:p w14:paraId="0F660024">
            <w:pPr>
              <w:adjustRightInd w:val="0"/>
              <w:snapToGrid w:val="0"/>
              <w:spacing w:line="360" w:lineRule="auto"/>
              <w:rPr>
                <w:sz w:val="24"/>
              </w:rPr>
            </w:pPr>
          </w:p>
        </w:tc>
        <w:tc>
          <w:tcPr>
            <w:tcW w:w="727" w:type="pct"/>
            <w:shd w:val="clear" w:color="auto" w:fill="auto"/>
          </w:tcPr>
          <w:p w14:paraId="4F0327E0">
            <w:pPr>
              <w:adjustRightInd w:val="0"/>
              <w:snapToGrid w:val="0"/>
              <w:spacing w:line="360" w:lineRule="auto"/>
              <w:rPr>
                <w:sz w:val="24"/>
              </w:rPr>
            </w:pPr>
          </w:p>
        </w:tc>
        <w:tc>
          <w:tcPr>
            <w:tcW w:w="579" w:type="pct"/>
            <w:shd w:val="clear" w:color="auto" w:fill="auto"/>
          </w:tcPr>
          <w:p w14:paraId="00775581">
            <w:pPr>
              <w:adjustRightInd w:val="0"/>
              <w:snapToGrid w:val="0"/>
              <w:spacing w:line="360" w:lineRule="auto"/>
              <w:rPr>
                <w:sz w:val="24"/>
              </w:rPr>
            </w:pPr>
          </w:p>
        </w:tc>
      </w:tr>
      <w:tr w14:paraId="37626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 w:hRule="atLeast"/>
        </w:trPr>
        <w:tc>
          <w:tcPr>
            <w:tcW w:w="400" w:type="pct"/>
            <w:shd w:val="clear" w:color="auto" w:fill="auto"/>
            <w:vAlign w:val="center"/>
          </w:tcPr>
          <w:p w14:paraId="088AB4AA">
            <w:pPr>
              <w:pStyle w:val="35"/>
              <w:numPr>
                <w:ilvl w:val="0"/>
                <w:numId w:val="19"/>
              </w:numPr>
              <w:adjustRightInd w:val="0"/>
              <w:snapToGrid w:val="0"/>
              <w:spacing w:line="360" w:lineRule="auto"/>
              <w:jc w:val="center"/>
              <w:rPr>
                <w:sz w:val="24"/>
              </w:rPr>
            </w:pPr>
          </w:p>
        </w:tc>
        <w:tc>
          <w:tcPr>
            <w:tcW w:w="1470" w:type="pct"/>
            <w:tcBorders>
              <w:right w:val="single" w:color="000000" w:sz="4" w:space="0"/>
            </w:tcBorders>
            <w:shd w:val="clear" w:color="auto" w:fill="auto"/>
            <w:vAlign w:val="center"/>
          </w:tcPr>
          <w:p w14:paraId="4B060D38">
            <w:pPr>
              <w:adjustRightInd w:val="0"/>
              <w:snapToGrid w:val="0"/>
              <w:spacing w:line="360" w:lineRule="auto"/>
              <w:jc w:val="center"/>
              <w:rPr>
                <w:rFonts w:cs="Arial"/>
                <w:sz w:val="24"/>
              </w:rPr>
            </w:pPr>
          </w:p>
        </w:tc>
        <w:tc>
          <w:tcPr>
            <w:tcW w:w="571" w:type="pct"/>
            <w:tcBorders>
              <w:left w:val="single" w:color="auto" w:sz="4" w:space="0"/>
            </w:tcBorders>
            <w:shd w:val="clear" w:color="auto" w:fill="auto"/>
          </w:tcPr>
          <w:p w14:paraId="7562288B">
            <w:pPr>
              <w:adjustRightInd w:val="0"/>
              <w:snapToGrid w:val="0"/>
              <w:spacing w:line="360" w:lineRule="auto"/>
              <w:rPr>
                <w:sz w:val="24"/>
              </w:rPr>
            </w:pPr>
          </w:p>
        </w:tc>
        <w:tc>
          <w:tcPr>
            <w:tcW w:w="514" w:type="pct"/>
            <w:shd w:val="clear" w:color="auto" w:fill="auto"/>
          </w:tcPr>
          <w:p w14:paraId="4561E977">
            <w:pPr>
              <w:adjustRightInd w:val="0"/>
              <w:snapToGrid w:val="0"/>
              <w:spacing w:line="360" w:lineRule="auto"/>
              <w:rPr>
                <w:sz w:val="24"/>
              </w:rPr>
            </w:pPr>
          </w:p>
        </w:tc>
        <w:tc>
          <w:tcPr>
            <w:tcW w:w="736" w:type="pct"/>
            <w:shd w:val="clear" w:color="auto" w:fill="auto"/>
          </w:tcPr>
          <w:p w14:paraId="7CA7329A">
            <w:pPr>
              <w:adjustRightInd w:val="0"/>
              <w:snapToGrid w:val="0"/>
              <w:spacing w:line="360" w:lineRule="auto"/>
              <w:rPr>
                <w:sz w:val="24"/>
              </w:rPr>
            </w:pPr>
          </w:p>
        </w:tc>
        <w:tc>
          <w:tcPr>
            <w:tcW w:w="727" w:type="pct"/>
            <w:shd w:val="clear" w:color="auto" w:fill="auto"/>
          </w:tcPr>
          <w:p w14:paraId="0EE376B1">
            <w:pPr>
              <w:adjustRightInd w:val="0"/>
              <w:snapToGrid w:val="0"/>
              <w:spacing w:line="360" w:lineRule="auto"/>
              <w:rPr>
                <w:sz w:val="24"/>
              </w:rPr>
            </w:pPr>
          </w:p>
        </w:tc>
        <w:tc>
          <w:tcPr>
            <w:tcW w:w="579" w:type="pct"/>
            <w:shd w:val="clear" w:color="auto" w:fill="auto"/>
          </w:tcPr>
          <w:p w14:paraId="4B7EAA17">
            <w:pPr>
              <w:adjustRightInd w:val="0"/>
              <w:snapToGrid w:val="0"/>
              <w:spacing w:line="360" w:lineRule="auto"/>
              <w:rPr>
                <w:sz w:val="24"/>
              </w:rPr>
            </w:pPr>
          </w:p>
        </w:tc>
      </w:tr>
      <w:tr w14:paraId="748B3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 w:hRule="atLeast"/>
        </w:trPr>
        <w:tc>
          <w:tcPr>
            <w:tcW w:w="400" w:type="pct"/>
            <w:shd w:val="clear" w:color="auto" w:fill="auto"/>
            <w:vAlign w:val="center"/>
          </w:tcPr>
          <w:p w14:paraId="544A0F4B">
            <w:pPr>
              <w:pStyle w:val="35"/>
              <w:adjustRightInd w:val="0"/>
              <w:snapToGrid w:val="0"/>
              <w:spacing w:line="360" w:lineRule="auto"/>
              <w:jc w:val="center"/>
              <w:rPr>
                <w:sz w:val="24"/>
                <w:szCs w:val="24"/>
              </w:rPr>
            </w:pPr>
          </w:p>
        </w:tc>
        <w:tc>
          <w:tcPr>
            <w:tcW w:w="1470" w:type="pct"/>
            <w:tcBorders>
              <w:right w:val="single" w:color="000000" w:sz="4" w:space="0"/>
            </w:tcBorders>
            <w:shd w:val="clear" w:color="auto" w:fill="auto"/>
            <w:vAlign w:val="center"/>
          </w:tcPr>
          <w:p w14:paraId="4B964240">
            <w:pPr>
              <w:adjustRightInd w:val="0"/>
              <w:snapToGrid w:val="0"/>
              <w:spacing w:line="360" w:lineRule="auto"/>
              <w:jc w:val="center"/>
              <w:rPr>
                <w:rFonts w:cs="Arial"/>
                <w:sz w:val="24"/>
              </w:rPr>
            </w:pPr>
          </w:p>
        </w:tc>
        <w:tc>
          <w:tcPr>
            <w:tcW w:w="571" w:type="pct"/>
            <w:tcBorders>
              <w:left w:val="single" w:color="auto" w:sz="4" w:space="0"/>
            </w:tcBorders>
            <w:shd w:val="clear" w:color="auto" w:fill="auto"/>
          </w:tcPr>
          <w:p w14:paraId="6B250374">
            <w:pPr>
              <w:adjustRightInd w:val="0"/>
              <w:snapToGrid w:val="0"/>
              <w:spacing w:line="360" w:lineRule="auto"/>
              <w:rPr>
                <w:sz w:val="24"/>
              </w:rPr>
            </w:pPr>
          </w:p>
        </w:tc>
        <w:tc>
          <w:tcPr>
            <w:tcW w:w="514" w:type="pct"/>
            <w:shd w:val="clear" w:color="auto" w:fill="auto"/>
          </w:tcPr>
          <w:p w14:paraId="433BA5F3">
            <w:pPr>
              <w:adjustRightInd w:val="0"/>
              <w:snapToGrid w:val="0"/>
              <w:spacing w:line="360" w:lineRule="auto"/>
              <w:rPr>
                <w:sz w:val="24"/>
              </w:rPr>
            </w:pPr>
          </w:p>
        </w:tc>
        <w:tc>
          <w:tcPr>
            <w:tcW w:w="736" w:type="pct"/>
            <w:shd w:val="clear" w:color="auto" w:fill="auto"/>
          </w:tcPr>
          <w:p w14:paraId="1FFE212A">
            <w:pPr>
              <w:adjustRightInd w:val="0"/>
              <w:snapToGrid w:val="0"/>
              <w:spacing w:line="360" w:lineRule="auto"/>
              <w:rPr>
                <w:sz w:val="24"/>
              </w:rPr>
            </w:pPr>
          </w:p>
        </w:tc>
        <w:tc>
          <w:tcPr>
            <w:tcW w:w="727" w:type="pct"/>
            <w:shd w:val="clear" w:color="auto" w:fill="auto"/>
          </w:tcPr>
          <w:p w14:paraId="1600F9BD">
            <w:pPr>
              <w:adjustRightInd w:val="0"/>
              <w:snapToGrid w:val="0"/>
              <w:spacing w:line="360" w:lineRule="auto"/>
              <w:rPr>
                <w:sz w:val="24"/>
              </w:rPr>
            </w:pPr>
          </w:p>
        </w:tc>
        <w:tc>
          <w:tcPr>
            <w:tcW w:w="579" w:type="pct"/>
            <w:shd w:val="clear" w:color="auto" w:fill="auto"/>
          </w:tcPr>
          <w:p w14:paraId="65B96546">
            <w:pPr>
              <w:adjustRightInd w:val="0"/>
              <w:snapToGrid w:val="0"/>
              <w:spacing w:line="360" w:lineRule="auto"/>
              <w:rPr>
                <w:sz w:val="24"/>
              </w:rPr>
            </w:pPr>
          </w:p>
        </w:tc>
      </w:tr>
      <w:tr w14:paraId="55FFE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 w:hRule="atLeast"/>
        </w:trPr>
        <w:tc>
          <w:tcPr>
            <w:tcW w:w="400" w:type="pct"/>
            <w:shd w:val="clear" w:color="auto" w:fill="auto"/>
            <w:vAlign w:val="center"/>
          </w:tcPr>
          <w:p w14:paraId="2B332C90">
            <w:pPr>
              <w:pStyle w:val="35"/>
              <w:adjustRightInd w:val="0"/>
              <w:snapToGrid w:val="0"/>
              <w:spacing w:line="360" w:lineRule="auto"/>
              <w:jc w:val="center"/>
              <w:rPr>
                <w:sz w:val="24"/>
                <w:szCs w:val="24"/>
                <w:lang w:eastAsia="zh-CN"/>
              </w:rPr>
            </w:pPr>
          </w:p>
        </w:tc>
        <w:tc>
          <w:tcPr>
            <w:tcW w:w="1470" w:type="pct"/>
            <w:tcBorders>
              <w:right w:val="single" w:color="000000" w:sz="4" w:space="0"/>
            </w:tcBorders>
            <w:shd w:val="clear" w:color="auto" w:fill="auto"/>
            <w:vAlign w:val="center"/>
          </w:tcPr>
          <w:p w14:paraId="636A1A24">
            <w:pPr>
              <w:adjustRightInd w:val="0"/>
              <w:snapToGrid w:val="0"/>
              <w:spacing w:line="360" w:lineRule="auto"/>
              <w:jc w:val="center"/>
              <w:rPr>
                <w:rFonts w:cs="Arial"/>
                <w:sz w:val="24"/>
              </w:rPr>
            </w:pPr>
          </w:p>
        </w:tc>
        <w:tc>
          <w:tcPr>
            <w:tcW w:w="571" w:type="pct"/>
            <w:tcBorders>
              <w:left w:val="single" w:color="auto" w:sz="4" w:space="0"/>
            </w:tcBorders>
            <w:shd w:val="clear" w:color="auto" w:fill="auto"/>
          </w:tcPr>
          <w:p w14:paraId="7CEB1E00">
            <w:pPr>
              <w:adjustRightInd w:val="0"/>
              <w:snapToGrid w:val="0"/>
              <w:spacing w:line="360" w:lineRule="auto"/>
              <w:rPr>
                <w:sz w:val="24"/>
              </w:rPr>
            </w:pPr>
          </w:p>
        </w:tc>
        <w:tc>
          <w:tcPr>
            <w:tcW w:w="514" w:type="pct"/>
            <w:shd w:val="clear" w:color="auto" w:fill="auto"/>
          </w:tcPr>
          <w:p w14:paraId="677C1CCB">
            <w:pPr>
              <w:adjustRightInd w:val="0"/>
              <w:snapToGrid w:val="0"/>
              <w:spacing w:line="360" w:lineRule="auto"/>
              <w:rPr>
                <w:sz w:val="24"/>
              </w:rPr>
            </w:pPr>
          </w:p>
        </w:tc>
        <w:tc>
          <w:tcPr>
            <w:tcW w:w="736" w:type="pct"/>
            <w:shd w:val="clear" w:color="auto" w:fill="auto"/>
          </w:tcPr>
          <w:p w14:paraId="3145DA4E">
            <w:pPr>
              <w:adjustRightInd w:val="0"/>
              <w:snapToGrid w:val="0"/>
              <w:spacing w:line="360" w:lineRule="auto"/>
              <w:rPr>
                <w:sz w:val="24"/>
              </w:rPr>
            </w:pPr>
          </w:p>
        </w:tc>
        <w:tc>
          <w:tcPr>
            <w:tcW w:w="727" w:type="pct"/>
            <w:shd w:val="clear" w:color="auto" w:fill="auto"/>
          </w:tcPr>
          <w:p w14:paraId="0877D8A4">
            <w:pPr>
              <w:adjustRightInd w:val="0"/>
              <w:snapToGrid w:val="0"/>
              <w:spacing w:line="360" w:lineRule="auto"/>
              <w:rPr>
                <w:sz w:val="24"/>
              </w:rPr>
            </w:pPr>
          </w:p>
        </w:tc>
        <w:tc>
          <w:tcPr>
            <w:tcW w:w="579" w:type="pct"/>
            <w:shd w:val="clear" w:color="auto" w:fill="auto"/>
          </w:tcPr>
          <w:p w14:paraId="3030959A">
            <w:pPr>
              <w:adjustRightInd w:val="0"/>
              <w:snapToGrid w:val="0"/>
              <w:spacing w:line="360" w:lineRule="auto"/>
              <w:rPr>
                <w:sz w:val="24"/>
              </w:rPr>
            </w:pPr>
          </w:p>
        </w:tc>
      </w:tr>
      <w:tr w14:paraId="6E16F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 w:hRule="atLeast"/>
        </w:trPr>
        <w:tc>
          <w:tcPr>
            <w:tcW w:w="3693" w:type="pct"/>
            <w:gridSpan w:val="5"/>
            <w:shd w:val="clear" w:color="auto" w:fill="auto"/>
          </w:tcPr>
          <w:p w14:paraId="5192F85A">
            <w:pPr>
              <w:pStyle w:val="35"/>
              <w:adjustRightInd w:val="0"/>
              <w:snapToGrid w:val="0"/>
              <w:spacing w:line="360" w:lineRule="auto"/>
              <w:jc w:val="center"/>
              <w:rPr>
                <w:b/>
                <w:sz w:val="24"/>
                <w:szCs w:val="24"/>
              </w:rPr>
            </w:pPr>
            <w:r>
              <w:rPr>
                <w:rFonts w:hint="eastAsia"/>
                <w:b/>
                <w:sz w:val="24"/>
                <w:szCs w:val="24"/>
              </w:rPr>
              <w:t>报价合计</w:t>
            </w:r>
            <w:r>
              <w:rPr>
                <w:rFonts w:hint="eastAsia"/>
                <w:b/>
                <w:sz w:val="24"/>
                <w:szCs w:val="24"/>
                <w:lang w:eastAsia="zh-CN"/>
              </w:rPr>
              <w:t>（含税）</w:t>
            </w:r>
          </w:p>
        </w:tc>
        <w:tc>
          <w:tcPr>
            <w:tcW w:w="727" w:type="pct"/>
            <w:shd w:val="clear" w:color="auto" w:fill="auto"/>
          </w:tcPr>
          <w:p w14:paraId="19B367AB">
            <w:pPr>
              <w:adjustRightInd w:val="0"/>
              <w:snapToGrid w:val="0"/>
              <w:spacing w:line="360" w:lineRule="auto"/>
              <w:rPr>
                <w:sz w:val="24"/>
              </w:rPr>
            </w:pPr>
          </w:p>
        </w:tc>
        <w:tc>
          <w:tcPr>
            <w:tcW w:w="579" w:type="pct"/>
            <w:shd w:val="clear" w:color="auto" w:fill="auto"/>
          </w:tcPr>
          <w:p w14:paraId="75A04723">
            <w:pPr>
              <w:adjustRightInd w:val="0"/>
              <w:snapToGrid w:val="0"/>
              <w:spacing w:line="360" w:lineRule="auto"/>
              <w:rPr>
                <w:sz w:val="24"/>
              </w:rPr>
            </w:pPr>
          </w:p>
        </w:tc>
      </w:tr>
    </w:tbl>
    <w:p w14:paraId="181A1E0A">
      <w:pPr>
        <w:spacing w:line="360" w:lineRule="auto"/>
        <w:ind w:firstLine="480" w:firstLineChars="200"/>
        <w:rPr>
          <w:rFonts w:cs="Arial" w:asciiTheme="minorEastAsia" w:hAnsiTheme="minorEastAsia"/>
          <w:sz w:val="24"/>
        </w:rPr>
      </w:pPr>
      <w:r>
        <w:rPr>
          <w:rFonts w:cs="Arial" w:asciiTheme="minorEastAsia" w:hAnsiTheme="minorEastAsia"/>
          <w:sz w:val="24"/>
        </w:rPr>
        <w:t>注：</w:t>
      </w:r>
    </w:p>
    <w:p w14:paraId="2D484CB7">
      <w:pPr>
        <w:spacing w:line="360" w:lineRule="auto"/>
        <w:ind w:firstLine="480" w:firstLineChars="200"/>
        <w:rPr>
          <w:rFonts w:cs="Arial" w:asciiTheme="minorEastAsia" w:hAnsiTheme="minorEastAsia"/>
          <w:sz w:val="24"/>
        </w:rPr>
      </w:pPr>
      <w:bookmarkStart w:id="236" w:name="_Hlk180396261"/>
      <w:r>
        <w:rPr>
          <w:rFonts w:asciiTheme="minorEastAsia" w:hAnsiTheme="minorEastAsia"/>
          <w:sz w:val="24"/>
        </w:rPr>
        <w:t>1.</w:t>
      </w:r>
      <w:r>
        <w:rPr>
          <w:rFonts w:hint="eastAsia" w:asciiTheme="minorEastAsia" w:hAnsiTheme="minorEastAsia"/>
          <w:kern w:val="0"/>
          <w:sz w:val="24"/>
        </w:rPr>
        <w:t xml:space="preserve"> 本格式中的“报</w:t>
      </w:r>
      <w:r>
        <w:rPr>
          <w:rFonts w:asciiTheme="minorEastAsia" w:hAnsiTheme="minorEastAsia"/>
          <w:kern w:val="0"/>
          <w:sz w:val="24"/>
        </w:rPr>
        <w:t>价合计</w:t>
      </w:r>
      <w:r>
        <w:rPr>
          <w:rFonts w:hint="eastAsia" w:asciiTheme="minorEastAsia" w:hAnsiTheme="minorEastAsia"/>
          <w:kern w:val="0"/>
          <w:sz w:val="24"/>
        </w:rPr>
        <w:t>”</w:t>
      </w:r>
      <w:r>
        <w:rPr>
          <w:rFonts w:asciiTheme="minorEastAsia" w:hAnsiTheme="minorEastAsia"/>
          <w:kern w:val="0"/>
          <w:sz w:val="24"/>
        </w:rPr>
        <w:t>应与</w:t>
      </w:r>
      <w:r>
        <w:rPr>
          <w:rFonts w:hint="eastAsia" w:asciiTheme="minorEastAsia" w:hAnsiTheme="minorEastAsia"/>
          <w:kern w:val="0"/>
          <w:sz w:val="24"/>
        </w:rPr>
        <w:t>《报价一览表》</w:t>
      </w:r>
      <w:r>
        <w:rPr>
          <w:rFonts w:asciiTheme="minorEastAsia" w:hAnsiTheme="minorEastAsia"/>
          <w:kern w:val="0"/>
          <w:sz w:val="24"/>
        </w:rPr>
        <w:t>中的</w:t>
      </w:r>
      <w:r>
        <w:rPr>
          <w:rFonts w:hint="eastAsia" w:asciiTheme="minorEastAsia" w:hAnsiTheme="minorEastAsia"/>
          <w:kern w:val="0"/>
          <w:sz w:val="24"/>
        </w:rPr>
        <w:t>“应答</w:t>
      </w:r>
      <w:r>
        <w:rPr>
          <w:rFonts w:asciiTheme="minorEastAsia" w:hAnsiTheme="minorEastAsia"/>
          <w:kern w:val="0"/>
          <w:sz w:val="24"/>
        </w:rPr>
        <w:t>报价</w:t>
      </w:r>
      <w:r>
        <w:rPr>
          <w:rFonts w:hint="eastAsia" w:asciiTheme="minorEastAsia" w:hAnsiTheme="minorEastAsia"/>
          <w:kern w:val="0"/>
          <w:sz w:val="24"/>
        </w:rPr>
        <w:t>”</w:t>
      </w:r>
      <w:r>
        <w:rPr>
          <w:rFonts w:asciiTheme="minorEastAsia" w:hAnsiTheme="minorEastAsia"/>
          <w:kern w:val="0"/>
          <w:sz w:val="24"/>
        </w:rPr>
        <w:t>一致。</w:t>
      </w:r>
    </w:p>
    <w:p w14:paraId="0934FCF2">
      <w:pPr>
        <w:autoSpaceDE w:val="0"/>
        <w:autoSpaceDN w:val="0"/>
        <w:adjustRightInd w:val="0"/>
        <w:spacing w:line="360" w:lineRule="auto"/>
        <w:ind w:firstLine="480" w:firstLineChars="200"/>
        <w:rPr>
          <w:rFonts w:cs="Arial" w:asciiTheme="minorEastAsia" w:hAnsiTheme="minorEastAsia"/>
          <w:sz w:val="24"/>
        </w:rPr>
      </w:pPr>
      <w:r>
        <w:rPr>
          <w:rFonts w:hint="eastAsia" w:asciiTheme="minorEastAsia" w:hAnsiTheme="minorEastAsia"/>
          <w:sz w:val="24"/>
        </w:rPr>
        <w:t>2</w:t>
      </w:r>
      <w:r>
        <w:rPr>
          <w:rFonts w:asciiTheme="minorEastAsia" w:hAnsiTheme="minorEastAsia"/>
          <w:sz w:val="24"/>
        </w:rPr>
        <w:t>.</w:t>
      </w:r>
      <w:r>
        <w:rPr>
          <w:rFonts w:cs="Arial" w:asciiTheme="minorEastAsia" w:hAnsiTheme="minorEastAsia"/>
          <w:sz w:val="24"/>
        </w:rPr>
        <w:t>除非在合同中有</w:t>
      </w:r>
      <w:r>
        <w:rPr>
          <w:rFonts w:hint="eastAsia" w:cs="Arial" w:asciiTheme="minorEastAsia" w:hAnsiTheme="minorEastAsia"/>
          <w:sz w:val="24"/>
        </w:rPr>
        <w:t>特殊</w:t>
      </w:r>
      <w:r>
        <w:rPr>
          <w:rFonts w:cs="Arial" w:asciiTheme="minorEastAsia" w:hAnsiTheme="minorEastAsia"/>
          <w:sz w:val="24"/>
        </w:rPr>
        <w:t>的规定或说明，以上报价总价将包括</w:t>
      </w:r>
      <w:r>
        <w:rPr>
          <w:rFonts w:hint="eastAsia" w:cs="Arial" w:asciiTheme="minorEastAsia" w:hAnsiTheme="minorEastAsia"/>
          <w:sz w:val="24"/>
        </w:rPr>
        <w:t>供应商</w:t>
      </w:r>
      <w:r>
        <w:rPr>
          <w:rFonts w:cs="Arial" w:asciiTheme="minorEastAsia" w:hAnsiTheme="minorEastAsia"/>
          <w:sz w:val="24"/>
        </w:rPr>
        <w:t>为完成本项目合同项下所有的义务和责任的费用，并且在本报价中没有列出的项目应认为已包括在以上报价的其他项目中。</w:t>
      </w:r>
    </w:p>
    <w:p w14:paraId="0DCE1FCD">
      <w:pPr>
        <w:autoSpaceDE w:val="0"/>
        <w:autoSpaceDN w:val="0"/>
        <w:adjustRightInd w:val="0"/>
        <w:spacing w:line="360" w:lineRule="auto"/>
        <w:ind w:firstLine="480" w:firstLineChars="200"/>
        <w:rPr>
          <w:rFonts w:asciiTheme="minorEastAsia" w:hAnsiTheme="minorEastAsia"/>
          <w:sz w:val="24"/>
        </w:rPr>
      </w:pPr>
      <w:r>
        <w:rPr>
          <w:rFonts w:asciiTheme="minorEastAsia" w:hAnsiTheme="minorEastAsia"/>
          <w:sz w:val="24"/>
        </w:rPr>
        <w:t xml:space="preserve">3. </w:t>
      </w:r>
      <w:r>
        <w:rPr>
          <w:rFonts w:asciiTheme="minorEastAsia" w:hAnsiTheme="minorEastAsia"/>
          <w:kern w:val="0"/>
          <w:sz w:val="24"/>
        </w:rPr>
        <w:t>在上述表格中，每一栏必须填写明确金额，如有漏填项，则视为该漏填项已包括在以上报价的其他项目中。</w:t>
      </w:r>
    </w:p>
    <w:bookmarkEnd w:id="236"/>
    <w:p w14:paraId="44E6449D">
      <w:pPr>
        <w:pStyle w:val="3"/>
        <w:wordWrap w:val="0"/>
        <w:spacing w:line="360" w:lineRule="auto"/>
        <w:ind w:firstLine="480" w:firstLineChars="200"/>
        <w:jc w:val="right"/>
        <w:rPr>
          <w:rFonts w:asciiTheme="minorEastAsia" w:hAnsiTheme="minorEastAsia" w:eastAsiaTheme="minorEastAsia"/>
          <w:sz w:val="24"/>
          <w:szCs w:val="24"/>
          <w:lang w:eastAsia="zh-CN"/>
        </w:rPr>
      </w:pPr>
      <w:bookmarkStart w:id="237" w:name="_Hlk180396495"/>
      <w:r>
        <w:rPr>
          <w:rFonts w:hint="eastAsia" w:asciiTheme="minorEastAsia" w:hAnsiTheme="minorEastAsia" w:eastAsiaTheme="minorEastAsia"/>
          <w:sz w:val="24"/>
          <w:szCs w:val="24"/>
          <w:lang w:eastAsia="zh-CN"/>
        </w:rPr>
        <w:t>供</w:t>
      </w:r>
      <w:r>
        <w:rPr>
          <w:rFonts w:asciiTheme="minorEastAsia" w:hAnsiTheme="minorEastAsia" w:eastAsiaTheme="minorEastAsia"/>
          <w:sz w:val="24"/>
          <w:szCs w:val="24"/>
          <w:lang w:eastAsia="zh-CN"/>
        </w:rPr>
        <w:t>应商：</w:t>
      </w:r>
      <w:r>
        <w:rPr>
          <w:rFonts w:cs="Times New Roman" w:asciiTheme="minorEastAsia" w:hAnsiTheme="minorEastAsia" w:eastAsiaTheme="minorEastAsia"/>
          <w:sz w:val="24"/>
          <w:szCs w:val="24"/>
          <w:u w:val="single" w:color="000000"/>
          <w:lang w:eastAsia="zh-CN"/>
        </w:rPr>
        <w:tab/>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盖公章</w:t>
      </w:r>
      <w:r>
        <w:rPr>
          <w:rFonts w:asciiTheme="minorEastAsia" w:hAnsiTheme="minorEastAsia" w:eastAsiaTheme="minorEastAsia"/>
          <w:sz w:val="24"/>
          <w:szCs w:val="24"/>
          <w:lang w:eastAsia="zh-CN"/>
        </w:rPr>
        <w:t>）</w:t>
      </w:r>
    </w:p>
    <w:p w14:paraId="652F4FC9">
      <w:pPr>
        <w:wordWrap w:val="0"/>
        <w:spacing w:line="360" w:lineRule="auto"/>
        <w:ind w:firstLine="480" w:firstLineChars="200"/>
        <w:jc w:val="right"/>
        <w:rPr>
          <w:rFonts w:asciiTheme="minorEastAsia" w:hAnsiTheme="minorEastAsia"/>
          <w:sz w:val="24"/>
        </w:rPr>
      </w:pPr>
      <w:r>
        <w:rPr>
          <w:rFonts w:asciiTheme="minorEastAsia" w:hAnsiTheme="minorEastAsia"/>
          <w:sz w:val="24"/>
        </w:rPr>
        <w:t>日期：年月日</w:t>
      </w:r>
    </w:p>
    <w:bookmarkEnd w:id="237"/>
    <w:p w14:paraId="6DD07FBC">
      <w:pPr>
        <w:pStyle w:val="6"/>
        <w:ind w:firstLine="482" w:firstLineChars="200"/>
      </w:pPr>
      <w:r>
        <w:t>七、</w:t>
      </w:r>
      <w:r>
        <w:rPr>
          <w:rFonts w:hint="eastAsia"/>
        </w:rPr>
        <w:t>供应</w:t>
      </w:r>
      <w:r>
        <w:t>商资格审查资料</w:t>
      </w:r>
    </w:p>
    <w:p w14:paraId="7C82C280">
      <w:pPr>
        <w:adjustRightInd w:val="0"/>
        <w:snapToGrid w:val="0"/>
        <w:spacing w:line="360" w:lineRule="auto"/>
        <w:ind w:firstLine="482" w:firstLineChars="200"/>
        <w:rPr>
          <w:rFonts w:ascii="宋体" w:hAnsi="宋体" w:eastAsia="宋体" w:cs="宋体"/>
          <w:b/>
          <w:bCs/>
          <w:kern w:val="0"/>
          <w:sz w:val="24"/>
        </w:rPr>
      </w:pPr>
      <w:r>
        <w:rPr>
          <w:rFonts w:ascii="宋体" w:hAnsi="宋体" w:eastAsia="宋体" w:cs="宋体"/>
          <w:b/>
          <w:bCs/>
          <w:kern w:val="0"/>
          <w:sz w:val="24"/>
        </w:rPr>
        <w:t>(一)基本情况</w:t>
      </w:r>
      <w:r>
        <w:rPr>
          <w:rFonts w:hint="eastAsia" w:ascii="宋体" w:hAnsi="宋体" w:eastAsia="宋体" w:cs="宋体"/>
          <w:b/>
          <w:bCs/>
          <w:kern w:val="0"/>
          <w:sz w:val="24"/>
        </w:rPr>
        <w:t>表</w:t>
      </w:r>
    </w:p>
    <w:tbl>
      <w:tblPr>
        <w:tblStyle w:val="38"/>
        <w:tblW w:w="501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140"/>
        <w:gridCol w:w="1195"/>
        <w:gridCol w:w="1307"/>
        <w:gridCol w:w="1155"/>
        <w:gridCol w:w="2312"/>
      </w:tblGrid>
      <w:tr w14:paraId="72E9F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723" w:type="pct"/>
            <w:vAlign w:val="center"/>
          </w:tcPr>
          <w:p w14:paraId="651FDC7F">
            <w:pPr>
              <w:pStyle w:val="35"/>
              <w:rPr>
                <w:bCs/>
                <w:sz w:val="24"/>
                <w:szCs w:val="24"/>
              </w:rPr>
            </w:pPr>
            <w:bookmarkStart w:id="238" w:name="_Hlk181123359"/>
            <w:r>
              <w:rPr>
                <w:rFonts w:hint="eastAsia"/>
                <w:bCs/>
                <w:sz w:val="24"/>
                <w:szCs w:val="24"/>
              </w:rPr>
              <w:t>供应</w:t>
            </w:r>
            <w:r>
              <w:rPr>
                <w:bCs/>
                <w:sz w:val="24"/>
                <w:szCs w:val="24"/>
              </w:rPr>
              <w:t>商名称</w:t>
            </w:r>
          </w:p>
        </w:tc>
        <w:tc>
          <w:tcPr>
            <w:tcW w:w="3276" w:type="pct"/>
            <w:gridSpan w:val="4"/>
            <w:vAlign w:val="center"/>
          </w:tcPr>
          <w:p w14:paraId="2EDAAD65">
            <w:pPr>
              <w:adjustRightInd w:val="0"/>
              <w:snapToGrid w:val="0"/>
              <w:jc w:val="center"/>
              <w:rPr>
                <w:rFonts w:asciiTheme="minorEastAsia" w:hAnsiTheme="minorEastAsia"/>
                <w:bCs/>
                <w:sz w:val="24"/>
                <w:lang w:eastAsia="en-US"/>
              </w:rPr>
            </w:pPr>
          </w:p>
        </w:tc>
      </w:tr>
      <w:tr w14:paraId="2A26F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723" w:type="pct"/>
            <w:vAlign w:val="center"/>
          </w:tcPr>
          <w:p w14:paraId="4FD16D54">
            <w:pPr>
              <w:pStyle w:val="35"/>
              <w:rPr>
                <w:bCs/>
                <w:sz w:val="24"/>
                <w:szCs w:val="24"/>
              </w:rPr>
            </w:pPr>
            <w:r>
              <w:rPr>
                <w:bCs/>
                <w:sz w:val="24"/>
                <w:szCs w:val="24"/>
              </w:rPr>
              <w:t>注册资金</w:t>
            </w:r>
          </w:p>
        </w:tc>
        <w:tc>
          <w:tcPr>
            <w:tcW w:w="1373" w:type="pct"/>
            <w:gridSpan w:val="2"/>
            <w:vAlign w:val="center"/>
          </w:tcPr>
          <w:p w14:paraId="419EFDA2">
            <w:pPr>
              <w:adjustRightInd w:val="0"/>
              <w:snapToGrid w:val="0"/>
              <w:jc w:val="center"/>
              <w:rPr>
                <w:rFonts w:asciiTheme="minorEastAsia" w:hAnsiTheme="minorEastAsia"/>
                <w:bCs/>
                <w:sz w:val="24"/>
                <w:lang w:eastAsia="en-US"/>
              </w:rPr>
            </w:pPr>
          </w:p>
        </w:tc>
        <w:tc>
          <w:tcPr>
            <w:tcW w:w="634" w:type="pct"/>
            <w:vAlign w:val="center"/>
          </w:tcPr>
          <w:p w14:paraId="007FAA13">
            <w:pPr>
              <w:pStyle w:val="35"/>
              <w:rPr>
                <w:bCs/>
                <w:sz w:val="24"/>
                <w:szCs w:val="24"/>
              </w:rPr>
            </w:pPr>
            <w:r>
              <w:rPr>
                <w:bCs/>
                <w:sz w:val="24"/>
                <w:szCs w:val="24"/>
              </w:rPr>
              <w:t>成立时间</w:t>
            </w:r>
          </w:p>
        </w:tc>
        <w:tc>
          <w:tcPr>
            <w:tcW w:w="1269" w:type="pct"/>
            <w:vAlign w:val="center"/>
          </w:tcPr>
          <w:p w14:paraId="6D2C6C07">
            <w:pPr>
              <w:adjustRightInd w:val="0"/>
              <w:snapToGrid w:val="0"/>
              <w:jc w:val="center"/>
              <w:rPr>
                <w:rFonts w:asciiTheme="minorEastAsia" w:hAnsiTheme="minorEastAsia"/>
                <w:bCs/>
                <w:sz w:val="24"/>
                <w:lang w:eastAsia="en-US"/>
              </w:rPr>
            </w:pPr>
          </w:p>
        </w:tc>
      </w:tr>
      <w:tr w14:paraId="54D67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723" w:type="pct"/>
            <w:vAlign w:val="center"/>
          </w:tcPr>
          <w:p w14:paraId="0EA6CF0C">
            <w:pPr>
              <w:pStyle w:val="35"/>
              <w:rPr>
                <w:bCs/>
                <w:sz w:val="24"/>
                <w:szCs w:val="24"/>
              </w:rPr>
            </w:pPr>
            <w:r>
              <w:rPr>
                <w:bCs/>
                <w:sz w:val="24"/>
                <w:szCs w:val="24"/>
              </w:rPr>
              <w:t>注册地址</w:t>
            </w:r>
          </w:p>
        </w:tc>
        <w:tc>
          <w:tcPr>
            <w:tcW w:w="3276" w:type="pct"/>
            <w:gridSpan w:val="4"/>
            <w:vAlign w:val="center"/>
          </w:tcPr>
          <w:p w14:paraId="44ADC9BC">
            <w:pPr>
              <w:adjustRightInd w:val="0"/>
              <w:snapToGrid w:val="0"/>
              <w:jc w:val="center"/>
              <w:rPr>
                <w:rFonts w:asciiTheme="minorEastAsia" w:hAnsiTheme="minorEastAsia"/>
                <w:bCs/>
                <w:sz w:val="24"/>
                <w:lang w:eastAsia="en-US"/>
              </w:rPr>
            </w:pPr>
          </w:p>
        </w:tc>
      </w:tr>
      <w:tr w14:paraId="61EF0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723" w:type="pct"/>
            <w:vAlign w:val="center"/>
          </w:tcPr>
          <w:p w14:paraId="646AAB8A">
            <w:pPr>
              <w:pStyle w:val="35"/>
              <w:rPr>
                <w:bCs/>
                <w:sz w:val="24"/>
                <w:szCs w:val="24"/>
              </w:rPr>
            </w:pPr>
            <w:r>
              <w:rPr>
                <w:bCs/>
                <w:sz w:val="24"/>
                <w:szCs w:val="24"/>
              </w:rPr>
              <w:t>员工总数</w:t>
            </w:r>
          </w:p>
        </w:tc>
        <w:tc>
          <w:tcPr>
            <w:tcW w:w="3276" w:type="pct"/>
            <w:gridSpan w:val="4"/>
            <w:vAlign w:val="center"/>
          </w:tcPr>
          <w:p w14:paraId="06652279">
            <w:pPr>
              <w:adjustRightInd w:val="0"/>
              <w:snapToGrid w:val="0"/>
              <w:jc w:val="center"/>
              <w:rPr>
                <w:rFonts w:asciiTheme="minorEastAsia" w:hAnsiTheme="minorEastAsia"/>
                <w:bCs/>
                <w:sz w:val="24"/>
                <w:lang w:eastAsia="en-US"/>
              </w:rPr>
            </w:pPr>
          </w:p>
        </w:tc>
      </w:tr>
      <w:tr w14:paraId="2B5B4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723" w:type="pct"/>
            <w:vMerge w:val="restart"/>
            <w:vAlign w:val="center"/>
          </w:tcPr>
          <w:p w14:paraId="24A1FB46">
            <w:pPr>
              <w:pStyle w:val="35"/>
              <w:rPr>
                <w:bCs/>
                <w:sz w:val="24"/>
                <w:szCs w:val="24"/>
              </w:rPr>
            </w:pPr>
            <w:r>
              <w:rPr>
                <w:bCs/>
                <w:sz w:val="24"/>
                <w:szCs w:val="24"/>
              </w:rPr>
              <w:t>联系方式</w:t>
            </w:r>
          </w:p>
        </w:tc>
        <w:tc>
          <w:tcPr>
            <w:tcW w:w="656" w:type="pct"/>
            <w:vAlign w:val="center"/>
          </w:tcPr>
          <w:p w14:paraId="50787507">
            <w:pPr>
              <w:pStyle w:val="35"/>
              <w:rPr>
                <w:bCs/>
                <w:sz w:val="24"/>
                <w:szCs w:val="24"/>
              </w:rPr>
            </w:pPr>
            <w:r>
              <w:rPr>
                <w:bCs/>
                <w:sz w:val="24"/>
                <w:szCs w:val="24"/>
              </w:rPr>
              <w:t>联系人</w:t>
            </w:r>
          </w:p>
        </w:tc>
        <w:tc>
          <w:tcPr>
            <w:tcW w:w="717" w:type="pct"/>
            <w:vAlign w:val="center"/>
          </w:tcPr>
          <w:p w14:paraId="03477AC1">
            <w:pPr>
              <w:adjustRightInd w:val="0"/>
              <w:snapToGrid w:val="0"/>
              <w:jc w:val="center"/>
              <w:rPr>
                <w:rFonts w:asciiTheme="minorEastAsia" w:hAnsiTheme="minorEastAsia"/>
                <w:bCs/>
                <w:sz w:val="24"/>
                <w:lang w:eastAsia="en-US"/>
              </w:rPr>
            </w:pPr>
          </w:p>
        </w:tc>
        <w:tc>
          <w:tcPr>
            <w:tcW w:w="634" w:type="pct"/>
            <w:vAlign w:val="center"/>
          </w:tcPr>
          <w:p w14:paraId="36EA2A64">
            <w:pPr>
              <w:pStyle w:val="35"/>
              <w:rPr>
                <w:bCs/>
                <w:sz w:val="24"/>
                <w:szCs w:val="24"/>
              </w:rPr>
            </w:pPr>
            <w:r>
              <w:rPr>
                <w:bCs/>
                <w:sz w:val="24"/>
                <w:szCs w:val="24"/>
              </w:rPr>
              <w:t>电话</w:t>
            </w:r>
          </w:p>
        </w:tc>
        <w:tc>
          <w:tcPr>
            <w:tcW w:w="1269" w:type="pct"/>
            <w:vAlign w:val="center"/>
          </w:tcPr>
          <w:p w14:paraId="6525C154">
            <w:pPr>
              <w:adjustRightInd w:val="0"/>
              <w:snapToGrid w:val="0"/>
              <w:jc w:val="center"/>
              <w:rPr>
                <w:rFonts w:asciiTheme="minorEastAsia" w:hAnsiTheme="minorEastAsia"/>
                <w:bCs/>
                <w:sz w:val="24"/>
                <w:lang w:eastAsia="en-US"/>
              </w:rPr>
            </w:pPr>
          </w:p>
        </w:tc>
      </w:tr>
      <w:tr w14:paraId="02207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hRule="atLeast"/>
        </w:trPr>
        <w:tc>
          <w:tcPr>
            <w:tcW w:w="1723" w:type="pct"/>
            <w:vMerge w:val="continue"/>
            <w:vAlign w:val="center"/>
          </w:tcPr>
          <w:p w14:paraId="720CF59E">
            <w:pPr>
              <w:adjustRightInd w:val="0"/>
              <w:snapToGrid w:val="0"/>
              <w:jc w:val="center"/>
              <w:rPr>
                <w:rFonts w:asciiTheme="minorEastAsia" w:hAnsiTheme="minorEastAsia"/>
                <w:bCs/>
                <w:sz w:val="24"/>
                <w:lang w:eastAsia="en-US"/>
              </w:rPr>
            </w:pPr>
          </w:p>
        </w:tc>
        <w:tc>
          <w:tcPr>
            <w:tcW w:w="656" w:type="pct"/>
            <w:vAlign w:val="center"/>
          </w:tcPr>
          <w:p w14:paraId="437D3DE8">
            <w:pPr>
              <w:pStyle w:val="35"/>
              <w:rPr>
                <w:bCs/>
                <w:sz w:val="24"/>
                <w:szCs w:val="24"/>
              </w:rPr>
            </w:pPr>
            <w:r>
              <w:rPr>
                <w:bCs/>
                <w:sz w:val="24"/>
                <w:szCs w:val="24"/>
              </w:rPr>
              <w:t>网址</w:t>
            </w:r>
          </w:p>
        </w:tc>
        <w:tc>
          <w:tcPr>
            <w:tcW w:w="2620" w:type="pct"/>
            <w:gridSpan w:val="3"/>
            <w:vAlign w:val="center"/>
          </w:tcPr>
          <w:p w14:paraId="75DB3E72">
            <w:pPr>
              <w:adjustRightInd w:val="0"/>
              <w:snapToGrid w:val="0"/>
              <w:jc w:val="center"/>
              <w:rPr>
                <w:rFonts w:asciiTheme="minorEastAsia" w:hAnsiTheme="minorEastAsia"/>
                <w:bCs/>
                <w:sz w:val="24"/>
                <w:lang w:eastAsia="en-US"/>
              </w:rPr>
            </w:pPr>
          </w:p>
        </w:tc>
      </w:tr>
      <w:tr w14:paraId="6DB4E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723" w:type="pct"/>
            <w:vAlign w:val="center"/>
          </w:tcPr>
          <w:p w14:paraId="4A53A775">
            <w:pPr>
              <w:pStyle w:val="35"/>
              <w:rPr>
                <w:bCs/>
                <w:sz w:val="24"/>
                <w:szCs w:val="24"/>
                <w:lang w:eastAsia="zh-CN"/>
              </w:rPr>
            </w:pPr>
            <w:r>
              <w:rPr>
                <w:bCs/>
                <w:sz w:val="24"/>
                <w:szCs w:val="24"/>
                <w:lang w:eastAsia="zh-CN"/>
              </w:rPr>
              <w:t>法定代表人</w:t>
            </w:r>
          </w:p>
          <w:p w14:paraId="3968B5CD">
            <w:pPr>
              <w:pStyle w:val="35"/>
              <w:rPr>
                <w:bCs/>
                <w:sz w:val="24"/>
                <w:szCs w:val="24"/>
                <w:lang w:eastAsia="zh-CN"/>
              </w:rPr>
            </w:pPr>
            <w:r>
              <w:rPr>
                <w:bCs/>
                <w:sz w:val="24"/>
                <w:szCs w:val="24"/>
                <w:lang w:eastAsia="zh-CN"/>
              </w:rPr>
              <w:t>（单位负责人）</w:t>
            </w:r>
          </w:p>
        </w:tc>
        <w:tc>
          <w:tcPr>
            <w:tcW w:w="656" w:type="pct"/>
            <w:vAlign w:val="center"/>
          </w:tcPr>
          <w:p w14:paraId="6ADFADEE">
            <w:pPr>
              <w:pStyle w:val="35"/>
              <w:rPr>
                <w:bCs/>
                <w:sz w:val="24"/>
                <w:szCs w:val="24"/>
              </w:rPr>
            </w:pPr>
            <w:r>
              <w:rPr>
                <w:bCs/>
                <w:sz w:val="24"/>
                <w:szCs w:val="24"/>
              </w:rPr>
              <w:t>姓名</w:t>
            </w:r>
          </w:p>
        </w:tc>
        <w:tc>
          <w:tcPr>
            <w:tcW w:w="717" w:type="pct"/>
            <w:vAlign w:val="center"/>
          </w:tcPr>
          <w:p w14:paraId="153A4556">
            <w:pPr>
              <w:adjustRightInd w:val="0"/>
              <w:snapToGrid w:val="0"/>
              <w:jc w:val="center"/>
              <w:rPr>
                <w:rFonts w:asciiTheme="minorEastAsia" w:hAnsiTheme="minorEastAsia"/>
                <w:bCs/>
                <w:sz w:val="24"/>
                <w:lang w:eastAsia="en-US"/>
              </w:rPr>
            </w:pPr>
          </w:p>
        </w:tc>
        <w:tc>
          <w:tcPr>
            <w:tcW w:w="634" w:type="pct"/>
            <w:vAlign w:val="center"/>
          </w:tcPr>
          <w:p w14:paraId="0BD662FA">
            <w:pPr>
              <w:pStyle w:val="35"/>
              <w:rPr>
                <w:bCs/>
                <w:sz w:val="24"/>
                <w:szCs w:val="24"/>
              </w:rPr>
            </w:pPr>
            <w:r>
              <w:rPr>
                <w:bCs/>
                <w:sz w:val="24"/>
                <w:szCs w:val="24"/>
              </w:rPr>
              <w:t>电话</w:t>
            </w:r>
          </w:p>
        </w:tc>
        <w:tc>
          <w:tcPr>
            <w:tcW w:w="1269" w:type="pct"/>
            <w:vAlign w:val="center"/>
          </w:tcPr>
          <w:p w14:paraId="3970CE33">
            <w:pPr>
              <w:adjustRightInd w:val="0"/>
              <w:snapToGrid w:val="0"/>
              <w:jc w:val="center"/>
              <w:rPr>
                <w:rFonts w:asciiTheme="minorEastAsia" w:hAnsiTheme="minorEastAsia"/>
                <w:bCs/>
                <w:sz w:val="24"/>
                <w:lang w:eastAsia="en-US"/>
              </w:rPr>
            </w:pPr>
          </w:p>
        </w:tc>
      </w:tr>
      <w:tr w14:paraId="0BC6A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723" w:type="pct"/>
            <w:vAlign w:val="center"/>
          </w:tcPr>
          <w:p w14:paraId="35223F4E">
            <w:pPr>
              <w:pStyle w:val="35"/>
              <w:rPr>
                <w:bCs/>
                <w:sz w:val="24"/>
                <w:szCs w:val="24"/>
                <w:lang w:eastAsia="zh-CN"/>
              </w:rPr>
            </w:pPr>
            <w:r>
              <w:rPr>
                <w:rFonts w:hint="eastAsia"/>
                <w:bCs/>
                <w:sz w:val="24"/>
                <w:szCs w:val="24"/>
                <w:lang w:eastAsia="zh-CN"/>
              </w:rPr>
              <w:t>供应商</w:t>
            </w:r>
            <w:r>
              <w:rPr>
                <w:bCs/>
                <w:sz w:val="24"/>
                <w:szCs w:val="24"/>
                <w:lang w:eastAsia="zh-CN"/>
              </w:rPr>
              <w:t>具有的各类资质证书</w:t>
            </w:r>
          </w:p>
        </w:tc>
        <w:tc>
          <w:tcPr>
            <w:tcW w:w="3276" w:type="pct"/>
            <w:gridSpan w:val="4"/>
            <w:vAlign w:val="center"/>
          </w:tcPr>
          <w:p w14:paraId="3692CD75">
            <w:pPr>
              <w:pStyle w:val="35"/>
              <w:rPr>
                <w:bCs/>
                <w:sz w:val="24"/>
                <w:szCs w:val="24"/>
                <w:lang w:eastAsia="zh-CN"/>
              </w:rPr>
            </w:pPr>
          </w:p>
        </w:tc>
      </w:tr>
      <w:tr w14:paraId="2D230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4" w:hRule="atLeast"/>
        </w:trPr>
        <w:tc>
          <w:tcPr>
            <w:tcW w:w="1723" w:type="pct"/>
            <w:vAlign w:val="center"/>
          </w:tcPr>
          <w:p w14:paraId="7DFA77F6">
            <w:pPr>
              <w:pStyle w:val="35"/>
              <w:rPr>
                <w:bCs/>
                <w:sz w:val="24"/>
                <w:szCs w:val="24"/>
              </w:rPr>
            </w:pPr>
            <w:r>
              <w:rPr>
                <w:bCs/>
                <w:sz w:val="24"/>
                <w:szCs w:val="24"/>
              </w:rPr>
              <w:t>近三年营业额</w:t>
            </w:r>
          </w:p>
        </w:tc>
        <w:tc>
          <w:tcPr>
            <w:tcW w:w="3276" w:type="pct"/>
            <w:gridSpan w:val="4"/>
            <w:vAlign w:val="center"/>
          </w:tcPr>
          <w:p w14:paraId="2EAA9193">
            <w:pPr>
              <w:adjustRightInd w:val="0"/>
              <w:snapToGrid w:val="0"/>
              <w:jc w:val="center"/>
              <w:rPr>
                <w:rFonts w:asciiTheme="minorEastAsia" w:hAnsiTheme="minorEastAsia"/>
                <w:bCs/>
                <w:sz w:val="24"/>
                <w:lang w:eastAsia="en-US"/>
              </w:rPr>
            </w:pPr>
          </w:p>
        </w:tc>
      </w:tr>
      <w:tr w14:paraId="30562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723" w:type="pct"/>
            <w:vAlign w:val="center"/>
          </w:tcPr>
          <w:p w14:paraId="5AA25A0A">
            <w:pPr>
              <w:pStyle w:val="35"/>
              <w:rPr>
                <w:bCs/>
                <w:sz w:val="24"/>
                <w:szCs w:val="24"/>
              </w:rPr>
            </w:pPr>
            <w:r>
              <w:rPr>
                <w:rFonts w:hint="eastAsia"/>
                <w:bCs/>
                <w:sz w:val="24"/>
                <w:szCs w:val="24"/>
              </w:rPr>
              <w:t>所</w:t>
            </w:r>
            <w:r>
              <w:rPr>
                <w:bCs/>
                <w:sz w:val="24"/>
                <w:szCs w:val="24"/>
              </w:rPr>
              <w:t>供设备制造商名称</w:t>
            </w:r>
          </w:p>
        </w:tc>
        <w:tc>
          <w:tcPr>
            <w:tcW w:w="3276" w:type="pct"/>
            <w:gridSpan w:val="4"/>
            <w:vAlign w:val="center"/>
          </w:tcPr>
          <w:p w14:paraId="45BA5024">
            <w:pPr>
              <w:adjustRightInd w:val="0"/>
              <w:snapToGrid w:val="0"/>
              <w:jc w:val="center"/>
              <w:rPr>
                <w:rFonts w:asciiTheme="minorEastAsia" w:hAnsiTheme="minorEastAsia"/>
                <w:bCs/>
                <w:sz w:val="24"/>
                <w:lang w:eastAsia="en-US"/>
              </w:rPr>
            </w:pPr>
          </w:p>
        </w:tc>
      </w:tr>
      <w:tr w14:paraId="5ABB5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5" w:hRule="atLeast"/>
        </w:trPr>
        <w:tc>
          <w:tcPr>
            <w:tcW w:w="1723" w:type="pct"/>
            <w:vAlign w:val="center"/>
          </w:tcPr>
          <w:p w14:paraId="0F7D62C1">
            <w:pPr>
              <w:pStyle w:val="35"/>
              <w:rPr>
                <w:bCs/>
                <w:sz w:val="24"/>
                <w:szCs w:val="24"/>
                <w:lang w:eastAsia="zh-CN"/>
              </w:rPr>
            </w:pPr>
            <w:r>
              <w:rPr>
                <w:bCs/>
                <w:sz w:val="24"/>
                <w:szCs w:val="24"/>
                <w:lang w:eastAsia="zh-CN"/>
              </w:rPr>
              <w:t>供应商须知要求</w:t>
            </w:r>
            <w:r>
              <w:rPr>
                <w:rFonts w:hint="eastAsia"/>
                <w:bCs/>
                <w:sz w:val="24"/>
                <w:szCs w:val="24"/>
                <w:lang w:eastAsia="zh-CN"/>
              </w:rPr>
              <w:t>所</w:t>
            </w:r>
            <w:r>
              <w:rPr>
                <w:bCs/>
                <w:sz w:val="24"/>
                <w:szCs w:val="24"/>
                <w:lang w:eastAsia="zh-CN"/>
              </w:rPr>
              <w:t>供设备制造商需具有的资质证书</w:t>
            </w:r>
          </w:p>
        </w:tc>
        <w:tc>
          <w:tcPr>
            <w:tcW w:w="3276" w:type="pct"/>
            <w:gridSpan w:val="4"/>
            <w:vAlign w:val="center"/>
          </w:tcPr>
          <w:p w14:paraId="71724818">
            <w:pPr>
              <w:adjustRightInd w:val="0"/>
              <w:snapToGrid w:val="0"/>
              <w:jc w:val="center"/>
              <w:rPr>
                <w:rFonts w:asciiTheme="minorEastAsia" w:hAnsiTheme="minorEastAsia"/>
                <w:bCs/>
                <w:sz w:val="24"/>
                <w:lang w:eastAsia="zh-CN"/>
              </w:rPr>
            </w:pPr>
          </w:p>
        </w:tc>
      </w:tr>
      <w:tr w14:paraId="3F738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723" w:type="pct"/>
            <w:vAlign w:val="center"/>
          </w:tcPr>
          <w:p w14:paraId="2A35AE63">
            <w:pPr>
              <w:pStyle w:val="35"/>
              <w:rPr>
                <w:bCs/>
                <w:sz w:val="24"/>
                <w:szCs w:val="24"/>
              </w:rPr>
            </w:pPr>
            <w:r>
              <w:rPr>
                <w:bCs/>
                <w:sz w:val="24"/>
                <w:szCs w:val="24"/>
              </w:rPr>
              <w:t>备注</w:t>
            </w:r>
          </w:p>
        </w:tc>
        <w:tc>
          <w:tcPr>
            <w:tcW w:w="3276" w:type="pct"/>
            <w:gridSpan w:val="4"/>
            <w:vAlign w:val="center"/>
          </w:tcPr>
          <w:p w14:paraId="0D9185FC">
            <w:pPr>
              <w:adjustRightInd w:val="0"/>
              <w:snapToGrid w:val="0"/>
              <w:jc w:val="center"/>
              <w:rPr>
                <w:rFonts w:asciiTheme="minorEastAsia" w:hAnsiTheme="minorEastAsia"/>
                <w:bCs/>
                <w:sz w:val="24"/>
                <w:lang w:eastAsia="en-US"/>
              </w:rPr>
            </w:pPr>
          </w:p>
        </w:tc>
      </w:tr>
    </w:tbl>
    <w:p w14:paraId="0A7A621A">
      <w:pPr>
        <w:adjustRightInd w:val="0"/>
        <w:spacing w:before="93" w:after="93" w:line="460" w:lineRule="exact"/>
        <w:ind w:firstLine="480" w:firstLineChars="200"/>
        <w:rPr>
          <w:rFonts w:ascii="Times New Roman" w:hAnsi="Times New Roman" w:eastAsia="宋体" w:cs="Calibri"/>
          <w:kern w:val="0"/>
          <w:sz w:val="24"/>
        </w:rPr>
      </w:pPr>
      <w:r>
        <w:rPr>
          <w:rFonts w:hint="eastAsia"/>
          <w:sz w:val="24"/>
        </w:rPr>
        <w:t>注：</w:t>
      </w:r>
      <w:r>
        <w:rPr>
          <w:rFonts w:hint="eastAsia" w:ascii="Times New Roman" w:hAnsi="Times New Roman" w:eastAsia="宋体" w:cs="Calibri"/>
          <w:kern w:val="0"/>
          <w:sz w:val="24"/>
        </w:rPr>
        <w:t xml:space="preserve">详见采购公告供应商资格要求，供应商应根据供应商须知前附表第 </w:t>
      </w:r>
      <w:r>
        <w:rPr>
          <w:rFonts w:hint="eastAsia" w:ascii="宋体" w:hAnsi="宋体" w:eastAsia="宋体" w:cs="宋体"/>
          <w:sz w:val="24"/>
        </w:rPr>
        <w:t>3.5.1 (1)</w:t>
      </w:r>
      <w:r>
        <w:rPr>
          <w:rFonts w:hint="eastAsia" w:ascii="Times New Roman" w:hAnsi="Times New Roman" w:eastAsia="宋体" w:cs="Calibri"/>
          <w:kern w:val="0"/>
          <w:sz w:val="24"/>
        </w:rPr>
        <w:t>项的要求在本表后附相关证明材料。</w:t>
      </w:r>
    </w:p>
    <w:bookmarkEnd w:id="238"/>
    <w:p w14:paraId="07294B08">
      <w:pPr>
        <w:widowControl/>
        <w:ind w:firstLine="482" w:firstLineChars="200"/>
        <w:jc w:val="left"/>
        <w:rPr>
          <w:rFonts w:ascii="宋体" w:hAnsi="宋体" w:eastAsia="宋体" w:cs="宋体"/>
          <w:b/>
          <w:bCs/>
          <w:kern w:val="0"/>
          <w:sz w:val="24"/>
        </w:rPr>
      </w:pPr>
      <w:bookmarkStart w:id="239" w:name="_Hlk179791625"/>
      <w:r>
        <w:rPr>
          <w:rFonts w:hint="eastAsia" w:ascii="宋体" w:hAnsi="宋体" w:eastAsia="宋体" w:cs="宋体"/>
          <w:b/>
          <w:bCs/>
          <w:kern w:val="0"/>
          <w:sz w:val="24"/>
        </w:rPr>
        <w:br w:type="page"/>
      </w:r>
    </w:p>
    <w:p w14:paraId="14824ABC">
      <w:pPr>
        <w:adjustRightInd w:val="0"/>
        <w:snapToGrid w:val="0"/>
        <w:spacing w:line="360" w:lineRule="auto"/>
        <w:ind w:firstLine="482" w:firstLineChars="200"/>
        <w:rPr>
          <w:rFonts w:ascii="宋体" w:hAnsi="宋体" w:eastAsia="宋体" w:cs="宋体"/>
          <w:b/>
          <w:bCs/>
          <w:kern w:val="0"/>
          <w:sz w:val="24"/>
        </w:rPr>
      </w:pPr>
      <w:bookmarkStart w:id="240" w:name="_Hlk181123378"/>
      <w:r>
        <w:rPr>
          <w:rFonts w:hint="eastAsia" w:ascii="宋体" w:hAnsi="宋体" w:eastAsia="宋体" w:cs="宋体"/>
          <w:b/>
          <w:bCs/>
          <w:kern w:val="0"/>
          <w:sz w:val="24"/>
        </w:rPr>
        <w:t>（二）依法设立的证明材料</w:t>
      </w:r>
    </w:p>
    <w:p w14:paraId="40689391">
      <w:pPr>
        <w:adjustRightInd w:val="0"/>
        <w:snapToGrid w:val="0"/>
        <w:spacing w:line="360" w:lineRule="auto"/>
        <w:ind w:firstLine="480" w:firstLineChars="200"/>
        <w:rPr>
          <w:rFonts w:ascii="宋体" w:hAnsi="宋体" w:eastAsia="宋体" w:cs="宋体"/>
          <w:kern w:val="0"/>
          <w:sz w:val="24"/>
        </w:rPr>
      </w:pPr>
      <w:bookmarkStart w:id="241" w:name="_Hlk175651107"/>
      <w:r>
        <w:rPr>
          <w:rFonts w:hint="eastAsia" w:ascii="宋体" w:hAnsi="宋体" w:eastAsia="宋体" w:cs="宋体"/>
          <w:kern w:val="0"/>
          <w:sz w:val="24"/>
        </w:rPr>
        <w:t>附</w:t>
      </w:r>
      <w:r>
        <w:rPr>
          <w:rFonts w:ascii="宋体" w:hAnsi="宋体" w:eastAsia="宋体" w:cs="宋体"/>
          <w:kern w:val="0"/>
          <w:sz w:val="24"/>
        </w:rPr>
        <w:t>供应商</w:t>
      </w:r>
      <w:r>
        <w:rPr>
          <w:rFonts w:hint="eastAsia" w:ascii="宋体" w:hAnsi="宋体" w:eastAsia="宋体" w:cs="宋体"/>
          <w:kern w:val="0"/>
          <w:sz w:val="24"/>
        </w:rPr>
        <w:t>有效的</w:t>
      </w:r>
      <w:r>
        <w:rPr>
          <w:rFonts w:ascii="宋体" w:hAnsi="宋体" w:eastAsia="宋体" w:cs="宋体"/>
          <w:kern w:val="0"/>
          <w:sz w:val="24"/>
        </w:rPr>
        <w:t>营业执照复印件或事业单位法人证书的复印件</w:t>
      </w:r>
      <w:r>
        <w:rPr>
          <w:rFonts w:hint="eastAsia" w:ascii="宋体" w:hAnsi="宋体" w:eastAsia="宋体" w:cs="宋体"/>
          <w:kern w:val="0"/>
          <w:sz w:val="24"/>
        </w:rPr>
        <w:t>或其它营业登记证书</w:t>
      </w:r>
      <w:r>
        <w:rPr>
          <w:rFonts w:ascii="宋体" w:hAnsi="宋体" w:eastAsia="宋体" w:cs="宋体"/>
          <w:kern w:val="0"/>
          <w:sz w:val="24"/>
        </w:rPr>
        <w:t>的复印件</w:t>
      </w:r>
      <w:bookmarkEnd w:id="241"/>
      <w:r>
        <w:rPr>
          <w:rFonts w:hint="eastAsia" w:ascii="宋体" w:hAnsi="宋体" w:eastAsia="宋体" w:cs="宋体"/>
          <w:kern w:val="0"/>
          <w:sz w:val="24"/>
        </w:rPr>
        <w:t>。</w:t>
      </w:r>
    </w:p>
    <w:bookmarkEnd w:id="239"/>
    <w:bookmarkEnd w:id="240"/>
    <w:p w14:paraId="37C5F50F">
      <w:pPr>
        <w:pStyle w:val="3"/>
        <w:spacing w:before="14" w:line="360" w:lineRule="auto"/>
        <w:ind w:left="100" w:right="102" w:firstLine="480" w:firstLineChars="200"/>
        <w:rPr>
          <w:rFonts w:cs="黑体" w:asciiTheme="minorEastAsia" w:hAnsiTheme="minorEastAsia"/>
          <w:sz w:val="24"/>
          <w:lang w:eastAsia="zh-CN"/>
        </w:rPr>
      </w:pPr>
      <w:r>
        <w:rPr>
          <w:rFonts w:cs="黑体" w:asciiTheme="minorEastAsia" w:hAnsiTheme="minorEastAsia"/>
          <w:sz w:val="24"/>
          <w:lang w:eastAsia="zh-CN"/>
        </w:rPr>
        <w:br w:type="page"/>
      </w:r>
    </w:p>
    <w:p w14:paraId="659C1CFD">
      <w:pPr>
        <w:adjustRightInd w:val="0"/>
        <w:spacing w:before="93" w:after="93" w:line="460" w:lineRule="exact"/>
        <w:ind w:firstLine="482" w:firstLineChars="200"/>
        <w:rPr>
          <w:rFonts w:ascii="Times New Roman" w:hAnsi="Times New Roman" w:eastAsia="宋体" w:cs="Calibri"/>
          <w:kern w:val="0"/>
          <w:sz w:val="24"/>
        </w:rPr>
      </w:pPr>
      <w:bookmarkStart w:id="242" w:name="_Hlk181123389"/>
      <w:r>
        <w:rPr>
          <w:rFonts w:hint="eastAsia" w:ascii="Times New Roman" w:hAnsi="Times New Roman" w:eastAsia="宋体" w:cs="Calibri"/>
          <w:b/>
          <w:bCs/>
          <w:kern w:val="0"/>
          <w:sz w:val="24"/>
        </w:rPr>
        <w:t>（三）相关资质证书</w:t>
      </w:r>
      <w:bookmarkStart w:id="243" w:name="_Hlk175651089"/>
      <w:r>
        <w:rPr>
          <w:rFonts w:hint="eastAsia" w:ascii="Times New Roman" w:hAnsi="Times New Roman" w:eastAsia="宋体" w:cs="Calibri"/>
          <w:kern w:val="0"/>
          <w:sz w:val="24"/>
        </w:rPr>
        <w:t xml:space="preserve">（详见采购公告资质要求，供应商应根据供应商须知前附表第 </w:t>
      </w:r>
      <w:r>
        <w:rPr>
          <w:rFonts w:hint="eastAsia" w:ascii="宋体" w:hAnsi="宋体" w:eastAsia="宋体" w:cs="宋体"/>
          <w:sz w:val="24"/>
        </w:rPr>
        <w:t>3.5.1 (2)</w:t>
      </w:r>
      <w:r>
        <w:rPr>
          <w:rFonts w:hint="eastAsia" w:ascii="Times New Roman" w:hAnsi="Times New Roman" w:eastAsia="宋体" w:cs="Calibri"/>
          <w:kern w:val="0"/>
          <w:sz w:val="24"/>
        </w:rPr>
        <w:t>项的要求附相关证明材料。）</w:t>
      </w:r>
      <w:bookmarkEnd w:id="243"/>
    </w:p>
    <w:bookmarkEnd w:id="242"/>
    <w:p w14:paraId="2D8EBD53">
      <w:pPr>
        <w:widowControl/>
        <w:ind w:firstLine="482" w:firstLineChars="200"/>
        <w:jc w:val="left"/>
        <w:rPr>
          <w:rFonts w:ascii="Times New Roman" w:hAnsi="Times New Roman" w:eastAsia="宋体" w:cs="Calibri"/>
          <w:b/>
          <w:bCs/>
          <w:kern w:val="0"/>
          <w:sz w:val="24"/>
        </w:rPr>
      </w:pPr>
      <w:r>
        <w:rPr>
          <w:rFonts w:ascii="Times New Roman" w:hAnsi="Times New Roman" w:eastAsia="宋体" w:cs="Calibri"/>
          <w:b/>
          <w:bCs/>
          <w:kern w:val="0"/>
          <w:sz w:val="24"/>
        </w:rPr>
        <w:br w:type="page"/>
      </w:r>
    </w:p>
    <w:p w14:paraId="1320A70A">
      <w:pPr>
        <w:adjustRightInd w:val="0"/>
        <w:spacing w:before="93" w:after="93" w:line="460" w:lineRule="exact"/>
        <w:ind w:firstLine="482" w:firstLineChars="200"/>
        <w:rPr>
          <w:rFonts w:ascii="Times New Roman" w:hAnsi="Times New Roman" w:eastAsia="宋体" w:cs="Calibri"/>
          <w:b/>
          <w:bCs/>
          <w:kern w:val="0"/>
          <w:sz w:val="24"/>
        </w:rPr>
      </w:pPr>
      <w:bookmarkStart w:id="244" w:name="_Hlk181123399"/>
      <w:r>
        <w:rPr>
          <w:rFonts w:hint="eastAsia" w:ascii="Times New Roman" w:hAnsi="Times New Roman" w:eastAsia="宋体" w:cs="Calibri"/>
          <w:b/>
          <w:bCs/>
          <w:kern w:val="0"/>
          <w:sz w:val="24"/>
        </w:rPr>
        <w:t>（四）近年财务状况表</w:t>
      </w:r>
    </w:p>
    <w:p w14:paraId="42CC38A9">
      <w:pPr>
        <w:spacing w:after="120" w:line="360" w:lineRule="auto"/>
        <w:ind w:right="102" w:firstLine="480" w:firstLineChars="200"/>
        <w:rPr>
          <w:rFonts w:ascii="宋体" w:hAnsi="宋体" w:eastAsia="宋体" w:cs="宋体"/>
          <w:kern w:val="0"/>
          <w:sz w:val="24"/>
        </w:rPr>
      </w:pPr>
      <w:bookmarkStart w:id="245" w:name="_Hlk175649077"/>
      <w:r>
        <w:rPr>
          <w:rFonts w:hint="eastAsia" w:ascii="宋体" w:hAnsi="宋体" w:eastAsia="宋体" w:cs="宋体"/>
          <w:kern w:val="0"/>
          <w:sz w:val="24"/>
        </w:rPr>
        <w:t xml:space="preserve">详见采购公告财务要求，供应商应根据供应商须知前附表第 </w:t>
      </w:r>
      <w:r>
        <w:rPr>
          <w:rFonts w:hint="eastAsia" w:ascii="宋体" w:hAnsi="宋体" w:eastAsia="宋体" w:cs="宋体"/>
          <w:sz w:val="24"/>
        </w:rPr>
        <w:t>3.5.1 (3)</w:t>
      </w:r>
      <w:r>
        <w:rPr>
          <w:rFonts w:hint="eastAsia" w:ascii="宋体" w:hAnsi="宋体" w:eastAsia="宋体" w:cs="宋体"/>
          <w:kern w:val="0"/>
          <w:sz w:val="24"/>
        </w:rPr>
        <w:t>项的要求附相关证明材料。</w:t>
      </w:r>
      <w:bookmarkStart w:id="246" w:name="_bookmark166"/>
      <w:bookmarkEnd w:id="246"/>
    </w:p>
    <w:bookmarkEnd w:id="244"/>
    <w:p w14:paraId="301CB6EE">
      <w:pPr>
        <w:tabs>
          <w:tab w:val="left" w:pos="2812"/>
          <w:tab w:val="left" w:pos="4300"/>
        </w:tabs>
        <w:adjustRightInd w:val="0"/>
        <w:snapToGrid w:val="0"/>
        <w:spacing w:after="120" w:line="360" w:lineRule="auto"/>
        <w:rPr>
          <w:rFonts w:ascii="宋体" w:hAnsi="宋体" w:eastAsia="宋体" w:cs="宋体"/>
          <w:spacing w:val="-3"/>
          <w:kern w:val="0"/>
          <w:sz w:val="24"/>
        </w:rPr>
      </w:pPr>
      <w:bookmarkStart w:id="247" w:name="_Hlk181123422"/>
      <w:r>
        <w:rPr>
          <w:rFonts w:hint="eastAsia" w:ascii="宋体" w:hAnsi="宋体" w:eastAsia="宋体" w:cs="宋体"/>
          <w:b/>
          <w:spacing w:val="-3"/>
          <w:kern w:val="0"/>
          <w:sz w:val="24"/>
        </w:rPr>
        <w:t>（1）</w:t>
      </w:r>
      <w:r>
        <w:rPr>
          <w:rFonts w:hint="eastAsia" w:ascii="宋体" w:hAnsi="宋体" w:eastAsia="宋体" w:cs="宋体"/>
          <w:spacing w:val="-3"/>
          <w:kern w:val="0"/>
          <w:sz w:val="24"/>
        </w:rPr>
        <w:t>供应商为企业单位的，应提供近3年经会计师事务所或审计机构审计的财务会计报表；成立不足3年的，提供成立以来的经审计的财务会计报表。上述财务会计报表至少应包括</w:t>
      </w:r>
      <w:r>
        <w:rPr>
          <w:rFonts w:hint="eastAsia" w:ascii="宋体" w:hAnsi="宋体" w:eastAsia="宋体" w:cs="宋体"/>
          <w:b/>
          <w:bCs/>
          <w:spacing w:val="-3"/>
          <w:kern w:val="0"/>
          <w:sz w:val="24"/>
          <w:u w:val="single"/>
        </w:rPr>
        <w:t>审计报告正文（由会计师事务所出具的审计报告必须由会计师事务所盖章、注册会计师签名和盖章，未经签字盖章的审计报告或有任何保留意见的报告视为无效审计报告，应答无效）、资产负债表、现金流量表、利润表的复印件，缺一不可。</w:t>
      </w:r>
      <w:r>
        <w:rPr>
          <w:rFonts w:hint="eastAsia" w:ascii="宋体" w:hAnsi="宋体" w:eastAsia="宋体" w:cs="宋体"/>
          <w:spacing w:val="-3"/>
          <w:kern w:val="0"/>
          <w:sz w:val="24"/>
        </w:rPr>
        <w:t>供应商的成立时间少于上述规定年份的，应提供成立以来的财务状况表。供应商为事业单位的，不作要求。</w:t>
      </w:r>
    </w:p>
    <w:p w14:paraId="1066E268">
      <w:pPr>
        <w:tabs>
          <w:tab w:val="left" w:pos="2812"/>
          <w:tab w:val="left" w:pos="4300"/>
        </w:tabs>
        <w:adjustRightInd w:val="0"/>
        <w:snapToGrid w:val="0"/>
        <w:spacing w:after="120" w:line="360" w:lineRule="auto"/>
        <w:rPr>
          <w:rFonts w:ascii="宋体" w:hAnsi="宋体" w:eastAsia="宋体" w:cs="宋体"/>
          <w:b/>
          <w:spacing w:val="-3"/>
          <w:kern w:val="0"/>
          <w:sz w:val="24"/>
        </w:rPr>
      </w:pPr>
      <w:r>
        <w:rPr>
          <w:rFonts w:hint="eastAsia" w:ascii="宋体" w:hAnsi="宋体" w:eastAsia="宋体" w:cs="宋体"/>
          <w:b/>
          <w:spacing w:val="-3"/>
          <w:kern w:val="0"/>
          <w:sz w:val="24"/>
        </w:rPr>
        <w:t>（2）若供应商为母公司的，应至少提供母公司财务会计报表；提供的财务会计报表包含母公司报表及合并报表的，在认定财务指标时，以母公司报表中的数值为准。</w:t>
      </w:r>
    </w:p>
    <w:p w14:paraId="3F660613">
      <w:pPr>
        <w:tabs>
          <w:tab w:val="left" w:pos="2812"/>
          <w:tab w:val="left" w:pos="4300"/>
        </w:tabs>
        <w:adjustRightInd w:val="0"/>
        <w:snapToGrid w:val="0"/>
        <w:spacing w:after="120" w:line="360" w:lineRule="auto"/>
        <w:sectPr>
          <w:headerReference r:id="rId5" w:type="default"/>
          <w:footerReference r:id="rId6" w:type="default"/>
          <w:pgSz w:w="11906" w:h="16838"/>
          <w:pgMar w:top="1417" w:right="1417" w:bottom="1417" w:left="1417" w:header="851" w:footer="992" w:gutter="0"/>
          <w:cols w:space="0" w:num="1"/>
          <w:docGrid w:type="lines" w:linePitch="318" w:charSpace="0"/>
        </w:sectPr>
      </w:pPr>
      <w:r>
        <w:rPr>
          <w:rFonts w:hint="eastAsia" w:ascii="宋体" w:hAnsi="宋体" w:eastAsia="宋体" w:cs="宋体"/>
          <w:b/>
          <w:spacing w:val="-3"/>
          <w:kern w:val="0"/>
          <w:sz w:val="24"/>
        </w:rPr>
        <w:t>（3）当近三年财务报表出现连续年度关联数据不一致时，以最近的年度财务报表数值为准。</w:t>
      </w:r>
    </w:p>
    <w:bookmarkEnd w:id="245"/>
    <w:bookmarkEnd w:id="247"/>
    <w:p w14:paraId="77489C1E">
      <w:pPr>
        <w:adjustRightInd w:val="0"/>
        <w:spacing w:before="93" w:after="93" w:line="460" w:lineRule="exact"/>
        <w:ind w:firstLine="482" w:firstLineChars="200"/>
        <w:rPr>
          <w:rFonts w:ascii="Times New Roman" w:hAnsi="Times New Roman" w:eastAsia="宋体" w:cs="Calibri"/>
          <w:b/>
          <w:bCs/>
          <w:kern w:val="0"/>
          <w:sz w:val="24"/>
        </w:rPr>
      </w:pPr>
      <w:r>
        <w:rPr>
          <w:rFonts w:ascii="Times New Roman" w:hAnsi="Times New Roman" w:eastAsia="宋体" w:cs="Calibri"/>
          <w:b/>
          <w:bCs/>
          <w:kern w:val="0"/>
          <w:sz w:val="24"/>
        </w:rPr>
        <w:t>(</w:t>
      </w:r>
      <w:r>
        <w:rPr>
          <w:rFonts w:hint="eastAsia" w:ascii="Times New Roman" w:hAnsi="Times New Roman" w:eastAsia="宋体" w:cs="Calibri"/>
          <w:b/>
          <w:bCs/>
          <w:kern w:val="0"/>
          <w:sz w:val="24"/>
        </w:rPr>
        <w:t>五</w:t>
      </w:r>
      <w:r>
        <w:rPr>
          <w:rFonts w:ascii="Times New Roman" w:hAnsi="Times New Roman" w:eastAsia="宋体" w:cs="Calibri"/>
          <w:b/>
          <w:bCs/>
          <w:kern w:val="0"/>
          <w:sz w:val="24"/>
        </w:rPr>
        <w:t>)</w:t>
      </w:r>
      <w:r>
        <w:rPr>
          <w:rFonts w:hint="eastAsia" w:ascii="Times New Roman" w:hAnsi="Times New Roman" w:eastAsia="宋体" w:cs="Calibri"/>
          <w:b/>
          <w:bCs/>
          <w:kern w:val="0"/>
          <w:sz w:val="24"/>
        </w:rPr>
        <w:t>业绩要求</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2"/>
        <w:gridCol w:w="6545"/>
      </w:tblGrid>
      <w:tr w14:paraId="7567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vAlign w:val="center"/>
          </w:tcPr>
          <w:p w14:paraId="01E75195">
            <w:pPr>
              <w:spacing w:line="360" w:lineRule="auto"/>
              <w:jc w:val="center"/>
              <w:rPr>
                <w:rFonts w:cs="黑体" w:asciiTheme="minorEastAsia" w:hAnsiTheme="minorEastAsia"/>
                <w:sz w:val="24"/>
              </w:rPr>
            </w:pPr>
            <w:r>
              <w:rPr>
                <w:rFonts w:hint="eastAsia" w:cs="黑体" w:asciiTheme="minorEastAsia" w:hAnsiTheme="minorEastAsia"/>
                <w:sz w:val="24"/>
              </w:rPr>
              <w:t>项目名称</w:t>
            </w:r>
          </w:p>
        </w:tc>
        <w:tc>
          <w:tcPr>
            <w:tcW w:w="3523" w:type="pct"/>
          </w:tcPr>
          <w:p w14:paraId="7FD0ECDA">
            <w:pPr>
              <w:spacing w:line="360" w:lineRule="auto"/>
              <w:rPr>
                <w:rFonts w:cs="黑体" w:asciiTheme="minorEastAsia" w:hAnsiTheme="minorEastAsia"/>
                <w:sz w:val="24"/>
              </w:rPr>
            </w:pPr>
          </w:p>
        </w:tc>
      </w:tr>
      <w:tr w14:paraId="3F251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vAlign w:val="center"/>
          </w:tcPr>
          <w:p w14:paraId="558A9616">
            <w:pPr>
              <w:spacing w:line="360" w:lineRule="auto"/>
              <w:jc w:val="center"/>
              <w:rPr>
                <w:rFonts w:cs="黑体" w:asciiTheme="minorEastAsia" w:hAnsiTheme="minorEastAsia"/>
                <w:sz w:val="24"/>
              </w:rPr>
            </w:pPr>
            <w:r>
              <w:rPr>
                <w:rFonts w:hint="eastAsia" w:cs="黑体" w:asciiTheme="minorEastAsia" w:hAnsiTheme="minorEastAsia"/>
                <w:sz w:val="24"/>
              </w:rPr>
              <w:t>买方名称</w:t>
            </w:r>
          </w:p>
        </w:tc>
        <w:tc>
          <w:tcPr>
            <w:tcW w:w="3523" w:type="pct"/>
          </w:tcPr>
          <w:p w14:paraId="0CDB2B97">
            <w:pPr>
              <w:spacing w:line="360" w:lineRule="auto"/>
              <w:rPr>
                <w:rFonts w:cs="黑体" w:asciiTheme="minorEastAsia" w:hAnsiTheme="minorEastAsia"/>
                <w:sz w:val="24"/>
              </w:rPr>
            </w:pPr>
          </w:p>
        </w:tc>
      </w:tr>
      <w:tr w14:paraId="0B5A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vAlign w:val="center"/>
          </w:tcPr>
          <w:p w14:paraId="653C6A2C">
            <w:pPr>
              <w:spacing w:line="360" w:lineRule="auto"/>
              <w:jc w:val="center"/>
              <w:rPr>
                <w:rFonts w:cs="黑体" w:asciiTheme="minorEastAsia" w:hAnsiTheme="minorEastAsia"/>
                <w:sz w:val="24"/>
              </w:rPr>
            </w:pPr>
            <w:r>
              <w:rPr>
                <w:rFonts w:hint="eastAsia" w:cs="黑体" w:asciiTheme="minorEastAsia" w:hAnsiTheme="minorEastAsia"/>
                <w:sz w:val="24"/>
              </w:rPr>
              <w:t>买方联系人及电话</w:t>
            </w:r>
          </w:p>
        </w:tc>
        <w:tc>
          <w:tcPr>
            <w:tcW w:w="3523" w:type="pct"/>
          </w:tcPr>
          <w:p w14:paraId="6B8EE0F4">
            <w:pPr>
              <w:spacing w:line="360" w:lineRule="auto"/>
              <w:rPr>
                <w:rFonts w:cs="黑体" w:asciiTheme="minorEastAsia" w:hAnsiTheme="minorEastAsia"/>
                <w:sz w:val="24"/>
              </w:rPr>
            </w:pPr>
          </w:p>
        </w:tc>
      </w:tr>
      <w:tr w14:paraId="39136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vAlign w:val="center"/>
          </w:tcPr>
          <w:p w14:paraId="47A341EE">
            <w:pPr>
              <w:spacing w:line="360" w:lineRule="auto"/>
              <w:jc w:val="center"/>
              <w:rPr>
                <w:rFonts w:cs="黑体" w:asciiTheme="minorEastAsia" w:hAnsiTheme="minorEastAsia"/>
                <w:sz w:val="24"/>
              </w:rPr>
            </w:pPr>
            <w:r>
              <w:rPr>
                <w:rFonts w:hint="eastAsia" w:cs="黑体" w:asciiTheme="minorEastAsia" w:hAnsiTheme="minorEastAsia"/>
                <w:sz w:val="24"/>
              </w:rPr>
              <w:t>合同价格</w:t>
            </w:r>
          </w:p>
        </w:tc>
        <w:tc>
          <w:tcPr>
            <w:tcW w:w="3523" w:type="pct"/>
          </w:tcPr>
          <w:p w14:paraId="37F44265">
            <w:pPr>
              <w:spacing w:line="360" w:lineRule="auto"/>
              <w:rPr>
                <w:rFonts w:cs="黑体" w:asciiTheme="minorEastAsia" w:hAnsiTheme="minorEastAsia"/>
                <w:sz w:val="24"/>
              </w:rPr>
            </w:pPr>
          </w:p>
        </w:tc>
      </w:tr>
      <w:tr w14:paraId="1A4A0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8" w:hRule="atLeast"/>
        </w:trPr>
        <w:tc>
          <w:tcPr>
            <w:tcW w:w="1476" w:type="pct"/>
            <w:vAlign w:val="center"/>
          </w:tcPr>
          <w:p w14:paraId="54EE2969">
            <w:pPr>
              <w:spacing w:line="360" w:lineRule="auto"/>
              <w:jc w:val="center"/>
              <w:rPr>
                <w:rFonts w:cs="黑体" w:asciiTheme="minorEastAsia" w:hAnsiTheme="minorEastAsia"/>
                <w:sz w:val="24"/>
              </w:rPr>
            </w:pPr>
            <w:r>
              <w:rPr>
                <w:rFonts w:hint="eastAsia" w:cs="黑体" w:asciiTheme="minorEastAsia" w:hAnsiTheme="minorEastAsia"/>
                <w:sz w:val="24"/>
              </w:rPr>
              <w:t>项目概况及供应商履约情况</w:t>
            </w:r>
          </w:p>
        </w:tc>
        <w:tc>
          <w:tcPr>
            <w:tcW w:w="3523" w:type="pct"/>
          </w:tcPr>
          <w:p w14:paraId="552DD704">
            <w:pPr>
              <w:spacing w:line="360" w:lineRule="auto"/>
              <w:rPr>
                <w:rFonts w:cs="黑体" w:asciiTheme="minorEastAsia" w:hAnsiTheme="minorEastAsia"/>
                <w:sz w:val="24"/>
              </w:rPr>
            </w:pPr>
          </w:p>
        </w:tc>
      </w:tr>
      <w:tr w14:paraId="240C2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pct"/>
          </w:tcPr>
          <w:p w14:paraId="40B32179">
            <w:pPr>
              <w:spacing w:line="360" w:lineRule="auto"/>
              <w:rPr>
                <w:rFonts w:cs="黑体" w:asciiTheme="minorEastAsia" w:hAnsiTheme="minorEastAsia"/>
                <w:sz w:val="24"/>
              </w:rPr>
            </w:pPr>
            <w:r>
              <w:rPr>
                <w:rFonts w:hint="eastAsia" w:cs="黑体" w:asciiTheme="minorEastAsia" w:hAnsiTheme="minorEastAsia"/>
                <w:sz w:val="24"/>
              </w:rPr>
              <w:t>备注</w:t>
            </w:r>
          </w:p>
        </w:tc>
        <w:tc>
          <w:tcPr>
            <w:tcW w:w="3523" w:type="pct"/>
          </w:tcPr>
          <w:p w14:paraId="0B91E4A1">
            <w:pPr>
              <w:spacing w:line="360" w:lineRule="auto"/>
              <w:rPr>
                <w:rFonts w:cs="黑体" w:asciiTheme="minorEastAsia" w:hAnsiTheme="minorEastAsia"/>
                <w:sz w:val="24"/>
              </w:rPr>
            </w:pPr>
          </w:p>
        </w:tc>
      </w:tr>
    </w:tbl>
    <w:p w14:paraId="1D4DAD77">
      <w:pPr>
        <w:spacing w:before="240" w:line="360" w:lineRule="auto"/>
        <w:ind w:firstLine="480" w:firstLineChars="200"/>
        <w:rPr>
          <w:rFonts w:cs="黑体" w:asciiTheme="minorEastAsia" w:hAnsiTheme="minorEastAsia"/>
          <w:sz w:val="24"/>
        </w:rPr>
      </w:pPr>
      <w:bookmarkStart w:id="248" w:name="_Hlk75126229"/>
      <w:r>
        <w:rPr>
          <w:rFonts w:cs="黑体" w:asciiTheme="minorEastAsia" w:hAnsiTheme="minorEastAsia"/>
          <w:sz w:val="24"/>
        </w:rPr>
        <w:t>注:</w:t>
      </w:r>
      <w:r>
        <w:rPr>
          <w:rFonts w:hint="eastAsia" w:ascii="宋体" w:hAnsi="宋体" w:eastAsia="宋体" w:cs="宋体"/>
          <w:kern w:val="0"/>
          <w:sz w:val="24"/>
        </w:rPr>
        <w:t xml:space="preserve"> 详见采购公告业绩要求，</w:t>
      </w:r>
      <w:r>
        <w:rPr>
          <w:rFonts w:cs="黑体" w:asciiTheme="minorEastAsia" w:hAnsiTheme="minorEastAsia"/>
          <w:sz w:val="24"/>
        </w:rPr>
        <w:t>供应商应根据供应商须知前附表第3.5.1(4)项的要求</w:t>
      </w:r>
      <w:bookmarkStart w:id="249" w:name="_Hlk75126254"/>
      <w:r>
        <w:rPr>
          <w:rFonts w:hint="eastAsia" w:cs="黑体" w:asciiTheme="minorEastAsia" w:hAnsiTheme="minorEastAsia"/>
          <w:sz w:val="24"/>
        </w:rPr>
        <w:t>及评审办法中业绩打分的要求</w:t>
      </w:r>
      <w:bookmarkEnd w:id="249"/>
      <w:r>
        <w:rPr>
          <w:rFonts w:cs="黑体" w:asciiTheme="minorEastAsia" w:hAnsiTheme="minorEastAsia"/>
          <w:sz w:val="24"/>
        </w:rPr>
        <w:t>在本表后附</w:t>
      </w:r>
      <w:r>
        <w:rPr>
          <w:rFonts w:hint="eastAsia" w:cs="黑体" w:asciiTheme="minorEastAsia" w:hAnsiTheme="minorEastAsia"/>
          <w:sz w:val="24"/>
        </w:rPr>
        <w:t>合</w:t>
      </w:r>
      <w:r>
        <w:rPr>
          <w:rFonts w:cs="黑体" w:asciiTheme="minorEastAsia" w:hAnsiTheme="minorEastAsia"/>
          <w:sz w:val="24"/>
        </w:rPr>
        <w:t>同</w:t>
      </w:r>
      <w:r>
        <w:rPr>
          <w:rFonts w:hint="eastAsia" w:cs="黑体" w:asciiTheme="minorEastAsia" w:hAnsiTheme="minorEastAsia"/>
          <w:sz w:val="24"/>
        </w:rPr>
        <w:t>复印</w:t>
      </w:r>
      <w:r>
        <w:rPr>
          <w:rFonts w:cs="黑体" w:asciiTheme="minorEastAsia" w:hAnsiTheme="minorEastAsia"/>
          <w:sz w:val="24"/>
        </w:rPr>
        <w:t>件或其它相关证明材料。</w:t>
      </w:r>
    </w:p>
    <w:bookmarkEnd w:id="248"/>
    <w:p w14:paraId="75F780C1">
      <w:pPr>
        <w:numPr>
          <w:ilvl w:val="0"/>
          <w:numId w:val="20"/>
        </w:numPr>
        <w:spacing w:before="240" w:line="360" w:lineRule="auto"/>
        <w:ind w:firstLine="480" w:firstLineChars="200"/>
        <w:rPr>
          <w:rFonts w:cs="黑体" w:asciiTheme="minorEastAsia" w:hAnsiTheme="minorEastAsia"/>
          <w:sz w:val="24"/>
        </w:rPr>
      </w:pPr>
      <w:r>
        <w:rPr>
          <w:rFonts w:cs="黑体" w:asciiTheme="minorEastAsia" w:hAnsiTheme="minorEastAsia"/>
          <w:sz w:val="24"/>
        </w:rPr>
        <w:br w:type="page"/>
      </w:r>
      <w:bookmarkStart w:id="250" w:name="_Hlk181123489"/>
      <w:r>
        <w:rPr>
          <w:rFonts w:hint="eastAsia" w:ascii="Times New Roman" w:hAnsi="Times New Roman" w:eastAsia="宋体" w:cs="Calibri"/>
          <w:b/>
          <w:bCs/>
          <w:kern w:val="0"/>
          <w:sz w:val="24"/>
        </w:rPr>
        <w:t>信誉要求</w:t>
      </w:r>
    </w:p>
    <w:p w14:paraId="5B254CB5">
      <w:pPr>
        <w:spacing w:before="240" w:line="360" w:lineRule="auto"/>
        <w:rPr>
          <w:rFonts w:cs="黑体" w:asciiTheme="minorEastAsia" w:hAnsiTheme="minorEastAsia"/>
          <w:sz w:val="24"/>
        </w:rPr>
      </w:pPr>
      <w:r>
        <w:rPr>
          <w:rFonts w:cs="黑体" w:asciiTheme="minorEastAsia" w:hAnsiTheme="minorEastAsia"/>
          <w:sz w:val="24"/>
        </w:rPr>
        <w:t>注</w:t>
      </w:r>
      <w:r>
        <w:rPr>
          <w:rFonts w:hint="eastAsia" w:cs="黑体" w:asciiTheme="minorEastAsia" w:hAnsiTheme="minorEastAsia"/>
          <w:sz w:val="24"/>
        </w:rPr>
        <w:t>：</w:t>
      </w:r>
      <w:r>
        <w:rPr>
          <w:rFonts w:cs="黑体" w:asciiTheme="minorEastAsia" w:hAnsiTheme="minorEastAsia"/>
          <w:sz w:val="24"/>
        </w:rPr>
        <w:t>供应商应根据供应商须知前附表第3.5.1(5)项的要求附相关证明材料。</w:t>
      </w:r>
    </w:p>
    <w:p w14:paraId="146E7963">
      <w:pPr>
        <w:pStyle w:val="11"/>
        <w:spacing w:before="120" w:line="360" w:lineRule="auto"/>
        <w:ind w:left="0" w:leftChars="0" w:firstLine="482" w:firstLineChars="200"/>
        <w:jc w:val="center"/>
        <w:rPr>
          <w:rFonts w:asciiTheme="minorEastAsia" w:hAnsiTheme="minorEastAsia"/>
          <w:b/>
          <w:sz w:val="24"/>
          <w:szCs w:val="24"/>
          <w:lang w:eastAsia="zh-CN"/>
        </w:rPr>
      </w:pPr>
      <w:r>
        <w:rPr>
          <w:rFonts w:hint="eastAsia" w:ascii="Times New Roman" w:hAnsi="Times New Roman" w:eastAsia="宋体" w:cs="Calibri"/>
          <w:b/>
          <w:bCs/>
          <w:sz w:val="24"/>
          <w:lang w:eastAsia="zh-CN"/>
        </w:rPr>
        <w:t>供应商的承诺书</w:t>
      </w:r>
    </w:p>
    <w:p w14:paraId="40081349">
      <w:pPr>
        <w:pStyle w:val="11"/>
        <w:spacing w:before="120" w:line="400" w:lineRule="exact"/>
        <w:ind w:left="0" w:leftChars="0"/>
        <w:rPr>
          <w:rFonts w:asciiTheme="minorEastAsia" w:hAnsiTheme="minorEastAsia"/>
          <w:sz w:val="24"/>
          <w:szCs w:val="24"/>
          <w:lang w:eastAsia="zh-CN"/>
        </w:rPr>
      </w:pPr>
      <w:r>
        <w:rPr>
          <w:rFonts w:hint="eastAsia" w:asciiTheme="minorEastAsia" w:hAnsiTheme="minorEastAsia"/>
          <w:sz w:val="24"/>
          <w:szCs w:val="24"/>
          <w:lang w:eastAsia="zh-CN"/>
        </w:rPr>
        <w:t>致</w:t>
      </w:r>
      <w:r>
        <w:rPr>
          <w:rFonts w:hint="eastAsia" w:asciiTheme="minorEastAsia" w:hAnsiTheme="minorEastAsia"/>
          <w:sz w:val="24"/>
          <w:szCs w:val="24"/>
          <w:u w:val="single"/>
          <w:lang w:eastAsia="zh-CN"/>
        </w:rPr>
        <w:t xml:space="preserve">     中国核动力研究设计院           </w:t>
      </w:r>
      <w:r>
        <w:rPr>
          <w:rFonts w:hint="eastAsia" w:asciiTheme="minorEastAsia" w:hAnsiTheme="minorEastAsia"/>
          <w:sz w:val="24"/>
          <w:szCs w:val="24"/>
          <w:lang w:eastAsia="zh-CN"/>
        </w:rPr>
        <w:t xml:space="preserve">： </w:t>
      </w:r>
    </w:p>
    <w:p w14:paraId="71B7B7D1">
      <w:pPr>
        <w:pStyle w:val="11"/>
        <w:spacing w:after="0" w:line="276" w:lineRule="auto"/>
        <w:ind w:left="0" w:leftChars="0" w:firstLine="424" w:firstLineChars="177"/>
        <w:rPr>
          <w:rFonts w:asciiTheme="minorEastAsia" w:hAnsiTheme="minorEastAsia"/>
          <w:sz w:val="24"/>
          <w:szCs w:val="24"/>
          <w:lang w:eastAsia="zh-CN"/>
        </w:rPr>
      </w:pPr>
      <w:r>
        <w:rPr>
          <w:rFonts w:hint="eastAsia" w:asciiTheme="minorEastAsia" w:hAnsiTheme="minorEastAsia"/>
          <w:sz w:val="24"/>
          <w:szCs w:val="24"/>
          <w:lang w:eastAsia="zh-CN"/>
        </w:rPr>
        <w:t>本单位</w:t>
      </w:r>
      <w:r>
        <w:rPr>
          <w:rFonts w:hint="eastAsia" w:asciiTheme="minorEastAsia" w:hAnsiTheme="minorEastAsia"/>
          <w:sz w:val="24"/>
          <w:szCs w:val="24"/>
          <w:u w:val="single"/>
          <w:lang w:eastAsia="zh-CN"/>
        </w:rPr>
        <w:t xml:space="preserve">     （供</w:t>
      </w:r>
      <w:r>
        <w:rPr>
          <w:rFonts w:asciiTheme="minorEastAsia" w:hAnsiTheme="minorEastAsia"/>
          <w:sz w:val="24"/>
          <w:szCs w:val="24"/>
          <w:u w:val="single"/>
          <w:lang w:eastAsia="zh-CN"/>
        </w:rPr>
        <w:t>应商</w:t>
      </w:r>
      <w:r>
        <w:rPr>
          <w:rFonts w:hint="eastAsia" w:asciiTheme="minorEastAsia" w:hAnsiTheme="minorEastAsia"/>
          <w:sz w:val="24"/>
          <w:szCs w:val="24"/>
          <w:u w:val="single"/>
          <w:lang w:eastAsia="zh-CN"/>
        </w:rPr>
        <w:t>名称）</w:t>
      </w:r>
      <w:r>
        <w:rPr>
          <w:rFonts w:hint="eastAsia" w:asciiTheme="minorEastAsia" w:hAnsiTheme="minorEastAsia"/>
          <w:sz w:val="24"/>
          <w:szCs w:val="24"/>
          <w:lang w:eastAsia="zh-CN"/>
        </w:rPr>
        <w:t xml:space="preserve">参加 </w:t>
      </w:r>
      <w:r>
        <w:rPr>
          <w:rFonts w:hint="eastAsia" w:asciiTheme="minorEastAsia" w:hAnsiTheme="minorEastAsia"/>
          <w:sz w:val="24"/>
          <w:szCs w:val="24"/>
          <w:u w:val="single"/>
          <w:lang w:eastAsia="zh-CN"/>
        </w:rPr>
        <w:t xml:space="preserve"> （项目名称）</w:t>
      </w:r>
      <w:r>
        <w:rPr>
          <w:rFonts w:hint="eastAsia" w:asciiTheme="minorEastAsia" w:hAnsiTheme="minorEastAsia"/>
          <w:sz w:val="24"/>
          <w:szCs w:val="24"/>
          <w:lang w:eastAsia="zh-CN"/>
        </w:rPr>
        <w:t>的采购文件，现承诺：</w:t>
      </w:r>
    </w:p>
    <w:p w14:paraId="695DA70C">
      <w:pPr>
        <w:pStyle w:val="3"/>
        <w:numPr>
          <w:ilvl w:val="0"/>
          <w:numId w:val="21"/>
        </w:numPr>
        <w:adjustRightInd w:val="0"/>
        <w:snapToGrid w:val="0"/>
        <w:spacing w:line="400" w:lineRule="exact"/>
        <w:ind w:left="0" w:firstLine="480" w:firstLineChars="200"/>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具有独立承担民事责任的能力；</w:t>
      </w:r>
    </w:p>
    <w:p w14:paraId="153165C7">
      <w:pPr>
        <w:pStyle w:val="3"/>
        <w:numPr>
          <w:ilvl w:val="0"/>
          <w:numId w:val="21"/>
        </w:numPr>
        <w:adjustRightInd w:val="0"/>
        <w:snapToGrid w:val="0"/>
        <w:spacing w:line="400" w:lineRule="exact"/>
        <w:ind w:left="0" w:firstLine="480" w:firstLineChars="200"/>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服务地点</w:t>
      </w:r>
      <w:r>
        <w:rPr>
          <w:rFonts w:asciiTheme="minorEastAsia" w:hAnsiTheme="minorEastAsia" w:eastAsiaTheme="minorEastAsia"/>
          <w:sz w:val="24"/>
          <w:szCs w:val="24"/>
          <w:lang w:eastAsia="zh-CN"/>
        </w:rPr>
        <w:t>满足</w:t>
      </w:r>
      <w:r>
        <w:rPr>
          <w:rFonts w:hint="eastAsia" w:asciiTheme="minorEastAsia" w:hAnsiTheme="minorEastAsia" w:eastAsiaTheme="minorEastAsia"/>
          <w:sz w:val="24"/>
          <w:szCs w:val="24"/>
          <w:lang w:eastAsia="zh-CN"/>
        </w:rPr>
        <w:t>采购文件</w:t>
      </w:r>
      <w:r>
        <w:rPr>
          <w:rFonts w:asciiTheme="minorEastAsia" w:hAnsiTheme="minorEastAsia" w:eastAsiaTheme="minorEastAsia"/>
          <w:sz w:val="24"/>
          <w:szCs w:val="24"/>
          <w:lang w:eastAsia="zh-CN"/>
        </w:rPr>
        <w:t>及</w:t>
      </w:r>
      <w:r>
        <w:rPr>
          <w:rFonts w:hint="eastAsia" w:asciiTheme="minorEastAsia" w:hAnsiTheme="minorEastAsia" w:eastAsiaTheme="minorEastAsia"/>
          <w:sz w:val="24"/>
          <w:szCs w:val="24"/>
          <w:lang w:eastAsia="zh-CN"/>
        </w:rPr>
        <w:t>采购人</w:t>
      </w:r>
      <w:r>
        <w:rPr>
          <w:rFonts w:asciiTheme="minorEastAsia" w:hAnsiTheme="minorEastAsia" w:eastAsiaTheme="minorEastAsia"/>
          <w:sz w:val="24"/>
          <w:szCs w:val="24"/>
          <w:lang w:eastAsia="zh-CN"/>
        </w:rPr>
        <w:t>的相关规定；</w:t>
      </w:r>
    </w:p>
    <w:p w14:paraId="0EBA2ACB">
      <w:pPr>
        <w:pStyle w:val="3"/>
        <w:numPr>
          <w:ilvl w:val="0"/>
          <w:numId w:val="21"/>
        </w:numPr>
        <w:adjustRightInd w:val="0"/>
        <w:snapToGrid w:val="0"/>
        <w:spacing w:line="400" w:lineRule="exact"/>
        <w:ind w:left="0" w:firstLine="480" w:firstLineChars="200"/>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近三年内，在经营活动中没有重大违法记录。</w:t>
      </w:r>
    </w:p>
    <w:p w14:paraId="7B70DB1E">
      <w:pPr>
        <w:pStyle w:val="3"/>
        <w:numPr>
          <w:ilvl w:val="0"/>
          <w:numId w:val="21"/>
        </w:numPr>
        <w:adjustRightInd w:val="0"/>
        <w:snapToGrid w:val="0"/>
        <w:spacing w:line="400" w:lineRule="exact"/>
        <w:ind w:left="0" w:firstLine="480" w:firstLineChars="200"/>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近三年内，在供货合同履行、售后服务及产品运行过程中，未出现中标后不履约、履约过程中严重违反合同规定及供货产品出现重大质量问题；</w:t>
      </w:r>
    </w:p>
    <w:p w14:paraId="5206B648">
      <w:pPr>
        <w:pStyle w:val="3"/>
        <w:numPr>
          <w:ilvl w:val="0"/>
          <w:numId w:val="21"/>
        </w:numPr>
        <w:adjustRightInd w:val="0"/>
        <w:snapToGrid w:val="0"/>
        <w:spacing w:line="400" w:lineRule="exact"/>
        <w:ind w:left="0" w:firstLine="480" w:firstLineChars="200"/>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供应商在近三年没有与骗取合同有关的犯罪或严重违法行为而引起的诉讼和仲裁；</w:t>
      </w:r>
    </w:p>
    <w:p w14:paraId="5A8BD08F">
      <w:pPr>
        <w:pStyle w:val="3"/>
        <w:numPr>
          <w:ilvl w:val="0"/>
          <w:numId w:val="21"/>
        </w:numPr>
        <w:adjustRightInd w:val="0"/>
        <w:snapToGrid w:val="0"/>
        <w:spacing w:line="400" w:lineRule="exact"/>
        <w:ind w:left="0" w:firstLine="480" w:firstLineChars="200"/>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不存在“</w:t>
      </w:r>
      <w:r>
        <w:rPr>
          <w:rFonts w:hint="eastAsia" w:asciiTheme="minorEastAsia" w:hAnsiTheme="minorEastAsia" w:eastAsiaTheme="minorEastAsia"/>
          <w:sz w:val="24"/>
          <w:szCs w:val="24"/>
          <w:lang w:eastAsia="zh-CN"/>
        </w:rPr>
        <w:t>供应商</w:t>
      </w:r>
      <w:r>
        <w:rPr>
          <w:rFonts w:asciiTheme="minorEastAsia" w:hAnsiTheme="minorEastAsia" w:eastAsiaTheme="minorEastAsia"/>
          <w:sz w:val="24"/>
          <w:szCs w:val="24"/>
          <w:lang w:eastAsia="zh-CN"/>
        </w:rPr>
        <w:t>须知”</w:t>
      </w:r>
      <w:r>
        <w:rPr>
          <w:rFonts w:hint="eastAsia" w:asciiTheme="minorEastAsia" w:hAnsiTheme="minorEastAsia" w:eastAsiaTheme="minorEastAsia"/>
          <w:sz w:val="24"/>
          <w:szCs w:val="24"/>
          <w:lang w:eastAsia="zh-CN"/>
        </w:rPr>
        <w:t>3.5.2中</w:t>
      </w:r>
      <w:r>
        <w:rPr>
          <w:rFonts w:asciiTheme="minorEastAsia" w:hAnsiTheme="minorEastAsia" w:eastAsiaTheme="minorEastAsia"/>
          <w:sz w:val="24"/>
          <w:szCs w:val="24"/>
          <w:lang w:eastAsia="zh-CN"/>
        </w:rPr>
        <w:t>所列</w:t>
      </w:r>
      <w:r>
        <w:rPr>
          <w:rFonts w:hint="eastAsia" w:asciiTheme="minorEastAsia" w:hAnsiTheme="minorEastAsia" w:eastAsiaTheme="minorEastAsia"/>
          <w:sz w:val="24"/>
          <w:szCs w:val="24"/>
          <w:lang w:eastAsia="zh-CN"/>
        </w:rPr>
        <w:t>任一</w:t>
      </w:r>
      <w:r>
        <w:rPr>
          <w:rFonts w:asciiTheme="minorEastAsia" w:hAnsiTheme="minorEastAsia" w:eastAsiaTheme="minorEastAsia"/>
          <w:sz w:val="24"/>
          <w:szCs w:val="24"/>
          <w:lang w:eastAsia="zh-CN"/>
        </w:rPr>
        <w:t>情形</w:t>
      </w:r>
      <w:r>
        <w:rPr>
          <w:rFonts w:hint="eastAsia" w:asciiTheme="minorEastAsia" w:hAnsiTheme="minorEastAsia" w:eastAsiaTheme="minorEastAsia"/>
          <w:sz w:val="24"/>
          <w:szCs w:val="24"/>
          <w:lang w:eastAsia="zh-CN"/>
        </w:rPr>
        <w:t>；</w:t>
      </w:r>
    </w:p>
    <w:p w14:paraId="0ACD4E6E">
      <w:pPr>
        <w:pStyle w:val="3"/>
        <w:numPr>
          <w:ilvl w:val="0"/>
          <w:numId w:val="21"/>
        </w:numPr>
        <w:adjustRightInd w:val="0"/>
        <w:snapToGrid w:val="0"/>
        <w:spacing w:line="400" w:lineRule="exact"/>
        <w:ind w:left="0" w:firstLine="480" w:firstLineChars="200"/>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未被依法暂停或者取消投标/应答资格；</w:t>
      </w:r>
    </w:p>
    <w:p w14:paraId="33FA8925">
      <w:pPr>
        <w:pStyle w:val="3"/>
        <w:numPr>
          <w:ilvl w:val="0"/>
          <w:numId w:val="21"/>
        </w:numPr>
        <w:adjustRightInd w:val="0"/>
        <w:snapToGrid w:val="0"/>
        <w:spacing w:line="400" w:lineRule="exact"/>
        <w:ind w:left="0" w:firstLine="480" w:firstLineChars="200"/>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财务没有处于被接管、冻结的状态，未进入清算程序，未被宣告破产，不存在其他丧失履约能力的情形；</w:t>
      </w:r>
    </w:p>
    <w:p w14:paraId="47C4C22C">
      <w:pPr>
        <w:pStyle w:val="3"/>
        <w:numPr>
          <w:ilvl w:val="0"/>
          <w:numId w:val="21"/>
        </w:numPr>
        <w:adjustRightInd w:val="0"/>
        <w:snapToGrid w:val="0"/>
        <w:spacing w:line="400" w:lineRule="exact"/>
        <w:ind w:left="0" w:firstLine="480" w:firstLineChars="200"/>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严格遵守国家及采购人相关保密管理规定，并承担相应责任；</w:t>
      </w:r>
    </w:p>
    <w:p w14:paraId="18751B91">
      <w:pPr>
        <w:pStyle w:val="3"/>
        <w:numPr>
          <w:ilvl w:val="0"/>
          <w:numId w:val="21"/>
        </w:numPr>
        <w:adjustRightInd w:val="0"/>
        <w:snapToGrid w:val="0"/>
        <w:spacing w:line="400" w:lineRule="exact"/>
        <w:ind w:left="0" w:firstLine="480" w:firstLineChars="200"/>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在近三年内供应商或其法定代表人、拟委任的项目负责人无行贿犯罪行为；</w:t>
      </w:r>
    </w:p>
    <w:p w14:paraId="620CED16">
      <w:pPr>
        <w:pStyle w:val="3"/>
        <w:numPr>
          <w:ilvl w:val="0"/>
          <w:numId w:val="21"/>
        </w:numPr>
        <w:adjustRightInd w:val="0"/>
        <w:snapToGrid w:val="0"/>
        <w:spacing w:line="400" w:lineRule="exact"/>
        <w:ind w:left="0" w:firstLine="480" w:firstLineChars="200"/>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未被列入失信被执行人名单；</w:t>
      </w:r>
    </w:p>
    <w:p w14:paraId="20455ACE">
      <w:pPr>
        <w:pStyle w:val="3"/>
        <w:numPr>
          <w:ilvl w:val="0"/>
          <w:numId w:val="21"/>
        </w:numPr>
        <w:adjustRightInd w:val="0"/>
        <w:snapToGrid w:val="0"/>
        <w:spacing w:line="400" w:lineRule="exact"/>
        <w:ind w:left="0" w:firstLine="480" w:firstLineChars="200"/>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未被列入严重违法失信企业名单；</w:t>
      </w:r>
    </w:p>
    <w:p w14:paraId="656E593E">
      <w:pPr>
        <w:pStyle w:val="3"/>
        <w:numPr>
          <w:ilvl w:val="0"/>
          <w:numId w:val="21"/>
        </w:numPr>
        <w:adjustRightInd w:val="0"/>
        <w:snapToGrid w:val="0"/>
        <w:spacing w:line="400" w:lineRule="exact"/>
        <w:ind w:left="0" w:firstLine="480" w:firstLineChars="200"/>
        <w:jc w:val="both"/>
        <w:rPr>
          <w:rFonts w:asciiTheme="minorEastAsia" w:hAnsiTheme="minorEastAsia" w:eastAsiaTheme="minorEastAsia"/>
          <w:sz w:val="24"/>
          <w:szCs w:val="24"/>
          <w:lang w:eastAsia="zh-CN"/>
        </w:rPr>
      </w:pPr>
      <w:bookmarkStart w:id="251" w:name="_Hlk39852668"/>
      <w:r>
        <w:rPr>
          <w:rFonts w:hint="eastAsia" w:asciiTheme="minorEastAsia" w:hAnsiTheme="minorEastAsia" w:eastAsiaTheme="minorEastAsia"/>
          <w:sz w:val="24"/>
          <w:szCs w:val="24"/>
          <w:lang w:eastAsia="zh-CN"/>
        </w:rPr>
        <w:t>严格遵守本次招标采购活动中的党和国家有关法律法规及采购人有关廉洁从业的制度规定。</w:t>
      </w:r>
    </w:p>
    <w:p w14:paraId="66C93BD5">
      <w:pPr>
        <w:pStyle w:val="3"/>
        <w:numPr>
          <w:ilvl w:val="0"/>
          <w:numId w:val="21"/>
        </w:numPr>
        <w:adjustRightInd w:val="0"/>
        <w:snapToGrid w:val="0"/>
        <w:spacing w:line="400" w:lineRule="exact"/>
        <w:ind w:left="0" w:firstLine="480" w:firstLineChars="200"/>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参与本次投标的所有资料</w:t>
      </w:r>
      <w:r>
        <w:rPr>
          <w:rFonts w:hint="eastAsia" w:asciiTheme="minorEastAsia" w:hAnsiTheme="minorEastAsia" w:eastAsiaTheme="minorEastAsia"/>
          <w:sz w:val="24"/>
          <w:szCs w:val="24"/>
          <w:lang w:eastAsia="zh-CN"/>
        </w:rPr>
        <w:t>、翻译文本及</w:t>
      </w:r>
      <w:r>
        <w:rPr>
          <w:rFonts w:asciiTheme="minorEastAsia" w:hAnsiTheme="minorEastAsia" w:eastAsiaTheme="minorEastAsia"/>
          <w:sz w:val="24"/>
          <w:szCs w:val="24"/>
          <w:lang w:eastAsia="zh-CN"/>
        </w:rPr>
        <w:t>相关证明材料均是真实合法</w:t>
      </w:r>
      <w:r>
        <w:rPr>
          <w:rFonts w:hint="eastAsia" w:asciiTheme="minorEastAsia" w:hAnsiTheme="minorEastAsia" w:eastAsiaTheme="minorEastAsia"/>
          <w:sz w:val="24"/>
          <w:szCs w:val="24"/>
          <w:lang w:eastAsia="zh-CN"/>
        </w:rPr>
        <w:t>、准确</w:t>
      </w:r>
      <w:r>
        <w:rPr>
          <w:rFonts w:asciiTheme="minorEastAsia" w:hAnsiTheme="minorEastAsia" w:eastAsiaTheme="minorEastAsia"/>
          <w:sz w:val="24"/>
          <w:szCs w:val="24"/>
          <w:lang w:eastAsia="zh-CN"/>
        </w:rPr>
        <w:t>有效的</w:t>
      </w:r>
      <w:r>
        <w:rPr>
          <w:rFonts w:hint="eastAsia" w:asciiTheme="minorEastAsia" w:hAnsiTheme="minorEastAsia" w:eastAsiaTheme="minorEastAsia"/>
          <w:sz w:val="24"/>
          <w:szCs w:val="24"/>
          <w:lang w:eastAsia="zh-CN"/>
        </w:rPr>
        <w:t>。</w:t>
      </w:r>
    </w:p>
    <w:bookmarkEnd w:id="251"/>
    <w:p w14:paraId="34D2102E">
      <w:pPr>
        <w:pStyle w:val="3"/>
        <w:adjustRightInd w:val="0"/>
        <w:snapToGrid w:val="0"/>
        <w:spacing w:line="400" w:lineRule="exact"/>
        <w:ind w:left="420" w:leftChars="200"/>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如违反以上承诺，本公司愿承担一切法律责任。</w:t>
      </w:r>
    </w:p>
    <w:p w14:paraId="43CE9474">
      <w:pPr>
        <w:pStyle w:val="3"/>
        <w:wordWrap w:val="0"/>
        <w:spacing w:line="400" w:lineRule="exact"/>
        <w:ind w:left="2601" w:firstLine="480" w:firstLineChars="200"/>
        <w:jc w:val="righ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供应</w:t>
      </w:r>
      <w:r>
        <w:rPr>
          <w:rFonts w:asciiTheme="minorEastAsia" w:hAnsiTheme="minorEastAsia" w:eastAsiaTheme="minorEastAsia"/>
          <w:sz w:val="24"/>
          <w:szCs w:val="24"/>
          <w:lang w:eastAsia="zh-CN"/>
        </w:rPr>
        <w:t>商：（</w:t>
      </w:r>
      <w:r>
        <w:rPr>
          <w:rFonts w:hint="eastAsia" w:asciiTheme="minorEastAsia" w:hAnsiTheme="minorEastAsia" w:eastAsiaTheme="minorEastAsia"/>
          <w:sz w:val="24"/>
          <w:szCs w:val="24"/>
          <w:lang w:eastAsia="zh-CN"/>
        </w:rPr>
        <w:t>盖公章</w:t>
      </w:r>
      <w:r>
        <w:rPr>
          <w:rFonts w:asciiTheme="minorEastAsia" w:hAnsiTheme="minorEastAsia" w:eastAsiaTheme="minorEastAsia"/>
          <w:sz w:val="24"/>
          <w:szCs w:val="24"/>
          <w:lang w:eastAsia="zh-CN"/>
        </w:rPr>
        <w:t>）</w:t>
      </w:r>
    </w:p>
    <w:p w14:paraId="58BD97A9">
      <w:pPr>
        <w:spacing w:line="400" w:lineRule="exact"/>
        <w:ind w:firstLine="480" w:firstLineChars="200"/>
        <w:jc w:val="right"/>
        <w:rPr>
          <w:rFonts w:asciiTheme="minorEastAsia" w:hAnsiTheme="minorEastAsia"/>
          <w:sz w:val="24"/>
        </w:rPr>
      </w:pPr>
      <w:r>
        <w:rPr>
          <w:rFonts w:asciiTheme="minorEastAsia" w:hAnsiTheme="minorEastAsia"/>
          <w:sz w:val="24"/>
        </w:rPr>
        <w:t>年月日</w:t>
      </w:r>
    </w:p>
    <w:p w14:paraId="2A09FC6B">
      <w:pPr>
        <w:rPr>
          <w:rFonts w:asciiTheme="minorEastAsia" w:hAnsiTheme="minorEastAsia"/>
          <w:sz w:val="24"/>
        </w:rPr>
      </w:pPr>
      <w:r>
        <w:rPr>
          <w:rFonts w:asciiTheme="minorEastAsia" w:hAnsiTheme="minorEastAsia"/>
          <w:sz w:val="24"/>
        </w:rPr>
        <w:br w:type="page"/>
      </w:r>
    </w:p>
    <w:p w14:paraId="1D5668EA">
      <w:pPr>
        <w:pStyle w:val="2"/>
        <w:ind w:firstLine="210"/>
        <w:rPr>
          <w:lang w:eastAsia="zh-CN"/>
        </w:rPr>
      </w:pPr>
    </w:p>
    <w:p w14:paraId="77B332C1">
      <w:pPr>
        <w:pStyle w:val="35"/>
        <w:numPr>
          <w:ilvl w:val="0"/>
          <w:numId w:val="22"/>
        </w:numPr>
        <w:snapToGrid w:val="0"/>
        <w:spacing w:line="360" w:lineRule="auto"/>
        <w:ind w:firstLine="480" w:firstLineChars="200"/>
        <w:jc w:val="both"/>
        <w:rPr>
          <w:sz w:val="24"/>
          <w:szCs w:val="24"/>
          <w:lang w:eastAsia="zh-CN"/>
        </w:rPr>
      </w:pPr>
      <w:r>
        <w:rPr>
          <w:sz w:val="24"/>
          <w:szCs w:val="24"/>
          <w:lang w:eastAsia="zh-CN"/>
        </w:rPr>
        <w:t>供应商</w:t>
      </w:r>
      <w:r>
        <w:rPr>
          <w:rFonts w:hint="eastAsia"/>
          <w:sz w:val="24"/>
          <w:szCs w:val="24"/>
          <w:lang w:eastAsia="zh-CN"/>
        </w:rPr>
        <w:t>近三年内</w:t>
      </w:r>
      <w:r>
        <w:rPr>
          <w:sz w:val="24"/>
          <w:szCs w:val="24"/>
          <w:lang w:eastAsia="zh-CN"/>
        </w:rPr>
        <w:t>无行贿犯罪</w:t>
      </w:r>
      <w:r>
        <w:rPr>
          <w:rFonts w:hint="eastAsia"/>
          <w:sz w:val="24"/>
          <w:szCs w:val="24"/>
          <w:lang w:eastAsia="zh-CN"/>
        </w:rPr>
        <w:t>记</w:t>
      </w:r>
      <w:r>
        <w:rPr>
          <w:sz w:val="24"/>
          <w:szCs w:val="24"/>
          <w:lang w:eastAsia="zh-CN"/>
        </w:rPr>
        <w:t>录，提供</w:t>
      </w:r>
      <w:r>
        <w:rPr>
          <w:rFonts w:hint="eastAsia"/>
          <w:sz w:val="24"/>
          <w:szCs w:val="24"/>
          <w:lang w:eastAsia="zh-CN"/>
        </w:rPr>
        <w:t>“</w:t>
      </w:r>
      <w:r>
        <w:rPr>
          <w:b/>
          <w:bCs/>
          <w:sz w:val="24"/>
          <w:szCs w:val="24"/>
          <w:lang w:eastAsia="zh-CN"/>
        </w:rPr>
        <w:t>中国裁判文书网</w:t>
      </w:r>
      <w:r>
        <w:rPr>
          <w:rFonts w:hint="eastAsia"/>
          <w:b/>
          <w:bCs/>
          <w:sz w:val="24"/>
          <w:szCs w:val="24"/>
          <w:lang w:eastAsia="zh-CN"/>
        </w:rPr>
        <w:t>”</w:t>
      </w:r>
      <w:r>
        <w:rPr>
          <w:sz w:val="24"/>
          <w:szCs w:val="24"/>
          <w:lang w:eastAsia="zh-CN"/>
        </w:rPr>
        <w:t>相关查询结果截图，其中包括</w:t>
      </w:r>
      <w:r>
        <w:rPr>
          <w:sz w:val="24"/>
          <w:szCs w:val="24"/>
          <w:u w:val="thick"/>
          <w:lang w:eastAsia="zh-CN"/>
        </w:rPr>
        <w:t>供应商查询截图和法定代表人查询截图</w:t>
      </w:r>
      <w:r>
        <w:rPr>
          <w:sz w:val="24"/>
          <w:szCs w:val="24"/>
          <w:lang w:eastAsia="zh-CN"/>
        </w:rPr>
        <w:t>；</w:t>
      </w:r>
    </w:p>
    <w:p w14:paraId="63BEFBF6">
      <w:pPr>
        <w:pStyle w:val="35"/>
        <w:numPr>
          <w:ilvl w:val="0"/>
          <w:numId w:val="22"/>
        </w:numPr>
        <w:snapToGrid w:val="0"/>
        <w:spacing w:line="360" w:lineRule="auto"/>
        <w:ind w:firstLine="480" w:firstLineChars="200"/>
        <w:jc w:val="both"/>
        <w:rPr>
          <w:sz w:val="24"/>
          <w:szCs w:val="24"/>
          <w:lang w:eastAsia="zh-CN"/>
        </w:rPr>
      </w:pPr>
      <w:r>
        <w:rPr>
          <w:sz w:val="24"/>
          <w:szCs w:val="24"/>
          <w:lang w:eastAsia="zh-CN"/>
        </w:rPr>
        <w:t>供应商未被最高人民法院在</w:t>
      </w:r>
      <w:r>
        <w:rPr>
          <w:rFonts w:hint="eastAsia"/>
          <w:b/>
          <w:bCs/>
          <w:sz w:val="24"/>
          <w:szCs w:val="24"/>
          <w:lang w:eastAsia="zh-CN"/>
        </w:rPr>
        <w:t>“信用中国”或“中国执行信息公开网</w:t>
      </w:r>
      <w:r>
        <w:rPr>
          <w:b/>
          <w:bCs/>
          <w:sz w:val="24"/>
          <w:szCs w:val="24"/>
          <w:lang w:eastAsia="zh-CN"/>
        </w:rPr>
        <w:t>”</w:t>
      </w:r>
      <w:r>
        <w:rPr>
          <w:sz w:val="24"/>
          <w:szCs w:val="24"/>
          <w:lang w:eastAsia="zh-CN"/>
        </w:rPr>
        <w:t>网站列入</w:t>
      </w:r>
      <w:r>
        <w:rPr>
          <w:sz w:val="24"/>
          <w:szCs w:val="24"/>
          <w:u w:val="thick"/>
          <w:lang w:eastAsia="zh-CN"/>
        </w:rPr>
        <w:t>失信被执行人名单</w:t>
      </w:r>
      <w:r>
        <w:rPr>
          <w:sz w:val="24"/>
          <w:szCs w:val="24"/>
          <w:lang w:eastAsia="zh-CN"/>
        </w:rPr>
        <w:t>，提供</w:t>
      </w:r>
      <w:r>
        <w:rPr>
          <w:rFonts w:hint="eastAsia"/>
          <w:sz w:val="24"/>
          <w:szCs w:val="24"/>
          <w:lang w:eastAsia="zh-CN"/>
        </w:rPr>
        <w:t>“信用中国”或“中国执行信息公开网</w:t>
      </w:r>
      <w:r>
        <w:rPr>
          <w:sz w:val="24"/>
          <w:szCs w:val="24"/>
          <w:lang w:eastAsia="zh-CN"/>
        </w:rPr>
        <w:t>”查询</w:t>
      </w:r>
      <w:r>
        <w:rPr>
          <w:rFonts w:hint="eastAsia"/>
          <w:sz w:val="24"/>
          <w:szCs w:val="24"/>
          <w:lang w:eastAsia="zh-CN"/>
        </w:rPr>
        <w:t>结果；</w:t>
      </w:r>
    </w:p>
    <w:p w14:paraId="67D843A5">
      <w:pPr>
        <w:pStyle w:val="35"/>
        <w:numPr>
          <w:ilvl w:val="0"/>
          <w:numId w:val="22"/>
        </w:numPr>
        <w:snapToGrid w:val="0"/>
        <w:spacing w:line="360" w:lineRule="auto"/>
        <w:ind w:firstLine="480" w:firstLineChars="200"/>
        <w:jc w:val="both"/>
        <w:rPr>
          <w:sz w:val="24"/>
          <w:szCs w:val="24"/>
          <w:lang w:eastAsia="zh-CN"/>
        </w:rPr>
      </w:pPr>
      <w:r>
        <w:rPr>
          <w:rFonts w:hint="eastAsia"/>
          <w:sz w:val="24"/>
          <w:szCs w:val="24"/>
          <w:lang w:eastAsia="zh-CN"/>
        </w:rPr>
        <w:t>供应商未被工商行政管理机关在</w:t>
      </w:r>
      <w:r>
        <w:rPr>
          <w:rFonts w:hint="eastAsia"/>
          <w:b/>
          <w:bCs/>
          <w:sz w:val="24"/>
          <w:szCs w:val="24"/>
          <w:lang w:eastAsia="zh-CN"/>
        </w:rPr>
        <w:t>“国家企业信用信息公示系统”</w:t>
      </w:r>
      <w:r>
        <w:rPr>
          <w:rFonts w:hint="eastAsia"/>
          <w:sz w:val="24"/>
          <w:szCs w:val="24"/>
          <w:lang w:eastAsia="zh-CN"/>
        </w:rPr>
        <w:t>中列入</w:t>
      </w:r>
      <w:r>
        <w:rPr>
          <w:rFonts w:hint="eastAsia"/>
          <w:sz w:val="24"/>
          <w:szCs w:val="24"/>
          <w:u w:val="thick"/>
          <w:lang w:eastAsia="zh-CN"/>
        </w:rPr>
        <w:t>严重违法失信企业名单</w:t>
      </w:r>
      <w:r>
        <w:rPr>
          <w:rFonts w:hint="eastAsia"/>
          <w:sz w:val="24"/>
          <w:szCs w:val="24"/>
          <w:lang w:eastAsia="zh-CN"/>
        </w:rPr>
        <w:t>，提供“国家企业信用信息公示系统”查询结果截图。</w:t>
      </w:r>
    </w:p>
    <w:p w14:paraId="279AC62F">
      <w:pPr>
        <w:pStyle w:val="2"/>
        <w:ind w:firstLine="210"/>
        <w:rPr>
          <w:lang w:eastAsia="zh-CN"/>
        </w:rPr>
      </w:pPr>
    </w:p>
    <w:p w14:paraId="6652141B">
      <w:pPr>
        <w:spacing w:line="360" w:lineRule="auto"/>
        <w:ind w:firstLine="482" w:firstLineChars="200"/>
        <w:jc w:val="center"/>
        <w:rPr>
          <w:rFonts w:asciiTheme="minorEastAsia" w:hAnsiTheme="minorEastAsia"/>
          <w:b/>
          <w:sz w:val="24"/>
        </w:rPr>
        <w:sectPr>
          <w:pgSz w:w="11905" w:h="16838"/>
          <w:pgMar w:top="1417" w:right="1417" w:bottom="1417" w:left="1417" w:header="850" w:footer="992" w:gutter="0"/>
          <w:cols w:space="0" w:num="1"/>
          <w:docGrid w:type="lines" w:linePitch="318" w:charSpace="0"/>
        </w:sectPr>
      </w:pPr>
    </w:p>
    <w:bookmarkEnd w:id="250"/>
    <w:p w14:paraId="70FDCE1C">
      <w:pPr>
        <w:spacing w:before="240" w:line="360" w:lineRule="auto"/>
        <w:ind w:firstLine="482" w:firstLineChars="200"/>
        <w:rPr>
          <w:rFonts w:ascii="Times New Roman" w:hAnsi="Times New Roman" w:eastAsia="宋体" w:cs="Calibri"/>
          <w:b/>
          <w:bCs/>
          <w:kern w:val="0"/>
          <w:sz w:val="24"/>
        </w:rPr>
      </w:pPr>
      <w:bookmarkStart w:id="252" w:name="_Hlk181123516"/>
      <w:r>
        <w:rPr>
          <w:rFonts w:hint="eastAsia" w:ascii="Times New Roman" w:hAnsi="Times New Roman" w:eastAsia="宋体" w:cs="Calibri"/>
          <w:b/>
          <w:bCs/>
          <w:kern w:val="0"/>
          <w:sz w:val="24"/>
        </w:rPr>
        <w:t>（七）承担本项目的主要人员要求</w:t>
      </w:r>
    </w:p>
    <w:p w14:paraId="011211C6">
      <w:pPr>
        <w:spacing w:before="240" w:line="360" w:lineRule="auto"/>
        <w:ind w:firstLine="482" w:firstLineChars="200"/>
        <w:rPr>
          <w:rFonts w:ascii="Times New Roman" w:hAnsi="Times New Roman" w:eastAsia="宋体" w:cs="Calibri"/>
          <w:b/>
          <w:bCs/>
          <w:kern w:val="0"/>
          <w:sz w:val="24"/>
        </w:rPr>
      </w:pPr>
      <w:r>
        <w:rPr>
          <w:rFonts w:hint="eastAsia" w:ascii="Times New Roman" w:hAnsi="Times New Roman" w:eastAsia="宋体" w:cs="Calibri"/>
          <w:b/>
          <w:bCs/>
          <w:kern w:val="0"/>
          <w:sz w:val="24"/>
        </w:rPr>
        <w:t>7.1项目</w:t>
      </w:r>
      <w:r>
        <w:rPr>
          <w:rFonts w:ascii="Times New Roman" w:hAnsi="Times New Roman" w:eastAsia="宋体" w:cs="Calibri"/>
          <w:b/>
          <w:bCs/>
          <w:kern w:val="0"/>
          <w:sz w:val="24"/>
        </w:rPr>
        <w:t>负责人</w:t>
      </w:r>
      <w:r>
        <w:rPr>
          <w:rFonts w:hint="eastAsia" w:ascii="Times New Roman" w:hAnsi="Times New Roman" w:eastAsia="宋体" w:cs="Calibri"/>
          <w:b/>
          <w:bCs/>
          <w:kern w:val="0"/>
          <w:sz w:val="24"/>
        </w:rPr>
        <w:t>情</w:t>
      </w:r>
      <w:r>
        <w:rPr>
          <w:rFonts w:ascii="Times New Roman" w:hAnsi="Times New Roman" w:eastAsia="宋体" w:cs="Calibri"/>
          <w:b/>
          <w:bCs/>
          <w:kern w:val="0"/>
          <w:sz w:val="24"/>
        </w:rPr>
        <w:t>况表</w:t>
      </w:r>
      <w:r>
        <w:rPr>
          <w:rFonts w:hint="eastAsia" w:ascii="Times New Roman" w:hAnsi="Times New Roman" w:eastAsia="宋体" w:cs="Calibri"/>
          <w:b/>
          <w:bCs/>
          <w:kern w:val="0"/>
          <w:sz w:val="24"/>
        </w:rPr>
        <w:t>（如要求，格式仅供参考）</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7"/>
        <w:gridCol w:w="1547"/>
        <w:gridCol w:w="1547"/>
        <w:gridCol w:w="1547"/>
        <w:gridCol w:w="1549"/>
        <w:gridCol w:w="1550"/>
      </w:tblGrid>
      <w:tr w14:paraId="1DD70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Align w:val="center"/>
          </w:tcPr>
          <w:p w14:paraId="0C61D4E3">
            <w:pPr>
              <w:jc w:val="center"/>
              <w:rPr>
                <w:rFonts w:cs="黑体" w:asciiTheme="minorEastAsia" w:hAnsiTheme="minorEastAsia"/>
                <w:sz w:val="24"/>
              </w:rPr>
            </w:pPr>
            <w:r>
              <w:rPr>
                <w:rFonts w:hint="eastAsia" w:cs="黑体" w:asciiTheme="minorEastAsia" w:hAnsiTheme="minorEastAsia"/>
                <w:sz w:val="24"/>
              </w:rPr>
              <w:t>姓名</w:t>
            </w:r>
          </w:p>
        </w:tc>
        <w:tc>
          <w:tcPr>
            <w:tcW w:w="833" w:type="pct"/>
            <w:vAlign w:val="center"/>
          </w:tcPr>
          <w:p w14:paraId="41263BFC">
            <w:pPr>
              <w:jc w:val="center"/>
              <w:rPr>
                <w:rFonts w:cs="黑体" w:asciiTheme="minorEastAsia" w:hAnsiTheme="minorEastAsia"/>
                <w:sz w:val="24"/>
              </w:rPr>
            </w:pPr>
          </w:p>
        </w:tc>
        <w:tc>
          <w:tcPr>
            <w:tcW w:w="833" w:type="pct"/>
            <w:vAlign w:val="center"/>
          </w:tcPr>
          <w:p w14:paraId="7C4645D6">
            <w:pPr>
              <w:jc w:val="center"/>
              <w:rPr>
                <w:rFonts w:cs="黑体" w:asciiTheme="minorEastAsia" w:hAnsiTheme="minorEastAsia"/>
                <w:sz w:val="24"/>
              </w:rPr>
            </w:pPr>
            <w:r>
              <w:rPr>
                <w:rFonts w:hint="eastAsia" w:cs="黑体" w:asciiTheme="minorEastAsia" w:hAnsiTheme="minorEastAsia"/>
                <w:sz w:val="24"/>
              </w:rPr>
              <w:t>年龄</w:t>
            </w:r>
          </w:p>
        </w:tc>
        <w:tc>
          <w:tcPr>
            <w:tcW w:w="833" w:type="pct"/>
            <w:vAlign w:val="center"/>
          </w:tcPr>
          <w:p w14:paraId="076DD8C2">
            <w:pPr>
              <w:jc w:val="center"/>
              <w:rPr>
                <w:rFonts w:cs="黑体" w:asciiTheme="minorEastAsia" w:hAnsiTheme="minorEastAsia"/>
                <w:sz w:val="24"/>
              </w:rPr>
            </w:pPr>
          </w:p>
        </w:tc>
        <w:tc>
          <w:tcPr>
            <w:tcW w:w="834" w:type="pct"/>
            <w:vAlign w:val="center"/>
          </w:tcPr>
          <w:p w14:paraId="782F7DB4">
            <w:pPr>
              <w:jc w:val="center"/>
              <w:rPr>
                <w:rFonts w:cs="黑体" w:asciiTheme="minorEastAsia" w:hAnsiTheme="minorEastAsia"/>
                <w:sz w:val="24"/>
              </w:rPr>
            </w:pPr>
            <w:r>
              <w:rPr>
                <w:rFonts w:hint="eastAsia" w:cs="黑体" w:asciiTheme="minorEastAsia" w:hAnsiTheme="minorEastAsia"/>
                <w:sz w:val="24"/>
              </w:rPr>
              <w:t>执业或职业资格证书名称</w:t>
            </w:r>
          </w:p>
        </w:tc>
        <w:tc>
          <w:tcPr>
            <w:tcW w:w="834" w:type="pct"/>
            <w:vAlign w:val="center"/>
          </w:tcPr>
          <w:p w14:paraId="0EFC528B">
            <w:pPr>
              <w:jc w:val="center"/>
              <w:rPr>
                <w:rFonts w:cs="黑体" w:asciiTheme="minorEastAsia" w:hAnsiTheme="minorEastAsia"/>
                <w:sz w:val="24"/>
              </w:rPr>
            </w:pPr>
          </w:p>
        </w:tc>
      </w:tr>
      <w:tr w14:paraId="5EFFB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Align w:val="center"/>
          </w:tcPr>
          <w:p w14:paraId="1C47DFBD">
            <w:pPr>
              <w:jc w:val="center"/>
              <w:rPr>
                <w:rFonts w:cs="黑体" w:asciiTheme="minorEastAsia" w:hAnsiTheme="minorEastAsia"/>
                <w:sz w:val="24"/>
              </w:rPr>
            </w:pPr>
            <w:r>
              <w:rPr>
                <w:rFonts w:hint="eastAsia" w:cs="黑体" w:asciiTheme="minorEastAsia" w:hAnsiTheme="minorEastAsia"/>
                <w:sz w:val="24"/>
              </w:rPr>
              <w:t>职称</w:t>
            </w:r>
          </w:p>
        </w:tc>
        <w:tc>
          <w:tcPr>
            <w:tcW w:w="833" w:type="pct"/>
            <w:vAlign w:val="center"/>
          </w:tcPr>
          <w:p w14:paraId="77E6C5FE">
            <w:pPr>
              <w:jc w:val="center"/>
              <w:rPr>
                <w:rFonts w:cs="黑体" w:asciiTheme="minorEastAsia" w:hAnsiTheme="minorEastAsia"/>
                <w:sz w:val="24"/>
              </w:rPr>
            </w:pPr>
          </w:p>
        </w:tc>
        <w:tc>
          <w:tcPr>
            <w:tcW w:w="833" w:type="pct"/>
            <w:vAlign w:val="center"/>
          </w:tcPr>
          <w:p w14:paraId="144FC023">
            <w:pPr>
              <w:jc w:val="center"/>
              <w:rPr>
                <w:rFonts w:cs="黑体" w:asciiTheme="minorEastAsia" w:hAnsiTheme="minorEastAsia"/>
                <w:sz w:val="24"/>
              </w:rPr>
            </w:pPr>
            <w:r>
              <w:rPr>
                <w:rFonts w:hint="eastAsia" w:cs="黑体" w:asciiTheme="minorEastAsia" w:hAnsiTheme="minorEastAsia"/>
                <w:sz w:val="24"/>
              </w:rPr>
              <w:t>学历</w:t>
            </w:r>
          </w:p>
        </w:tc>
        <w:tc>
          <w:tcPr>
            <w:tcW w:w="833" w:type="pct"/>
            <w:vAlign w:val="center"/>
          </w:tcPr>
          <w:p w14:paraId="3C4135CC">
            <w:pPr>
              <w:jc w:val="center"/>
              <w:rPr>
                <w:rFonts w:cs="黑体" w:asciiTheme="minorEastAsia" w:hAnsiTheme="minorEastAsia"/>
                <w:sz w:val="24"/>
              </w:rPr>
            </w:pPr>
          </w:p>
        </w:tc>
        <w:tc>
          <w:tcPr>
            <w:tcW w:w="834" w:type="pct"/>
            <w:vAlign w:val="center"/>
          </w:tcPr>
          <w:p w14:paraId="36C15569">
            <w:pPr>
              <w:jc w:val="center"/>
              <w:rPr>
                <w:rFonts w:cs="黑体" w:asciiTheme="minorEastAsia" w:hAnsiTheme="minorEastAsia"/>
                <w:sz w:val="24"/>
              </w:rPr>
            </w:pPr>
            <w:r>
              <w:rPr>
                <w:rFonts w:hint="eastAsia" w:cs="黑体" w:asciiTheme="minorEastAsia" w:hAnsiTheme="minorEastAsia"/>
                <w:sz w:val="24"/>
              </w:rPr>
              <w:t>拟在本项目任职</w:t>
            </w:r>
          </w:p>
        </w:tc>
        <w:tc>
          <w:tcPr>
            <w:tcW w:w="834" w:type="pct"/>
            <w:vAlign w:val="center"/>
          </w:tcPr>
          <w:p w14:paraId="780D0717">
            <w:pPr>
              <w:jc w:val="center"/>
              <w:rPr>
                <w:rFonts w:cs="黑体" w:asciiTheme="minorEastAsia" w:hAnsiTheme="minorEastAsia"/>
                <w:sz w:val="24"/>
              </w:rPr>
            </w:pPr>
          </w:p>
        </w:tc>
      </w:tr>
      <w:tr w14:paraId="3EC3B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Align w:val="center"/>
          </w:tcPr>
          <w:p w14:paraId="3254F5B4">
            <w:pPr>
              <w:jc w:val="center"/>
              <w:rPr>
                <w:rFonts w:cs="黑体" w:asciiTheme="minorEastAsia" w:hAnsiTheme="minorEastAsia"/>
                <w:sz w:val="24"/>
              </w:rPr>
            </w:pPr>
            <w:r>
              <w:rPr>
                <w:rFonts w:hint="eastAsia" w:cs="黑体" w:asciiTheme="minorEastAsia" w:hAnsiTheme="minorEastAsia"/>
                <w:sz w:val="24"/>
              </w:rPr>
              <w:t>工作年限</w:t>
            </w:r>
          </w:p>
        </w:tc>
        <w:tc>
          <w:tcPr>
            <w:tcW w:w="2499" w:type="pct"/>
            <w:gridSpan w:val="3"/>
            <w:vAlign w:val="center"/>
          </w:tcPr>
          <w:p w14:paraId="2AD7C781">
            <w:pPr>
              <w:jc w:val="center"/>
              <w:rPr>
                <w:rFonts w:cs="黑体" w:asciiTheme="minorEastAsia" w:hAnsiTheme="minorEastAsia"/>
                <w:sz w:val="24"/>
              </w:rPr>
            </w:pPr>
          </w:p>
        </w:tc>
        <w:tc>
          <w:tcPr>
            <w:tcW w:w="834" w:type="pct"/>
            <w:vAlign w:val="center"/>
          </w:tcPr>
          <w:p w14:paraId="3B57EA63">
            <w:pPr>
              <w:jc w:val="center"/>
              <w:rPr>
                <w:rFonts w:cs="黑体" w:asciiTheme="minorEastAsia" w:hAnsiTheme="minorEastAsia"/>
                <w:sz w:val="24"/>
              </w:rPr>
            </w:pPr>
            <w:r>
              <w:rPr>
                <w:rFonts w:hint="eastAsia" w:cs="黑体" w:asciiTheme="minorEastAsia" w:hAnsiTheme="minorEastAsia"/>
                <w:sz w:val="24"/>
              </w:rPr>
              <w:t>从事类似工作年限</w:t>
            </w:r>
          </w:p>
        </w:tc>
        <w:tc>
          <w:tcPr>
            <w:tcW w:w="834" w:type="pct"/>
            <w:vAlign w:val="center"/>
          </w:tcPr>
          <w:p w14:paraId="41EDB031">
            <w:pPr>
              <w:jc w:val="center"/>
              <w:rPr>
                <w:rFonts w:cs="黑体" w:asciiTheme="minorEastAsia" w:hAnsiTheme="minorEastAsia"/>
                <w:sz w:val="24"/>
              </w:rPr>
            </w:pPr>
          </w:p>
        </w:tc>
      </w:tr>
      <w:tr w14:paraId="66475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3" w:type="pct"/>
            <w:vAlign w:val="center"/>
          </w:tcPr>
          <w:p w14:paraId="46FBF0F1">
            <w:pPr>
              <w:jc w:val="center"/>
              <w:rPr>
                <w:rFonts w:cs="黑体" w:asciiTheme="minorEastAsia" w:hAnsiTheme="minorEastAsia"/>
                <w:sz w:val="24"/>
              </w:rPr>
            </w:pPr>
            <w:r>
              <w:rPr>
                <w:rFonts w:hint="eastAsia" w:cs="黑体" w:asciiTheme="minorEastAsia" w:hAnsiTheme="minorEastAsia"/>
                <w:sz w:val="24"/>
              </w:rPr>
              <w:t>毕业学校</w:t>
            </w:r>
          </w:p>
        </w:tc>
        <w:tc>
          <w:tcPr>
            <w:tcW w:w="4167" w:type="pct"/>
            <w:gridSpan w:val="5"/>
            <w:vAlign w:val="center"/>
          </w:tcPr>
          <w:p w14:paraId="38FA0846">
            <w:pPr>
              <w:jc w:val="center"/>
              <w:rPr>
                <w:rFonts w:cs="黑体" w:asciiTheme="minorEastAsia" w:hAnsiTheme="minorEastAsia"/>
                <w:sz w:val="24"/>
              </w:rPr>
            </w:pPr>
            <w:r>
              <w:rPr>
                <w:rFonts w:hint="eastAsia" w:cs="黑体" w:asciiTheme="minorEastAsia" w:hAnsiTheme="minorEastAsia"/>
                <w:sz w:val="24"/>
              </w:rPr>
              <w:t>年毕业于          学校      专业</w:t>
            </w:r>
          </w:p>
        </w:tc>
      </w:tr>
      <w:tr w14:paraId="2CCBB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5000" w:type="pct"/>
            <w:gridSpan w:val="6"/>
          </w:tcPr>
          <w:p w14:paraId="77940C4E">
            <w:pPr>
              <w:jc w:val="center"/>
              <w:rPr>
                <w:rFonts w:cs="黑体" w:asciiTheme="minorEastAsia" w:hAnsiTheme="minorEastAsia"/>
                <w:sz w:val="24"/>
              </w:rPr>
            </w:pPr>
            <w:r>
              <w:rPr>
                <w:rFonts w:hint="eastAsia" w:cs="黑体" w:asciiTheme="minorEastAsia" w:hAnsiTheme="minorEastAsia"/>
                <w:sz w:val="24"/>
              </w:rPr>
              <w:t>主要工作经历</w:t>
            </w:r>
          </w:p>
        </w:tc>
      </w:tr>
      <w:tr w14:paraId="081FF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Align w:val="center"/>
          </w:tcPr>
          <w:p w14:paraId="637D5E28">
            <w:pPr>
              <w:jc w:val="center"/>
              <w:rPr>
                <w:rFonts w:cs="黑体" w:asciiTheme="minorEastAsia" w:hAnsiTheme="minorEastAsia"/>
                <w:sz w:val="24"/>
              </w:rPr>
            </w:pPr>
            <w:r>
              <w:rPr>
                <w:rFonts w:hint="eastAsia" w:cs="黑体" w:asciiTheme="minorEastAsia" w:hAnsiTheme="minorEastAsia"/>
                <w:sz w:val="24"/>
              </w:rPr>
              <w:t>时间</w:t>
            </w:r>
          </w:p>
        </w:tc>
        <w:tc>
          <w:tcPr>
            <w:tcW w:w="833" w:type="pct"/>
            <w:vAlign w:val="center"/>
          </w:tcPr>
          <w:p w14:paraId="31137A85">
            <w:pPr>
              <w:jc w:val="center"/>
              <w:rPr>
                <w:rFonts w:cs="黑体" w:asciiTheme="minorEastAsia" w:hAnsiTheme="minorEastAsia"/>
                <w:sz w:val="24"/>
              </w:rPr>
            </w:pPr>
            <w:r>
              <w:rPr>
                <w:rFonts w:hint="eastAsia" w:cs="黑体" w:asciiTheme="minorEastAsia" w:hAnsiTheme="minorEastAsia"/>
                <w:sz w:val="24"/>
              </w:rPr>
              <w:t>参加过的类似项目</w:t>
            </w:r>
          </w:p>
        </w:tc>
        <w:tc>
          <w:tcPr>
            <w:tcW w:w="833" w:type="pct"/>
            <w:vAlign w:val="center"/>
          </w:tcPr>
          <w:p w14:paraId="775FA6ED">
            <w:pPr>
              <w:jc w:val="center"/>
              <w:rPr>
                <w:rFonts w:cs="黑体" w:asciiTheme="minorEastAsia" w:hAnsiTheme="minorEastAsia"/>
                <w:sz w:val="24"/>
              </w:rPr>
            </w:pPr>
            <w:r>
              <w:rPr>
                <w:rFonts w:hint="eastAsia" w:cs="黑体" w:asciiTheme="minorEastAsia" w:hAnsiTheme="minorEastAsia"/>
                <w:sz w:val="24"/>
              </w:rPr>
              <w:t>担任职务</w:t>
            </w:r>
          </w:p>
        </w:tc>
        <w:tc>
          <w:tcPr>
            <w:tcW w:w="2502" w:type="pct"/>
            <w:gridSpan w:val="3"/>
            <w:vAlign w:val="center"/>
          </w:tcPr>
          <w:p w14:paraId="60C766E8">
            <w:pPr>
              <w:jc w:val="center"/>
              <w:rPr>
                <w:rFonts w:cs="黑体" w:asciiTheme="minorEastAsia" w:hAnsiTheme="minorEastAsia"/>
                <w:sz w:val="24"/>
              </w:rPr>
            </w:pPr>
            <w:r>
              <w:rPr>
                <w:rFonts w:hint="eastAsia" w:cs="黑体" w:asciiTheme="minorEastAsia" w:hAnsiTheme="minorEastAsia"/>
                <w:sz w:val="24"/>
              </w:rPr>
              <w:t>发包人及联系电话</w:t>
            </w:r>
          </w:p>
        </w:tc>
      </w:tr>
      <w:tr w14:paraId="73214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tcPr>
          <w:p w14:paraId="526D60AE">
            <w:pPr>
              <w:rPr>
                <w:rFonts w:cs="黑体" w:asciiTheme="minorEastAsia" w:hAnsiTheme="minorEastAsia"/>
                <w:sz w:val="24"/>
              </w:rPr>
            </w:pPr>
          </w:p>
        </w:tc>
        <w:tc>
          <w:tcPr>
            <w:tcW w:w="833" w:type="pct"/>
          </w:tcPr>
          <w:p w14:paraId="06507B42">
            <w:pPr>
              <w:rPr>
                <w:rFonts w:cs="黑体" w:asciiTheme="minorEastAsia" w:hAnsiTheme="minorEastAsia"/>
                <w:sz w:val="24"/>
              </w:rPr>
            </w:pPr>
          </w:p>
        </w:tc>
        <w:tc>
          <w:tcPr>
            <w:tcW w:w="833" w:type="pct"/>
          </w:tcPr>
          <w:p w14:paraId="4DCFC625">
            <w:pPr>
              <w:rPr>
                <w:rFonts w:cs="黑体" w:asciiTheme="minorEastAsia" w:hAnsiTheme="minorEastAsia"/>
                <w:sz w:val="24"/>
              </w:rPr>
            </w:pPr>
          </w:p>
        </w:tc>
        <w:tc>
          <w:tcPr>
            <w:tcW w:w="2502" w:type="pct"/>
            <w:gridSpan w:val="3"/>
          </w:tcPr>
          <w:p w14:paraId="0E447CAB">
            <w:pPr>
              <w:rPr>
                <w:rFonts w:cs="黑体" w:asciiTheme="minorEastAsia" w:hAnsiTheme="minorEastAsia"/>
                <w:sz w:val="24"/>
              </w:rPr>
            </w:pPr>
          </w:p>
        </w:tc>
      </w:tr>
      <w:tr w14:paraId="5EFB7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tcPr>
          <w:p w14:paraId="6AD6F1FE">
            <w:pPr>
              <w:rPr>
                <w:rFonts w:cs="黑体" w:asciiTheme="minorEastAsia" w:hAnsiTheme="minorEastAsia"/>
                <w:sz w:val="24"/>
              </w:rPr>
            </w:pPr>
          </w:p>
        </w:tc>
        <w:tc>
          <w:tcPr>
            <w:tcW w:w="833" w:type="pct"/>
          </w:tcPr>
          <w:p w14:paraId="20FFCB87">
            <w:pPr>
              <w:rPr>
                <w:rFonts w:cs="黑体" w:asciiTheme="minorEastAsia" w:hAnsiTheme="minorEastAsia"/>
                <w:sz w:val="24"/>
              </w:rPr>
            </w:pPr>
          </w:p>
        </w:tc>
        <w:tc>
          <w:tcPr>
            <w:tcW w:w="833" w:type="pct"/>
          </w:tcPr>
          <w:p w14:paraId="7DDEF044">
            <w:pPr>
              <w:rPr>
                <w:rFonts w:cs="黑体" w:asciiTheme="minorEastAsia" w:hAnsiTheme="minorEastAsia"/>
                <w:sz w:val="24"/>
              </w:rPr>
            </w:pPr>
          </w:p>
        </w:tc>
        <w:tc>
          <w:tcPr>
            <w:tcW w:w="2502" w:type="pct"/>
            <w:gridSpan w:val="3"/>
          </w:tcPr>
          <w:p w14:paraId="10201925">
            <w:pPr>
              <w:rPr>
                <w:rFonts w:cs="黑体" w:asciiTheme="minorEastAsia" w:hAnsiTheme="minorEastAsia"/>
                <w:sz w:val="24"/>
              </w:rPr>
            </w:pPr>
          </w:p>
        </w:tc>
      </w:tr>
      <w:tr w14:paraId="3497F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tcPr>
          <w:p w14:paraId="5DCA0D9F">
            <w:pPr>
              <w:rPr>
                <w:rFonts w:cs="黑体" w:asciiTheme="minorEastAsia" w:hAnsiTheme="minorEastAsia"/>
                <w:sz w:val="24"/>
              </w:rPr>
            </w:pPr>
          </w:p>
        </w:tc>
        <w:tc>
          <w:tcPr>
            <w:tcW w:w="833" w:type="pct"/>
          </w:tcPr>
          <w:p w14:paraId="035C902E">
            <w:pPr>
              <w:rPr>
                <w:rFonts w:cs="黑体" w:asciiTheme="minorEastAsia" w:hAnsiTheme="minorEastAsia"/>
                <w:sz w:val="24"/>
              </w:rPr>
            </w:pPr>
          </w:p>
        </w:tc>
        <w:tc>
          <w:tcPr>
            <w:tcW w:w="833" w:type="pct"/>
          </w:tcPr>
          <w:p w14:paraId="2AFDC2E7">
            <w:pPr>
              <w:rPr>
                <w:rFonts w:cs="黑体" w:asciiTheme="minorEastAsia" w:hAnsiTheme="minorEastAsia"/>
                <w:sz w:val="24"/>
              </w:rPr>
            </w:pPr>
          </w:p>
        </w:tc>
        <w:tc>
          <w:tcPr>
            <w:tcW w:w="2502" w:type="pct"/>
            <w:gridSpan w:val="3"/>
          </w:tcPr>
          <w:p w14:paraId="57E78C36">
            <w:pPr>
              <w:rPr>
                <w:rFonts w:cs="黑体" w:asciiTheme="minorEastAsia" w:hAnsiTheme="minorEastAsia"/>
                <w:sz w:val="24"/>
              </w:rPr>
            </w:pPr>
          </w:p>
        </w:tc>
      </w:tr>
      <w:tr w14:paraId="194D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3" w:type="pct"/>
          </w:tcPr>
          <w:p w14:paraId="6E24EF78">
            <w:pPr>
              <w:rPr>
                <w:rFonts w:cs="黑体" w:asciiTheme="minorEastAsia" w:hAnsiTheme="minorEastAsia"/>
                <w:sz w:val="24"/>
              </w:rPr>
            </w:pPr>
          </w:p>
        </w:tc>
        <w:tc>
          <w:tcPr>
            <w:tcW w:w="833" w:type="pct"/>
          </w:tcPr>
          <w:p w14:paraId="638F4BFC">
            <w:pPr>
              <w:rPr>
                <w:rFonts w:cs="黑体" w:asciiTheme="minorEastAsia" w:hAnsiTheme="minorEastAsia"/>
                <w:sz w:val="24"/>
              </w:rPr>
            </w:pPr>
          </w:p>
        </w:tc>
        <w:tc>
          <w:tcPr>
            <w:tcW w:w="833" w:type="pct"/>
          </w:tcPr>
          <w:p w14:paraId="063B6BB4">
            <w:pPr>
              <w:rPr>
                <w:rFonts w:cs="黑体" w:asciiTheme="minorEastAsia" w:hAnsiTheme="minorEastAsia"/>
                <w:sz w:val="24"/>
              </w:rPr>
            </w:pPr>
          </w:p>
        </w:tc>
        <w:tc>
          <w:tcPr>
            <w:tcW w:w="2502" w:type="pct"/>
            <w:gridSpan w:val="3"/>
          </w:tcPr>
          <w:p w14:paraId="19F12D61">
            <w:pPr>
              <w:rPr>
                <w:rFonts w:cs="黑体" w:asciiTheme="minorEastAsia" w:hAnsiTheme="minorEastAsia"/>
                <w:sz w:val="24"/>
              </w:rPr>
            </w:pPr>
          </w:p>
        </w:tc>
      </w:tr>
      <w:tr w14:paraId="0149A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tcPr>
          <w:p w14:paraId="55E9701B">
            <w:pPr>
              <w:rPr>
                <w:rFonts w:cs="黑体" w:asciiTheme="minorEastAsia" w:hAnsiTheme="minorEastAsia"/>
                <w:sz w:val="24"/>
              </w:rPr>
            </w:pPr>
          </w:p>
        </w:tc>
        <w:tc>
          <w:tcPr>
            <w:tcW w:w="833" w:type="pct"/>
          </w:tcPr>
          <w:p w14:paraId="5BB96165">
            <w:pPr>
              <w:rPr>
                <w:rFonts w:cs="黑体" w:asciiTheme="minorEastAsia" w:hAnsiTheme="minorEastAsia"/>
                <w:sz w:val="24"/>
              </w:rPr>
            </w:pPr>
          </w:p>
        </w:tc>
        <w:tc>
          <w:tcPr>
            <w:tcW w:w="833" w:type="pct"/>
          </w:tcPr>
          <w:p w14:paraId="135B9452">
            <w:pPr>
              <w:rPr>
                <w:rFonts w:cs="黑体" w:asciiTheme="minorEastAsia" w:hAnsiTheme="minorEastAsia"/>
                <w:sz w:val="24"/>
              </w:rPr>
            </w:pPr>
          </w:p>
        </w:tc>
        <w:tc>
          <w:tcPr>
            <w:tcW w:w="2502" w:type="pct"/>
            <w:gridSpan w:val="3"/>
          </w:tcPr>
          <w:p w14:paraId="1B16E044">
            <w:pPr>
              <w:rPr>
                <w:rFonts w:cs="黑体" w:asciiTheme="minorEastAsia" w:hAnsiTheme="minorEastAsia"/>
                <w:sz w:val="24"/>
              </w:rPr>
            </w:pPr>
          </w:p>
        </w:tc>
      </w:tr>
      <w:tr w14:paraId="0EB01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tcPr>
          <w:p w14:paraId="1F937A8E">
            <w:pPr>
              <w:rPr>
                <w:rFonts w:cs="黑体" w:asciiTheme="minorEastAsia" w:hAnsiTheme="minorEastAsia"/>
                <w:sz w:val="24"/>
              </w:rPr>
            </w:pPr>
          </w:p>
        </w:tc>
        <w:tc>
          <w:tcPr>
            <w:tcW w:w="833" w:type="pct"/>
          </w:tcPr>
          <w:p w14:paraId="02C83C71">
            <w:pPr>
              <w:rPr>
                <w:rFonts w:cs="黑体" w:asciiTheme="minorEastAsia" w:hAnsiTheme="minorEastAsia"/>
                <w:sz w:val="24"/>
              </w:rPr>
            </w:pPr>
          </w:p>
        </w:tc>
        <w:tc>
          <w:tcPr>
            <w:tcW w:w="833" w:type="pct"/>
          </w:tcPr>
          <w:p w14:paraId="69C36D21">
            <w:pPr>
              <w:rPr>
                <w:rFonts w:cs="黑体" w:asciiTheme="minorEastAsia" w:hAnsiTheme="minorEastAsia"/>
                <w:sz w:val="24"/>
              </w:rPr>
            </w:pPr>
          </w:p>
        </w:tc>
        <w:tc>
          <w:tcPr>
            <w:tcW w:w="2502" w:type="pct"/>
            <w:gridSpan w:val="3"/>
          </w:tcPr>
          <w:p w14:paraId="132AC209">
            <w:pPr>
              <w:rPr>
                <w:rFonts w:cs="黑体" w:asciiTheme="minorEastAsia" w:hAnsiTheme="minorEastAsia"/>
                <w:sz w:val="24"/>
              </w:rPr>
            </w:pPr>
          </w:p>
        </w:tc>
      </w:tr>
    </w:tbl>
    <w:p w14:paraId="59EC778C">
      <w:pPr>
        <w:pStyle w:val="3"/>
        <w:adjustRightInd w:val="0"/>
        <w:snapToGrid w:val="0"/>
        <w:spacing w:line="360" w:lineRule="auto"/>
        <w:ind w:firstLine="480" w:firstLineChars="200"/>
        <w:rPr>
          <w:spacing w:val="-6"/>
          <w:sz w:val="24"/>
          <w:szCs w:val="24"/>
          <w:lang w:eastAsia="zh-CN"/>
        </w:rPr>
      </w:pPr>
      <w:r>
        <w:rPr>
          <w:rFonts w:cs="黑体" w:asciiTheme="minorEastAsia" w:hAnsiTheme="minorEastAsia"/>
          <w:sz w:val="24"/>
          <w:lang w:eastAsia="zh-CN"/>
        </w:rPr>
        <w:t>注</w:t>
      </w:r>
      <w:r>
        <w:rPr>
          <w:rFonts w:hint="eastAsia" w:cs="黑体" w:asciiTheme="minorEastAsia" w:hAnsiTheme="minorEastAsia"/>
          <w:sz w:val="24"/>
          <w:lang w:eastAsia="zh-CN"/>
        </w:rPr>
        <w:t>：</w:t>
      </w:r>
      <w:r>
        <w:rPr>
          <w:rFonts w:hint="eastAsia"/>
          <w:sz w:val="24"/>
          <w:lang w:eastAsia="zh-CN"/>
        </w:rPr>
        <w:t>详见采购公告人员要求，</w:t>
      </w:r>
      <w:r>
        <w:rPr>
          <w:rFonts w:cs="黑体" w:asciiTheme="minorEastAsia" w:hAnsiTheme="minorEastAsia"/>
          <w:sz w:val="24"/>
          <w:lang w:eastAsia="zh-CN"/>
        </w:rPr>
        <w:t>供应商应根据供应商须知前附表第3.5</w:t>
      </w:r>
      <w:r>
        <w:rPr>
          <w:rFonts w:hint="eastAsia" w:cs="黑体" w:asciiTheme="minorEastAsia" w:hAnsiTheme="minorEastAsia"/>
          <w:sz w:val="24"/>
          <w:lang w:eastAsia="zh-CN"/>
        </w:rPr>
        <w:t>.1</w:t>
      </w:r>
      <w:r>
        <w:rPr>
          <w:rFonts w:cs="黑体" w:asciiTheme="minorEastAsia" w:hAnsiTheme="minorEastAsia"/>
          <w:sz w:val="24"/>
          <w:lang w:eastAsia="zh-CN"/>
        </w:rPr>
        <w:t xml:space="preserve"> (6) 项的要求在本表后附相关证明材料。</w:t>
      </w:r>
      <w:r>
        <w:rPr>
          <w:rFonts w:hint="eastAsia"/>
          <w:spacing w:val="-6"/>
          <w:sz w:val="24"/>
          <w:szCs w:val="24"/>
          <w:lang w:eastAsia="zh-CN"/>
        </w:rPr>
        <w:t>项</w:t>
      </w:r>
      <w:r>
        <w:rPr>
          <w:spacing w:val="-6"/>
          <w:sz w:val="24"/>
          <w:szCs w:val="24"/>
          <w:lang w:eastAsia="zh-CN"/>
        </w:rPr>
        <w:t>目负责</w:t>
      </w:r>
      <w:r>
        <w:rPr>
          <w:rFonts w:hint="eastAsia"/>
          <w:spacing w:val="-6"/>
          <w:sz w:val="24"/>
          <w:szCs w:val="24"/>
          <w:lang w:eastAsia="zh-CN"/>
        </w:rPr>
        <w:t>人</w:t>
      </w:r>
      <w:r>
        <w:rPr>
          <w:spacing w:val="-6"/>
          <w:sz w:val="24"/>
          <w:szCs w:val="24"/>
          <w:lang w:eastAsia="zh-CN"/>
        </w:rPr>
        <w:t>证明</w:t>
      </w:r>
      <w:r>
        <w:rPr>
          <w:rFonts w:hint="eastAsia"/>
          <w:spacing w:val="-6"/>
          <w:sz w:val="24"/>
          <w:szCs w:val="24"/>
          <w:lang w:eastAsia="zh-CN"/>
        </w:rPr>
        <w:t>材</w:t>
      </w:r>
      <w:r>
        <w:rPr>
          <w:spacing w:val="-6"/>
          <w:sz w:val="24"/>
          <w:szCs w:val="24"/>
          <w:lang w:eastAsia="zh-CN"/>
        </w:rPr>
        <w:t>料：</w:t>
      </w:r>
      <w:r>
        <w:rPr>
          <w:b/>
          <w:spacing w:val="-6"/>
          <w:sz w:val="24"/>
          <w:szCs w:val="24"/>
          <w:lang w:eastAsia="zh-CN"/>
        </w:rPr>
        <w:t>如</w:t>
      </w:r>
      <w:r>
        <w:rPr>
          <w:b/>
          <w:spacing w:val="-6"/>
          <w:sz w:val="24"/>
          <w:szCs w:val="24"/>
          <w:u w:val="single"/>
          <w:lang w:eastAsia="zh-CN"/>
        </w:rPr>
        <w:t>职称证书、工作履历（形式不限）、</w:t>
      </w:r>
      <w:r>
        <w:rPr>
          <w:rFonts w:hint="eastAsia"/>
          <w:b/>
          <w:spacing w:val="-6"/>
          <w:sz w:val="24"/>
          <w:szCs w:val="24"/>
          <w:u w:val="single"/>
          <w:lang w:eastAsia="zh-CN"/>
        </w:rPr>
        <w:t>学历或学位证书等证明材料</w:t>
      </w:r>
      <w:r>
        <w:rPr>
          <w:rFonts w:hint="eastAsia"/>
          <w:spacing w:val="-6"/>
          <w:sz w:val="24"/>
          <w:szCs w:val="24"/>
          <w:lang w:eastAsia="zh-CN"/>
        </w:rPr>
        <w:t>，评审办法中有其它要求的证明材料按评审办法要求提供。</w:t>
      </w:r>
    </w:p>
    <w:p w14:paraId="60662E45">
      <w:pPr>
        <w:widowControl/>
        <w:ind w:firstLine="482" w:firstLineChars="200"/>
        <w:jc w:val="left"/>
        <w:rPr>
          <w:rFonts w:ascii="Times New Roman" w:hAnsi="Times New Roman" w:eastAsia="宋体" w:cs="Calibri"/>
          <w:b/>
          <w:bCs/>
          <w:kern w:val="0"/>
          <w:sz w:val="24"/>
        </w:rPr>
      </w:pPr>
      <w:r>
        <w:rPr>
          <w:rFonts w:ascii="Times New Roman" w:hAnsi="Times New Roman" w:eastAsia="宋体" w:cs="Calibri"/>
          <w:b/>
          <w:bCs/>
          <w:kern w:val="0"/>
          <w:sz w:val="24"/>
        </w:rPr>
        <w:br w:type="page"/>
      </w:r>
    </w:p>
    <w:p w14:paraId="36065DEB">
      <w:pPr>
        <w:spacing w:before="240" w:line="360" w:lineRule="auto"/>
        <w:ind w:firstLine="482" w:firstLineChars="200"/>
        <w:rPr>
          <w:rFonts w:ascii="Times New Roman" w:hAnsi="Times New Roman" w:eastAsia="宋体" w:cs="Calibri"/>
          <w:b/>
          <w:bCs/>
          <w:kern w:val="0"/>
          <w:sz w:val="24"/>
        </w:rPr>
      </w:pPr>
      <w:r>
        <w:rPr>
          <w:rFonts w:hint="eastAsia" w:ascii="Times New Roman" w:hAnsi="Times New Roman" w:eastAsia="宋体" w:cs="Calibri"/>
          <w:b/>
          <w:bCs/>
          <w:kern w:val="0"/>
          <w:sz w:val="24"/>
        </w:rPr>
        <w:t>7.2拟派本项目服务团队一览表（如要求，格式仅供参考）</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61"/>
        <w:gridCol w:w="861"/>
        <w:gridCol w:w="558"/>
        <w:gridCol w:w="592"/>
        <w:gridCol w:w="983"/>
        <w:gridCol w:w="908"/>
        <w:gridCol w:w="948"/>
        <w:gridCol w:w="1304"/>
        <w:gridCol w:w="698"/>
        <w:gridCol w:w="681"/>
        <w:gridCol w:w="687"/>
      </w:tblGrid>
      <w:tr w14:paraId="4C54F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7" w:hRule="atLeast"/>
          <w:jc w:val="center"/>
        </w:trPr>
        <w:tc>
          <w:tcPr>
            <w:tcW w:w="474" w:type="pct"/>
            <w:vAlign w:val="center"/>
          </w:tcPr>
          <w:p w14:paraId="13AFF261">
            <w:pPr>
              <w:rPr>
                <w:rFonts w:ascii="宋体" w:hAnsi="宋体" w:eastAsia="宋体" w:cs="宋体"/>
                <w:b/>
                <w:kern w:val="0"/>
                <w:sz w:val="24"/>
                <w:lang w:eastAsia="en-US"/>
              </w:rPr>
            </w:pPr>
            <w:r>
              <w:rPr>
                <w:rFonts w:hint="eastAsia" w:ascii="宋体" w:hAnsi="宋体" w:eastAsia="宋体" w:cs="宋体"/>
                <w:b/>
                <w:kern w:val="0"/>
                <w:sz w:val="24"/>
              </w:rPr>
              <w:t>序号</w:t>
            </w:r>
          </w:p>
        </w:tc>
        <w:tc>
          <w:tcPr>
            <w:tcW w:w="474" w:type="pct"/>
            <w:vAlign w:val="center"/>
          </w:tcPr>
          <w:p w14:paraId="7F9B344C">
            <w:pPr>
              <w:rPr>
                <w:rFonts w:ascii="宋体" w:hAnsi="宋体" w:eastAsia="宋体" w:cs="宋体"/>
                <w:b/>
                <w:kern w:val="0"/>
                <w:sz w:val="24"/>
              </w:rPr>
            </w:pPr>
            <w:r>
              <w:rPr>
                <w:rFonts w:ascii="宋体" w:hAnsi="宋体" w:eastAsia="宋体" w:cs="宋体"/>
                <w:b/>
                <w:kern w:val="0"/>
                <w:sz w:val="24"/>
                <w:lang w:eastAsia="en-US"/>
              </w:rPr>
              <w:t>工作</w:t>
            </w:r>
            <w:r>
              <w:rPr>
                <w:rFonts w:hint="eastAsia" w:ascii="宋体" w:hAnsi="宋体" w:eastAsia="宋体" w:cs="宋体"/>
                <w:b/>
                <w:kern w:val="0"/>
                <w:sz w:val="24"/>
              </w:rPr>
              <w:t>岗位</w:t>
            </w:r>
          </w:p>
        </w:tc>
        <w:tc>
          <w:tcPr>
            <w:tcW w:w="307" w:type="pct"/>
            <w:vAlign w:val="center"/>
          </w:tcPr>
          <w:p w14:paraId="7EF7C18F">
            <w:pPr>
              <w:rPr>
                <w:rFonts w:ascii="宋体" w:hAnsi="宋体" w:eastAsia="宋体" w:cs="宋体"/>
                <w:b/>
                <w:kern w:val="0"/>
                <w:sz w:val="24"/>
                <w:lang w:eastAsia="en-US"/>
              </w:rPr>
            </w:pPr>
            <w:r>
              <w:rPr>
                <w:rFonts w:ascii="宋体" w:hAnsi="宋体" w:eastAsia="宋体" w:cs="宋体"/>
                <w:b/>
                <w:kern w:val="0"/>
                <w:sz w:val="24"/>
                <w:lang w:eastAsia="en-US"/>
              </w:rPr>
              <w:t>姓名</w:t>
            </w:r>
          </w:p>
        </w:tc>
        <w:tc>
          <w:tcPr>
            <w:tcW w:w="326" w:type="pct"/>
            <w:vAlign w:val="center"/>
          </w:tcPr>
          <w:p w14:paraId="755536B0">
            <w:pPr>
              <w:rPr>
                <w:rFonts w:ascii="宋体" w:hAnsi="宋体" w:eastAsia="宋体" w:cs="宋体"/>
                <w:b/>
                <w:kern w:val="0"/>
                <w:sz w:val="24"/>
                <w:lang w:eastAsia="en-US"/>
              </w:rPr>
            </w:pPr>
            <w:r>
              <w:rPr>
                <w:rFonts w:ascii="宋体" w:hAnsi="宋体" w:eastAsia="宋体" w:cs="宋体"/>
                <w:b/>
                <w:kern w:val="0"/>
                <w:sz w:val="24"/>
                <w:lang w:eastAsia="en-US"/>
              </w:rPr>
              <w:t>职务</w:t>
            </w:r>
          </w:p>
        </w:tc>
        <w:tc>
          <w:tcPr>
            <w:tcW w:w="541" w:type="pct"/>
            <w:vAlign w:val="center"/>
          </w:tcPr>
          <w:p w14:paraId="0D9DABA9">
            <w:pPr>
              <w:rPr>
                <w:rFonts w:ascii="宋体" w:hAnsi="宋体" w:eastAsia="宋体" w:cs="宋体"/>
                <w:b/>
                <w:kern w:val="0"/>
                <w:sz w:val="24"/>
              </w:rPr>
            </w:pPr>
            <w:r>
              <w:rPr>
                <w:rFonts w:hint="eastAsia" w:ascii="宋体" w:hAnsi="宋体" w:eastAsia="宋体" w:cs="宋体"/>
                <w:b/>
                <w:kern w:val="0"/>
                <w:sz w:val="24"/>
              </w:rPr>
              <w:t>职称</w:t>
            </w:r>
          </w:p>
          <w:p w14:paraId="7D2E6877">
            <w:pPr>
              <w:rPr>
                <w:rFonts w:ascii="宋体" w:hAnsi="宋体" w:eastAsia="宋体" w:cs="宋体"/>
                <w:b/>
                <w:kern w:val="0"/>
                <w:sz w:val="24"/>
              </w:rPr>
            </w:pPr>
            <w:r>
              <w:rPr>
                <w:rFonts w:hint="eastAsia" w:ascii="宋体" w:hAnsi="宋体" w:eastAsia="宋体" w:cs="宋体"/>
                <w:b/>
                <w:kern w:val="0"/>
                <w:sz w:val="24"/>
              </w:rPr>
              <w:t>（如需）</w:t>
            </w:r>
          </w:p>
        </w:tc>
        <w:tc>
          <w:tcPr>
            <w:tcW w:w="500" w:type="pct"/>
            <w:vAlign w:val="center"/>
          </w:tcPr>
          <w:p w14:paraId="2B9E4042">
            <w:pPr>
              <w:rPr>
                <w:rFonts w:ascii="宋体" w:hAnsi="宋体" w:eastAsia="宋体" w:cs="宋体"/>
                <w:b/>
                <w:kern w:val="0"/>
                <w:sz w:val="24"/>
                <w:lang w:eastAsia="en-US"/>
              </w:rPr>
            </w:pPr>
            <w:r>
              <w:rPr>
                <w:rFonts w:ascii="宋体" w:hAnsi="宋体" w:eastAsia="宋体" w:cs="宋体"/>
                <w:b/>
                <w:kern w:val="0"/>
                <w:sz w:val="24"/>
                <w:lang w:eastAsia="en-US"/>
              </w:rPr>
              <w:t>学历</w:t>
            </w:r>
          </w:p>
          <w:p w14:paraId="3760E988">
            <w:pPr>
              <w:rPr>
                <w:rFonts w:ascii="宋体" w:hAnsi="宋体" w:eastAsia="宋体" w:cs="宋体"/>
                <w:b/>
                <w:kern w:val="0"/>
                <w:sz w:val="24"/>
                <w:lang w:eastAsia="en-US"/>
              </w:rPr>
            </w:pPr>
            <w:r>
              <w:rPr>
                <w:rFonts w:hint="eastAsia" w:ascii="宋体" w:hAnsi="宋体" w:eastAsia="宋体" w:cs="宋体"/>
                <w:b/>
                <w:kern w:val="0"/>
                <w:sz w:val="24"/>
              </w:rPr>
              <w:t>（如需）</w:t>
            </w:r>
          </w:p>
        </w:tc>
        <w:tc>
          <w:tcPr>
            <w:tcW w:w="522" w:type="pct"/>
            <w:vAlign w:val="center"/>
          </w:tcPr>
          <w:p w14:paraId="1940EB90">
            <w:pPr>
              <w:rPr>
                <w:rFonts w:ascii="宋体" w:hAnsi="宋体" w:eastAsia="宋体" w:cs="宋体"/>
                <w:b/>
                <w:kern w:val="0"/>
                <w:sz w:val="24"/>
                <w:lang w:eastAsia="en-US"/>
              </w:rPr>
            </w:pPr>
            <w:r>
              <w:rPr>
                <w:rFonts w:ascii="宋体" w:hAnsi="宋体" w:eastAsia="宋体" w:cs="宋体"/>
                <w:b/>
                <w:kern w:val="0"/>
                <w:sz w:val="24"/>
                <w:lang w:eastAsia="en-US"/>
              </w:rPr>
              <w:t>专业</w:t>
            </w:r>
          </w:p>
          <w:p w14:paraId="1D89D197">
            <w:pPr>
              <w:rPr>
                <w:rFonts w:ascii="宋体" w:hAnsi="宋体" w:eastAsia="宋体" w:cs="宋体"/>
                <w:b/>
                <w:kern w:val="0"/>
                <w:sz w:val="24"/>
                <w:lang w:eastAsia="en-US"/>
              </w:rPr>
            </w:pPr>
            <w:r>
              <w:rPr>
                <w:rFonts w:hint="eastAsia" w:ascii="宋体" w:hAnsi="宋体" w:eastAsia="宋体" w:cs="宋体"/>
                <w:b/>
                <w:kern w:val="0"/>
                <w:sz w:val="24"/>
              </w:rPr>
              <w:t>（如需）</w:t>
            </w:r>
          </w:p>
        </w:tc>
        <w:tc>
          <w:tcPr>
            <w:tcW w:w="718" w:type="pct"/>
            <w:vAlign w:val="center"/>
          </w:tcPr>
          <w:p w14:paraId="7F55E4F6">
            <w:pPr>
              <w:rPr>
                <w:rFonts w:ascii="宋体" w:hAnsi="宋体" w:eastAsia="宋体" w:cs="宋体"/>
                <w:b/>
                <w:kern w:val="0"/>
                <w:sz w:val="24"/>
              </w:rPr>
            </w:pPr>
            <w:r>
              <w:rPr>
                <w:rFonts w:hint="eastAsia" w:ascii="宋体" w:hAnsi="宋体" w:eastAsia="宋体" w:cs="宋体"/>
                <w:b/>
                <w:kern w:val="0"/>
                <w:sz w:val="24"/>
              </w:rPr>
              <w:t>项目经验业绩（如需）</w:t>
            </w:r>
          </w:p>
        </w:tc>
        <w:tc>
          <w:tcPr>
            <w:tcW w:w="384" w:type="pct"/>
            <w:vAlign w:val="center"/>
          </w:tcPr>
          <w:p w14:paraId="095C8D43">
            <w:pPr>
              <w:rPr>
                <w:rFonts w:ascii="宋体" w:hAnsi="宋体" w:eastAsia="宋体" w:cs="宋体"/>
                <w:b/>
                <w:kern w:val="0"/>
                <w:sz w:val="24"/>
                <w:lang w:eastAsia="en-US"/>
              </w:rPr>
            </w:pPr>
            <w:r>
              <w:rPr>
                <w:rFonts w:ascii="宋体" w:hAnsi="宋体" w:eastAsia="宋体" w:cs="宋体"/>
                <w:b/>
                <w:kern w:val="0"/>
                <w:sz w:val="24"/>
                <w:lang w:eastAsia="en-US"/>
              </w:rPr>
              <w:t>联系方式</w:t>
            </w:r>
          </w:p>
        </w:tc>
        <w:tc>
          <w:tcPr>
            <w:tcW w:w="375" w:type="pct"/>
            <w:vAlign w:val="center"/>
          </w:tcPr>
          <w:p w14:paraId="4FF8A59B">
            <w:pPr>
              <w:rPr>
                <w:rFonts w:ascii="宋体" w:hAnsi="宋体" w:eastAsia="宋体" w:cs="宋体"/>
                <w:b/>
                <w:kern w:val="0"/>
                <w:sz w:val="24"/>
                <w:lang w:eastAsia="en-US"/>
              </w:rPr>
            </w:pPr>
            <w:r>
              <w:rPr>
                <w:rFonts w:hint="eastAsia" w:ascii="宋体" w:hAnsi="宋体" w:eastAsia="宋体" w:cs="宋体"/>
                <w:b/>
                <w:kern w:val="0"/>
                <w:sz w:val="24"/>
              </w:rPr>
              <w:t>工作年限</w:t>
            </w:r>
          </w:p>
        </w:tc>
        <w:tc>
          <w:tcPr>
            <w:tcW w:w="378" w:type="pct"/>
            <w:vAlign w:val="center"/>
          </w:tcPr>
          <w:p w14:paraId="5CDD1243">
            <w:pPr>
              <w:rPr>
                <w:rFonts w:ascii="宋体" w:hAnsi="宋体" w:eastAsia="宋体" w:cs="宋体"/>
                <w:b/>
                <w:kern w:val="0"/>
                <w:sz w:val="24"/>
                <w:lang w:eastAsia="en-US"/>
              </w:rPr>
            </w:pPr>
            <w:r>
              <w:rPr>
                <w:rFonts w:ascii="宋体" w:hAnsi="宋体" w:eastAsia="宋体" w:cs="宋体"/>
                <w:b/>
                <w:kern w:val="0"/>
                <w:sz w:val="24"/>
                <w:lang w:eastAsia="en-US"/>
              </w:rPr>
              <w:t>备注</w:t>
            </w:r>
          </w:p>
        </w:tc>
      </w:tr>
      <w:tr w14:paraId="26F7C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atLeast"/>
          <w:jc w:val="center"/>
        </w:trPr>
        <w:tc>
          <w:tcPr>
            <w:tcW w:w="474" w:type="pct"/>
            <w:vAlign w:val="center"/>
          </w:tcPr>
          <w:p w14:paraId="5682FE30">
            <w:pPr>
              <w:rPr>
                <w:rFonts w:ascii="宋体" w:hAnsi="宋体" w:eastAsia="宋体" w:cs="宋体"/>
                <w:kern w:val="0"/>
                <w:sz w:val="24"/>
              </w:rPr>
            </w:pPr>
            <w:r>
              <w:rPr>
                <w:rFonts w:hint="eastAsia" w:ascii="宋体" w:hAnsi="宋体" w:eastAsia="宋体" w:cs="宋体"/>
                <w:kern w:val="0"/>
                <w:sz w:val="24"/>
              </w:rPr>
              <w:t>1</w:t>
            </w:r>
          </w:p>
        </w:tc>
        <w:tc>
          <w:tcPr>
            <w:tcW w:w="474" w:type="pct"/>
            <w:vAlign w:val="center"/>
          </w:tcPr>
          <w:p w14:paraId="1DAE6031">
            <w:pPr>
              <w:rPr>
                <w:rFonts w:ascii="宋体" w:hAnsi="宋体" w:eastAsia="宋体" w:cs="宋体"/>
                <w:kern w:val="0"/>
                <w:sz w:val="24"/>
              </w:rPr>
            </w:pPr>
            <w:r>
              <w:rPr>
                <w:rFonts w:hint="eastAsia" w:ascii="宋体" w:hAnsi="宋体" w:eastAsia="宋体" w:cs="宋体"/>
                <w:kern w:val="0"/>
                <w:sz w:val="24"/>
              </w:rPr>
              <w:t>项目负责人</w:t>
            </w:r>
          </w:p>
        </w:tc>
        <w:tc>
          <w:tcPr>
            <w:tcW w:w="307" w:type="pct"/>
            <w:vAlign w:val="center"/>
          </w:tcPr>
          <w:p w14:paraId="5601F151">
            <w:pPr>
              <w:rPr>
                <w:rFonts w:ascii="宋体" w:hAnsi="宋体" w:eastAsia="宋体" w:cs="宋体"/>
                <w:kern w:val="0"/>
                <w:sz w:val="24"/>
              </w:rPr>
            </w:pPr>
          </w:p>
        </w:tc>
        <w:tc>
          <w:tcPr>
            <w:tcW w:w="326" w:type="pct"/>
            <w:vAlign w:val="center"/>
          </w:tcPr>
          <w:p w14:paraId="68A4701B">
            <w:pPr>
              <w:rPr>
                <w:rFonts w:ascii="宋体" w:hAnsi="宋体" w:eastAsia="宋体" w:cs="宋体"/>
                <w:kern w:val="0"/>
                <w:sz w:val="24"/>
              </w:rPr>
            </w:pPr>
          </w:p>
        </w:tc>
        <w:tc>
          <w:tcPr>
            <w:tcW w:w="541" w:type="pct"/>
            <w:vAlign w:val="center"/>
          </w:tcPr>
          <w:p w14:paraId="4ADD6414">
            <w:pPr>
              <w:rPr>
                <w:rFonts w:ascii="宋体" w:hAnsi="宋体" w:eastAsia="宋体" w:cs="宋体"/>
                <w:kern w:val="0"/>
                <w:sz w:val="24"/>
                <w:lang w:eastAsia="en-US"/>
              </w:rPr>
            </w:pPr>
          </w:p>
        </w:tc>
        <w:tc>
          <w:tcPr>
            <w:tcW w:w="500" w:type="pct"/>
            <w:vAlign w:val="center"/>
          </w:tcPr>
          <w:p w14:paraId="518FC3FA">
            <w:pPr>
              <w:rPr>
                <w:rFonts w:ascii="宋体" w:hAnsi="宋体" w:eastAsia="宋体" w:cs="宋体"/>
                <w:kern w:val="0"/>
                <w:sz w:val="24"/>
              </w:rPr>
            </w:pPr>
          </w:p>
        </w:tc>
        <w:tc>
          <w:tcPr>
            <w:tcW w:w="522" w:type="pct"/>
            <w:vAlign w:val="center"/>
          </w:tcPr>
          <w:p w14:paraId="286FDC02">
            <w:pPr>
              <w:rPr>
                <w:rFonts w:ascii="宋体" w:hAnsi="宋体" w:eastAsia="宋体" w:cs="宋体"/>
                <w:kern w:val="0"/>
                <w:sz w:val="24"/>
              </w:rPr>
            </w:pPr>
          </w:p>
        </w:tc>
        <w:tc>
          <w:tcPr>
            <w:tcW w:w="718" w:type="pct"/>
            <w:vAlign w:val="center"/>
          </w:tcPr>
          <w:p w14:paraId="00DD0E16">
            <w:pPr>
              <w:rPr>
                <w:rFonts w:ascii="宋体" w:hAnsi="宋体" w:eastAsia="宋体" w:cs="宋体"/>
                <w:kern w:val="0"/>
                <w:sz w:val="24"/>
                <w:lang w:eastAsia="en-US"/>
              </w:rPr>
            </w:pPr>
          </w:p>
        </w:tc>
        <w:tc>
          <w:tcPr>
            <w:tcW w:w="384" w:type="pct"/>
            <w:vAlign w:val="center"/>
          </w:tcPr>
          <w:p w14:paraId="56D08D2B">
            <w:pPr>
              <w:rPr>
                <w:rFonts w:ascii="宋体" w:hAnsi="宋体" w:eastAsia="宋体" w:cs="宋体"/>
                <w:kern w:val="0"/>
                <w:sz w:val="24"/>
              </w:rPr>
            </w:pPr>
          </w:p>
        </w:tc>
        <w:tc>
          <w:tcPr>
            <w:tcW w:w="375" w:type="pct"/>
            <w:vAlign w:val="center"/>
          </w:tcPr>
          <w:p w14:paraId="4C319C74">
            <w:pPr>
              <w:rPr>
                <w:rFonts w:ascii="宋体" w:hAnsi="宋体" w:eastAsia="宋体" w:cs="宋体"/>
                <w:kern w:val="0"/>
                <w:sz w:val="24"/>
              </w:rPr>
            </w:pPr>
          </w:p>
        </w:tc>
        <w:tc>
          <w:tcPr>
            <w:tcW w:w="378" w:type="pct"/>
            <w:vAlign w:val="center"/>
          </w:tcPr>
          <w:p w14:paraId="3166D063">
            <w:pPr>
              <w:rPr>
                <w:rFonts w:ascii="宋体" w:hAnsi="宋体" w:eastAsia="宋体" w:cs="宋体"/>
                <w:kern w:val="0"/>
                <w:sz w:val="24"/>
                <w:lang w:eastAsia="en-US"/>
              </w:rPr>
            </w:pPr>
          </w:p>
        </w:tc>
      </w:tr>
      <w:tr w14:paraId="5503D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atLeast"/>
          <w:jc w:val="center"/>
        </w:trPr>
        <w:tc>
          <w:tcPr>
            <w:tcW w:w="474" w:type="pct"/>
            <w:vAlign w:val="center"/>
          </w:tcPr>
          <w:p w14:paraId="238F2122">
            <w:pPr>
              <w:rPr>
                <w:rFonts w:ascii="宋体" w:hAnsi="宋体" w:eastAsia="宋体" w:cs="宋体"/>
                <w:kern w:val="0"/>
                <w:sz w:val="24"/>
              </w:rPr>
            </w:pPr>
            <w:r>
              <w:rPr>
                <w:rFonts w:hint="eastAsia" w:ascii="宋体" w:hAnsi="宋体" w:eastAsia="宋体" w:cs="宋体"/>
                <w:kern w:val="0"/>
                <w:sz w:val="24"/>
              </w:rPr>
              <w:t>2</w:t>
            </w:r>
          </w:p>
        </w:tc>
        <w:tc>
          <w:tcPr>
            <w:tcW w:w="474" w:type="pct"/>
            <w:vAlign w:val="center"/>
          </w:tcPr>
          <w:p w14:paraId="6BB8EEE8">
            <w:pPr>
              <w:rPr>
                <w:rFonts w:ascii="宋体" w:hAnsi="宋体" w:eastAsia="宋体" w:cs="宋体"/>
                <w:kern w:val="0"/>
                <w:sz w:val="24"/>
                <w:lang w:eastAsia="en-US"/>
              </w:rPr>
            </w:pPr>
            <w:r>
              <w:rPr>
                <w:rFonts w:hint="eastAsia" w:ascii="宋体" w:hAnsi="宋体" w:eastAsia="宋体" w:cs="宋体"/>
                <w:kern w:val="0"/>
                <w:sz w:val="24"/>
                <w:lang w:eastAsia="en-US"/>
              </w:rPr>
              <w:t>…</w:t>
            </w:r>
          </w:p>
        </w:tc>
        <w:tc>
          <w:tcPr>
            <w:tcW w:w="307" w:type="pct"/>
            <w:vAlign w:val="center"/>
          </w:tcPr>
          <w:p w14:paraId="6863EBE0">
            <w:pPr>
              <w:rPr>
                <w:rFonts w:ascii="宋体" w:hAnsi="宋体" w:eastAsia="宋体" w:cs="宋体"/>
                <w:kern w:val="0"/>
                <w:sz w:val="24"/>
                <w:lang w:eastAsia="en-US"/>
              </w:rPr>
            </w:pPr>
          </w:p>
        </w:tc>
        <w:tc>
          <w:tcPr>
            <w:tcW w:w="326" w:type="pct"/>
            <w:vAlign w:val="center"/>
          </w:tcPr>
          <w:p w14:paraId="2EA076CC">
            <w:pPr>
              <w:rPr>
                <w:rFonts w:ascii="宋体" w:hAnsi="宋体" w:eastAsia="宋体" w:cs="宋体"/>
                <w:kern w:val="0"/>
                <w:sz w:val="24"/>
                <w:lang w:eastAsia="en-US"/>
              </w:rPr>
            </w:pPr>
          </w:p>
        </w:tc>
        <w:tc>
          <w:tcPr>
            <w:tcW w:w="541" w:type="pct"/>
            <w:vAlign w:val="center"/>
          </w:tcPr>
          <w:p w14:paraId="1120645A">
            <w:pPr>
              <w:rPr>
                <w:rFonts w:ascii="宋体" w:hAnsi="宋体" w:eastAsia="宋体" w:cs="宋体"/>
                <w:kern w:val="0"/>
                <w:sz w:val="24"/>
                <w:lang w:eastAsia="en-US"/>
              </w:rPr>
            </w:pPr>
          </w:p>
        </w:tc>
        <w:tc>
          <w:tcPr>
            <w:tcW w:w="500" w:type="pct"/>
            <w:vAlign w:val="center"/>
          </w:tcPr>
          <w:p w14:paraId="513EFF95">
            <w:pPr>
              <w:rPr>
                <w:rFonts w:ascii="宋体" w:hAnsi="宋体" w:eastAsia="宋体" w:cs="宋体"/>
                <w:kern w:val="0"/>
                <w:sz w:val="24"/>
                <w:lang w:eastAsia="en-US"/>
              </w:rPr>
            </w:pPr>
          </w:p>
        </w:tc>
        <w:tc>
          <w:tcPr>
            <w:tcW w:w="522" w:type="pct"/>
            <w:vAlign w:val="center"/>
          </w:tcPr>
          <w:p w14:paraId="4BE1791F">
            <w:pPr>
              <w:rPr>
                <w:rFonts w:ascii="宋体" w:hAnsi="宋体" w:eastAsia="宋体" w:cs="宋体"/>
                <w:kern w:val="0"/>
                <w:sz w:val="24"/>
                <w:lang w:eastAsia="en-US"/>
              </w:rPr>
            </w:pPr>
          </w:p>
        </w:tc>
        <w:tc>
          <w:tcPr>
            <w:tcW w:w="718" w:type="pct"/>
            <w:vAlign w:val="center"/>
          </w:tcPr>
          <w:p w14:paraId="05B61CCF">
            <w:pPr>
              <w:rPr>
                <w:rFonts w:ascii="宋体" w:hAnsi="宋体" w:eastAsia="宋体" w:cs="宋体"/>
                <w:kern w:val="0"/>
                <w:sz w:val="24"/>
                <w:lang w:eastAsia="en-US"/>
              </w:rPr>
            </w:pPr>
          </w:p>
        </w:tc>
        <w:tc>
          <w:tcPr>
            <w:tcW w:w="384" w:type="pct"/>
            <w:vAlign w:val="center"/>
          </w:tcPr>
          <w:p w14:paraId="0A1EAF82">
            <w:pPr>
              <w:rPr>
                <w:rFonts w:ascii="宋体" w:hAnsi="宋体" w:eastAsia="宋体" w:cs="宋体"/>
                <w:kern w:val="0"/>
                <w:sz w:val="24"/>
                <w:lang w:eastAsia="en-US"/>
              </w:rPr>
            </w:pPr>
          </w:p>
        </w:tc>
        <w:tc>
          <w:tcPr>
            <w:tcW w:w="375" w:type="pct"/>
            <w:vAlign w:val="center"/>
          </w:tcPr>
          <w:p w14:paraId="315965C4">
            <w:pPr>
              <w:rPr>
                <w:rFonts w:ascii="宋体" w:hAnsi="宋体" w:eastAsia="宋体" w:cs="宋体"/>
                <w:kern w:val="0"/>
                <w:sz w:val="24"/>
                <w:lang w:eastAsia="en-US"/>
              </w:rPr>
            </w:pPr>
          </w:p>
        </w:tc>
        <w:tc>
          <w:tcPr>
            <w:tcW w:w="378" w:type="pct"/>
            <w:vAlign w:val="center"/>
          </w:tcPr>
          <w:p w14:paraId="20A453E1">
            <w:pPr>
              <w:rPr>
                <w:rFonts w:ascii="宋体" w:hAnsi="宋体" w:eastAsia="宋体" w:cs="宋体"/>
                <w:kern w:val="0"/>
                <w:sz w:val="24"/>
                <w:lang w:eastAsia="en-US"/>
              </w:rPr>
            </w:pPr>
          </w:p>
        </w:tc>
      </w:tr>
      <w:tr w14:paraId="635D1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jc w:val="center"/>
        </w:trPr>
        <w:tc>
          <w:tcPr>
            <w:tcW w:w="474" w:type="pct"/>
            <w:vAlign w:val="center"/>
          </w:tcPr>
          <w:p w14:paraId="11B21B73">
            <w:pPr>
              <w:rPr>
                <w:rFonts w:ascii="宋体" w:hAnsi="宋体" w:eastAsia="宋体" w:cs="宋体"/>
                <w:kern w:val="0"/>
                <w:sz w:val="24"/>
              </w:rPr>
            </w:pPr>
            <w:r>
              <w:rPr>
                <w:rFonts w:hint="eastAsia" w:ascii="宋体" w:hAnsi="宋体" w:eastAsia="宋体" w:cs="宋体"/>
                <w:kern w:val="0"/>
                <w:sz w:val="24"/>
              </w:rPr>
              <w:t>3</w:t>
            </w:r>
          </w:p>
        </w:tc>
        <w:tc>
          <w:tcPr>
            <w:tcW w:w="474" w:type="pct"/>
            <w:vAlign w:val="center"/>
          </w:tcPr>
          <w:p w14:paraId="1A4BC45E">
            <w:pPr>
              <w:rPr>
                <w:rFonts w:ascii="宋体" w:hAnsi="宋体" w:eastAsia="宋体" w:cs="宋体"/>
                <w:kern w:val="0"/>
                <w:sz w:val="24"/>
                <w:lang w:eastAsia="en-US"/>
              </w:rPr>
            </w:pPr>
            <w:r>
              <w:rPr>
                <w:rFonts w:hint="eastAsia" w:ascii="宋体" w:hAnsi="宋体" w:eastAsia="宋体" w:cs="宋体"/>
                <w:kern w:val="0"/>
                <w:sz w:val="24"/>
                <w:lang w:eastAsia="en-US"/>
              </w:rPr>
              <w:t>…</w:t>
            </w:r>
          </w:p>
        </w:tc>
        <w:tc>
          <w:tcPr>
            <w:tcW w:w="307" w:type="pct"/>
            <w:vAlign w:val="center"/>
          </w:tcPr>
          <w:p w14:paraId="7C72C111">
            <w:pPr>
              <w:rPr>
                <w:rFonts w:ascii="宋体" w:hAnsi="宋体" w:eastAsia="宋体" w:cs="宋体"/>
                <w:kern w:val="0"/>
                <w:sz w:val="24"/>
              </w:rPr>
            </w:pPr>
          </w:p>
        </w:tc>
        <w:tc>
          <w:tcPr>
            <w:tcW w:w="326" w:type="pct"/>
            <w:vAlign w:val="center"/>
          </w:tcPr>
          <w:p w14:paraId="06023D22">
            <w:pPr>
              <w:rPr>
                <w:rFonts w:ascii="宋体" w:hAnsi="宋体" w:eastAsia="宋体" w:cs="宋体"/>
                <w:kern w:val="0"/>
                <w:sz w:val="24"/>
              </w:rPr>
            </w:pPr>
          </w:p>
        </w:tc>
        <w:tc>
          <w:tcPr>
            <w:tcW w:w="541" w:type="pct"/>
            <w:vAlign w:val="center"/>
          </w:tcPr>
          <w:p w14:paraId="62BBCA7E">
            <w:pPr>
              <w:rPr>
                <w:rFonts w:ascii="宋体" w:hAnsi="宋体" w:eastAsia="宋体" w:cs="宋体"/>
                <w:kern w:val="0"/>
                <w:sz w:val="24"/>
                <w:lang w:eastAsia="en-US"/>
              </w:rPr>
            </w:pPr>
          </w:p>
        </w:tc>
        <w:tc>
          <w:tcPr>
            <w:tcW w:w="500" w:type="pct"/>
            <w:vAlign w:val="center"/>
          </w:tcPr>
          <w:p w14:paraId="17BC3A1F">
            <w:pPr>
              <w:rPr>
                <w:rFonts w:ascii="宋体" w:hAnsi="宋体" w:eastAsia="宋体" w:cs="宋体"/>
                <w:kern w:val="0"/>
                <w:sz w:val="24"/>
              </w:rPr>
            </w:pPr>
          </w:p>
        </w:tc>
        <w:tc>
          <w:tcPr>
            <w:tcW w:w="522" w:type="pct"/>
            <w:vAlign w:val="center"/>
          </w:tcPr>
          <w:p w14:paraId="058EA873">
            <w:pPr>
              <w:rPr>
                <w:rFonts w:ascii="宋体" w:hAnsi="宋体" w:eastAsia="宋体" w:cs="宋体"/>
                <w:kern w:val="0"/>
                <w:sz w:val="24"/>
              </w:rPr>
            </w:pPr>
          </w:p>
        </w:tc>
        <w:tc>
          <w:tcPr>
            <w:tcW w:w="718" w:type="pct"/>
            <w:vAlign w:val="center"/>
          </w:tcPr>
          <w:p w14:paraId="060BAA78">
            <w:pPr>
              <w:rPr>
                <w:rFonts w:ascii="宋体" w:hAnsi="宋体" w:eastAsia="宋体" w:cs="宋体"/>
                <w:kern w:val="0"/>
                <w:sz w:val="24"/>
                <w:lang w:eastAsia="en-US"/>
              </w:rPr>
            </w:pPr>
          </w:p>
        </w:tc>
        <w:tc>
          <w:tcPr>
            <w:tcW w:w="384" w:type="pct"/>
            <w:vAlign w:val="center"/>
          </w:tcPr>
          <w:p w14:paraId="0F1F94B8">
            <w:pPr>
              <w:rPr>
                <w:rFonts w:ascii="宋体" w:hAnsi="宋体" w:eastAsia="宋体" w:cs="宋体"/>
                <w:kern w:val="0"/>
                <w:sz w:val="24"/>
              </w:rPr>
            </w:pPr>
          </w:p>
        </w:tc>
        <w:tc>
          <w:tcPr>
            <w:tcW w:w="375" w:type="pct"/>
            <w:vAlign w:val="center"/>
          </w:tcPr>
          <w:p w14:paraId="691AC92C">
            <w:pPr>
              <w:rPr>
                <w:rFonts w:ascii="宋体" w:hAnsi="宋体" w:eastAsia="宋体" w:cs="宋体"/>
                <w:kern w:val="0"/>
                <w:sz w:val="24"/>
              </w:rPr>
            </w:pPr>
          </w:p>
        </w:tc>
        <w:tc>
          <w:tcPr>
            <w:tcW w:w="378" w:type="pct"/>
            <w:vAlign w:val="center"/>
          </w:tcPr>
          <w:p w14:paraId="6B0BFC7A">
            <w:pPr>
              <w:rPr>
                <w:rFonts w:ascii="宋体" w:hAnsi="宋体" w:eastAsia="宋体" w:cs="宋体"/>
                <w:kern w:val="0"/>
                <w:sz w:val="24"/>
                <w:lang w:eastAsia="en-US"/>
              </w:rPr>
            </w:pPr>
          </w:p>
        </w:tc>
      </w:tr>
      <w:tr w14:paraId="6DF7B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jc w:val="center"/>
        </w:trPr>
        <w:tc>
          <w:tcPr>
            <w:tcW w:w="474" w:type="pct"/>
            <w:vAlign w:val="center"/>
          </w:tcPr>
          <w:p w14:paraId="2603B1E2">
            <w:pPr>
              <w:rPr>
                <w:rFonts w:ascii="宋体" w:hAnsi="宋体" w:eastAsia="宋体" w:cs="宋体"/>
                <w:kern w:val="0"/>
                <w:sz w:val="24"/>
              </w:rPr>
            </w:pPr>
            <w:r>
              <w:rPr>
                <w:rFonts w:hint="eastAsia" w:ascii="宋体" w:hAnsi="宋体" w:eastAsia="宋体" w:cs="宋体"/>
                <w:kern w:val="0"/>
                <w:sz w:val="24"/>
              </w:rPr>
              <w:t>4</w:t>
            </w:r>
          </w:p>
        </w:tc>
        <w:tc>
          <w:tcPr>
            <w:tcW w:w="474" w:type="pct"/>
            <w:vAlign w:val="center"/>
          </w:tcPr>
          <w:p w14:paraId="37C33F3D">
            <w:pPr>
              <w:rPr>
                <w:rFonts w:ascii="宋体" w:hAnsi="宋体" w:eastAsia="宋体" w:cs="宋体"/>
                <w:kern w:val="0"/>
                <w:sz w:val="24"/>
                <w:lang w:eastAsia="en-US"/>
              </w:rPr>
            </w:pPr>
            <w:r>
              <w:rPr>
                <w:rFonts w:hint="eastAsia" w:ascii="宋体" w:hAnsi="宋体" w:eastAsia="宋体" w:cs="宋体"/>
                <w:kern w:val="0"/>
                <w:sz w:val="24"/>
                <w:lang w:eastAsia="en-US"/>
              </w:rPr>
              <w:t>…</w:t>
            </w:r>
          </w:p>
        </w:tc>
        <w:tc>
          <w:tcPr>
            <w:tcW w:w="307" w:type="pct"/>
            <w:vAlign w:val="center"/>
          </w:tcPr>
          <w:p w14:paraId="66480234">
            <w:pPr>
              <w:rPr>
                <w:rFonts w:ascii="宋体" w:hAnsi="宋体" w:eastAsia="宋体" w:cs="宋体"/>
                <w:kern w:val="0"/>
                <w:sz w:val="24"/>
              </w:rPr>
            </w:pPr>
          </w:p>
        </w:tc>
        <w:tc>
          <w:tcPr>
            <w:tcW w:w="326" w:type="pct"/>
            <w:vAlign w:val="center"/>
          </w:tcPr>
          <w:p w14:paraId="76A9A2FA">
            <w:pPr>
              <w:rPr>
                <w:rFonts w:ascii="宋体" w:hAnsi="宋体" w:eastAsia="宋体" w:cs="宋体"/>
                <w:kern w:val="0"/>
                <w:sz w:val="24"/>
              </w:rPr>
            </w:pPr>
          </w:p>
        </w:tc>
        <w:tc>
          <w:tcPr>
            <w:tcW w:w="541" w:type="pct"/>
            <w:vAlign w:val="center"/>
          </w:tcPr>
          <w:p w14:paraId="6DEDAE44">
            <w:pPr>
              <w:rPr>
                <w:rFonts w:ascii="宋体" w:hAnsi="宋体" w:eastAsia="宋体" w:cs="宋体"/>
                <w:kern w:val="0"/>
                <w:sz w:val="24"/>
                <w:lang w:eastAsia="en-US"/>
              </w:rPr>
            </w:pPr>
          </w:p>
        </w:tc>
        <w:tc>
          <w:tcPr>
            <w:tcW w:w="500" w:type="pct"/>
            <w:vAlign w:val="center"/>
          </w:tcPr>
          <w:p w14:paraId="1CB5BD0E">
            <w:pPr>
              <w:rPr>
                <w:rFonts w:ascii="宋体" w:hAnsi="宋体" w:eastAsia="宋体" w:cs="宋体"/>
                <w:kern w:val="0"/>
                <w:sz w:val="24"/>
              </w:rPr>
            </w:pPr>
          </w:p>
        </w:tc>
        <w:tc>
          <w:tcPr>
            <w:tcW w:w="522" w:type="pct"/>
            <w:vAlign w:val="center"/>
          </w:tcPr>
          <w:p w14:paraId="74B4927E">
            <w:pPr>
              <w:rPr>
                <w:rFonts w:ascii="宋体" w:hAnsi="宋体" w:eastAsia="宋体" w:cs="宋体"/>
                <w:kern w:val="0"/>
                <w:sz w:val="24"/>
              </w:rPr>
            </w:pPr>
          </w:p>
        </w:tc>
        <w:tc>
          <w:tcPr>
            <w:tcW w:w="718" w:type="pct"/>
            <w:vAlign w:val="center"/>
          </w:tcPr>
          <w:p w14:paraId="39CAAB3F">
            <w:pPr>
              <w:rPr>
                <w:rFonts w:ascii="宋体" w:hAnsi="宋体" w:eastAsia="宋体" w:cs="宋体"/>
                <w:kern w:val="0"/>
                <w:sz w:val="24"/>
                <w:lang w:eastAsia="en-US"/>
              </w:rPr>
            </w:pPr>
          </w:p>
        </w:tc>
        <w:tc>
          <w:tcPr>
            <w:tcW w:w="384" w:type="pct"/>
            <w:vAlign w:val="center"/>
          </w:tcPr>
          <w:p w14:paraId="0AF78D35">
            <w:pPr>
              <w:rPr>
                <w:rFonts w:ascii="宋体" w:hAnsi="宋体" w:eastAsia="宋体" w:cs="宋体"/>
                <w:kern w:val="0"/>
                <w:sz w:val="24"/>
              </w:rPr>
            </w:pPr>
          </w:p>
        </w:tc>
        <w:tc>
          <w:tcPr>
            <w:tcW w:w="375" w:type="pct"/>
            <w:vAlign w:val="center"/>
          </w:tcPr>
          <w:p w14:paraId="601947AD">
            <w:pPr>
              <w:rPr>
                <w:rFonts w:ascii="宋体" w:hAnsi="宋体" w:eastAsia="宋体" w:cs="宋体"/>
                <w:kern w:val="0"/>
                <w:sz w:val="24"/>
              </w:rPr>
            </w:pPr>
          </w:p>
        </w:tc>
        <w:tc>
          <w:tcPr>
            <w:tcW w:w="378" w:type="pct"/>
            <w:vAlign w:val="center"/>
          </w:tcPr>
          <w:p w14:paraId="2C9FA704">
            <w:pPr>
              <w:rPr>
                <w:rFonts w:ascii="宋体" w:hAnsi="宋体" w:eastAsia="宋体" w:cs="宋体"/>
                <w:kern w:val="0"/>
                <w:sz w:val="24"/>
                <w:lang w:eastAsia="en-US"/>
              </w:rPr>
            </w:pPr>
          </w:p>
        </w:tc>
      </w:tr>
      <w:tr w14:paraId="0012F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2" w:hRule="atLeast"/>
          <w:jc w:val="center"/>
        </w:trPr>
        <w:tc>
          <w:tcPr>
            <w:tcW w:w="474" w:type="pct"/>
            <w:vAlign w:val="center"/>
          </w:tcPr>
          <w:p w14:paraId="0A09B935">
            <w:pPr>
              <w:rPr>
                <w:rFonts w:ascii="宋体" w:hAnsi="宋体" w:eastAsia="宋体" w:cs="宋体"/>
                <w:kern w:val="0"/>
                <w:sz w:val="24"/>
              </w:rPr>
            </w:pPr>
            <w:r>
              <w:rPr>
                <w:rFonts w:hint="eastAsia" w:ascii="宋体" w:hAnsi="宋体" w:eastAsia="宋体" w:cs="宋体"/>
                <w:kern w:val="0"/>
                <w:sz w:val="24"/>
              </w:rPr>
              <w:t>5</w:t>
            </w:r>
          </w:p>
        </w:tc>
        <w:tc>
          <w:tcPr>
            <w:tcW w:w="474" w:type="pct"/>
            <w:vAlign w:val="center"/>
          </w:tcPr>
          <w:p w14:paraId="0FCD1AD7">
            <w:pPr>
              <w:rPr>
                <w:rFonts w:ascii="宋体" w:hAnsi="宋体" w:eastAsia="宋体" w:cs="宋体"/>
                <w:kern w:val="0"/>
                <w:sz w:val="24"/>
                <w:lang w:eastAsia="en-US"/>
              </w:rPr>
            </w:pPr>
            <w:r>
              <w:rPr>
                <w:rFonts w:hint="eastAsia" w:ascii="宋体" w:hAnsi="宋体" w:eastAsia="宋体" w:cs="宋体"/>
                <w:kern w:val="0"/>
                <w:sz w:val="24"/>
                <w:lang w:eastAsia="en-US"/>
              </w:rPr>
              <w:t>…</w:t>
            </w:r>
          </w:p>
        </w:tc>
        <w:tc>
          <w:tcPr>
            <w:tcW w:w="307" w:type="pct"/>
            <w:vAlign w:val="center"/>
          </w:tcPr>
          <w:p w14:paraId="0C1FC56C">
            <w:pPr>
              <w:rPr>
                <w:rFonts w:ascii="宋体" w:hAnsi="宋体" w:eastAsia="宋体" w:cs="宋体"/>
                <w:kern w:val="0"/>
                <w:sz w:val="24"/>
              </w:rPr>
            </w:pPr>
          </w:p>
        </w:tc>
        <w:tc>
          <w:tcPr>
            <w:tcW w:w="326" w:type="pct"/>
            <w:vAlign w:val="center"/>
          </w:tcPr>
          <w:p w14:paraId="527DEF5D">
            <w:pPr>
              <w:rPr>
                <w:rFonts w:ascii="宋体" w:hAnsi="宋体" w:eastAsia="宋体" w:cs="宋体"/>
                <w:kern w:val="0"/>
                <w:sz w:val="24"/>
              </w:rPr>
            </w:pPr>
          </w:p>
        </w:tc>
        <w:tc>
          <w:tcPr>
            <w:tcW w:w="541" w:type="pct"/>
            <w:vAlign w:val="center"/>
          </w:tcPr>
          <w:p w14:paraId="16F4FE7C">
            <w:pPr>
              <w:rPr>
                <w:rFonts w:ascii="宋体" w:hAnsi="宋体" w:eastAsia="宋体" w:cs="宋体"/>
                <w:kern w:val="0"/>
                <w:sz w:val="24"/>
                <w:lang w:eastAsia="en-US"/>
              </w:rPr>
            </w:pPr>
          </w:p>
        </w:tc>
        <w:tc>
          <w:tcPr>
            <w:tcW w:w="500" w:type="pct"/>
            <w:vAlign w:val="center"/>
          </w:tcPr>
          <w:p w14:paraId="1928F8DA">
            <w:pPr>
              <w:rPr>
                <w:rFonts w:ascii="宋体" w:hAnsi="宋体" w:eastAsia="宋体" w:cs="宋体"/>
                <w:kern w:val="0"/>
                <w:sz w:val="24"/>
              </w:rPr>
            </w:pPr>
          </w:p>
        </w:tc>
        <w:tc>
          <w:tcPr>
            <w:tcW w:w="522" w:type="pct"/>
            <w:vAlign w:val="center"/>
          </w:tcPr>
          <w:p w14:paraId="18FE12E0">
            <w:pPr>
              <w:rPr>
                <w:rFonts w:ascii="宋体" w:hAnsi="宋体" w:eastAsia="宋体" w:cs="宋体"/>
                <w:kern w:val="0"/>
                <w:sz w:val="24"/>
              </w:rPr>
            </w:pPr>
          </w:p>
        </w:tc>
        <w:tc>
          <w:tcPr>
            <w:tcW w:w="718" w:type="pct"/>
            <w:vAlign w:val="center"/>
          </w:tcPr>
          <w:p w14:paraId="3DE71C34">
            <w:pPr>
              <w:rPr>
                <w:rFonts w:ascii="宋体" w:hAnsi="宋体" w:eastAsia="宋体" w:cs="宋体"/>
                <w:kern w:val="0"/>
                <w:sz w:val="24"/>
                <w:lang w:eastAsia="en-US"/>
              </w:rPr>
            </w:pPr>
          </w:p>
        </w:tc>
        <w:tc>
          <w:tcPr>
            <w:tcW w:w="384" w:type="pct"/>
            <w:vAlign w:val="center"/>
          </w:tcPr>
          <w:p w14:paraId="04F10068">
            <w:pPr>
              <w:rPr>
                <w:rFonts w:ascii="宋体" w:hAnsi="宋体" w:eastAsia="宋体" w:cs="宋体"/>
                <w:kern w:val="0"/>
                <w:sz w:val="24"/>
              </w:rPr>
            </w:pPr>
          </w:p>
        </w:tc>
        <w:tc>
          <w:tcPr>
            <w:tcW w:w="375" w:type="pct"/>
            <w:vAlign w:val="center"/>
          </w:tcPr>
          <w:p w14:paraId="7C096B6E">
            <w:pPr>
              <w:rPr>
                <w:rFonts w:ascii="宋体" w:hAnsi="宋体" w:eastAsia="宋体" w:cs="宋体"/>
                <w:kern w:val="0"/>
                <w:sz w:val="24"/>
              </w:rPr>
            </w:pPr>
          </w:p>
        </w:tc>
        <w:tc>
          <w:tcPr>
            <w:tcW w:w="378" w:type="pct"/>
            <w:vAlign w:val="center"/>
          </w:tcPr>
          <w:p w14:paraId="022D8FEA">
            <w:pPr>
              <w:rPr>
                <w:rFonts w:ascii="宋体" w:hAnsi="宋体" w:eastAsia="宋体" w:cs="宋体"/>
                <w:kern w:val="0"/>
                <w:sz w:val="24"/>
                <w:lang w:eastAsia="en-US"/>
              </w:rPr>
            </w:pPr>
          </w:p>
        </w:tc>
      </w:tr>
      <w:tr w14:paraId="65BF1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474" w:type="pct"/>
            <w:vAlign w:val="center"/>
          </w:tcPr>
          <w:p w14:paraId="66056D74">
            <w:pPr>
              <w:rPr>
                <w:rFonts w:ascii="宋体" w:hAnsi="宋体" w:eastAsia="宋体" w:cs="宋体"/>
                <w:kern w:val="0"/>
                <w:sz w:val="24"/>
              </w:rPr>
            </w:pPr>
            <w:r>
              <w:rPr>
                <w:rFonts w:hint="eastAsia" w:ascii="宋体" w:hAnsi="宋体" w:eastAsia="宋体" w:cs="宋体"/>
                <w:kern w:val="0"/>
                <w:sz w:val="24"/>
              </w:rPr>
              <w:t>6</w:t>
            </w:r>
          </w:p>
        </w:tc>
        <w:tc>
          <w:tcPr>
            <w:tcW w:w="474" w:type="pct"/>
            <w:vAlign w:val="center"/>
          </w:tcPr>
          <w:p w14:paraId="4CA4BFC3">
            <w:pPr>
              <w:rPr>
                <w:rFonts w:ascii="宋体" w:hAnsi="宋体" w:eastAsia="宋体" w:cs="宋体"/>
                <w:kern w:val="0"/>
                <w:sz w:val="24"/>
                <w:lang w:eastAsia="en-US"/>
              </w:rPr>
            </w:pPr>
            <w:r>
              <w:rPr>
                <w:rFonts w:hint="eastAsia" w:ascii="宋体" w:hAnsi="宋体" w:eastAsia="宋体" w:cs="宋体"/>
                <w:kern w:val="0"/>
                <w:sz w:val="24"/>
                <w:lang w:eastAsia="en-US"/>
              </w:rPr>
              <w:t>…</w:t>
            </w:r>
          </w:p>
        </w:tc>
        <w:tc>
          <w:tcPr>
            <w:tcW w:w="307" w:type="pct"/>
            <w:vAlign w:val="center"/>
          </w:tcPr>
          <w:p w14:paraId="053533AA">
            <w:pPr>
              <w:rPr>
                <w:rFonts w:ascii="宋体" w:hAnsi="宋体" w:eastAsia="宋体" w:cs="宋体"/>
                <w:kern w:val="0"/>
                <w:sz w:val="24"/>
                <w:lang w:eastAsia="en-US"/>
              </w:rPr>
            </w:pPr>
          </w:p>
        </w:tc>
        <w:tc>
          <w:tcPr>
            <w:tcW w:w="326" w:type="pct"/>
            <w:vAlign w:val="center"/>
          </w:tcPr>
          <w:p w14:paraId="73716DDE">
            <w:pPr>
              <w:rPr>
                <w:rFonts w:ascii="宋体" w:hAnsi="宋体" w:eastAsia="宋体" w:cs="宋体"/>
                <w:kern w:val="0"/>
                <w:sz w:val="24"/>
                <w:lang w:eastAsia="en-US"/>
              </w:rPr>
            </w:pPr>
          </w:p>
        </w:tc>
        <w:tc>
          <w:tcPr>
            <w:tcW w:w="541" w:type="pct"/>
            <w:vAlign w:val="center"/>
          </w:tcPr>
          <w:p w14:paraId="1190B5C8">
            <w:pPr>
              <w:rPr>
                <w:rFonts w:ascii="宋体" w:hAnsi="宋体" w:eastAsia="宋体" w:cs="宋体"/>
                <w:kern w:val="0"/>
                <w:sz w:val="24"/>
                <w:lang w:eastAsia="en-US"/>
              </w:rPr>
            </w:pPr>
          </w:p>
        </w:tc>
        <w:tc>
          <w:tcPr>
            <w:tcW w:w="500" w:type="pct"/>
            <w:vAlign w:val="center"/>
          </w:tcPr>
          <w:p w14:paraId="6DA19D33">
            <w:pPr>
              <w:rPr>
                <w:rFonts w:ascii="宋体" w:hAnsi="宋体" w:eastAsia="宋体" w:cs="宋体"/>
                <w:kern w:val="0"/>
                <w:sz w:val="24"/>
                <w:lang w:eastAsia="en-US"/>
              </w:rPr>
            </w:pPr>
          </w:p>
        </w:tc>
        <w:tc>
          <w:tcPr>
            <w:tcW w:w="522" w:type="pct"/>
            <w:vAlign w:val="center"/>
          </w:tcPr>
          <w:p w14:paraId="44C2873B">
            <w:pPr>
              <w:rPr>
                <w:rFonts w:ascii="宋体" w:hAnsi="宋体" w:eastAsia="宋体" w:cs="宋体"/>
                <w:kern w:val="0"/>
                <w:sz w:val="24"/>
                <w:lang w:eastAsia="en-US"/>
              </w:rPr>
            </w:pPr>
          </w:p>
        </w:tc>
        <w:tc>
          <w:tcPr>
            <w:tcW w:w="718" w:type="pct"/>
            <w:vAlign w:val="center"/>
          </w:tcPr>
          <w:p w14:paraId="373CD5BD">
            <w:pPr>
              <w:rPr>
                <w:rFonts w:ascii="宋体" w:hAnsi="宋体" w:eastAsia="宋体" w:cs="宋体"/>
                <w:kern w:val="0"/>
                <w:sz w:val="24"/>
                <w:lang w:eastAsia="en-US"/>
              </w:rPr>
            </w:pPr>
          </w:p>
        </w:tc>
        <w:tc>
          <w:tcPr>
            <w:tcW w:w="384" w:type="pct"/>
            <w:vAlign w:val="center"/>
          </w:tcPr>
          <w:p w14:paraId="25DD0295">
            <w:pPr>
              <w:rPr>
                <w:rFonts w:ascii="宋体" w:hAnsi="宋体" w:eastAsia="宋体" w:cs="宋体"/>
                <w:kern w:val="0"/>
                <w:sz w:val="24"/>
                <w:lang w:eastAsia="en-US"/>
              </w:rPr>
            </w:pPr>
          </w:p>
        </w:tc>
        <w:tc>
          <w:tcPr>
            <w:tcW w:w="375" w:type="pct"/>
            <w:vAlign w:val="center"/>
          </w:tcPr>
          <w:p w14:paraId="4D4259A4">
            <w:pPr>
              <w:rPr>
                <w:rFonts w:ascii="宋体" w:hAnsi="宋体" w:eastAsia="宋体" w:cs="宋体"/>
                <w:kern w:val="0"/>
                <w:sz w:val="24"/>
                <w:lang w:eastAsia="en-US"/>
              </w:rPr>
            </w:pPr>
          </w:p>
        </w:tc>
        <w:tc>
          <w:tcPr>
            <w:tcW w:w="378" w:type="pct"/>
            <w:vAlign w:val="center"/>
          </w:tcPr>
          <w:p w14:paraId="2244B3B6">
            <w:pPr>
              <w:rPr>
                <w:rFonts w:ascii="宋体" w:hAnsi="宋体" w:eastAsia="宋体" w:cs="宋体"/>
                <w:kern w:val="0"/>
                <w:sz w:val="24"/>
                <w:lang w:eastAsia="en-US"/>
              </w:rPr>
            </w:pPr>
          </w:p>
        </w:tc>
      </w:tr>
      <w:tr w14:paraId="2057A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474" w:type="pct"/>
            <w:vAlign w:val="center"/>
          </w:tcPr>
          <w:p w14:paraId="1393F14B">
            <w:pPr>
              <w:rPr>
                <w:rFonts w:ascii="宋体" w:hAnsi="宋体" w:eastAsia="宋体" w:cs="宋体"/>
                <w:kern w:val="0"/>
                <w:sz w:val="24"/>
                <w:lang w:eastAsia="en-US"/>
              </w:rPr>
            </w:pPr>
          </w:p>
        </w:tc>
        <w:tc>
          <w:tcPr>
            <w:tcW w:w="474" w:type="pct"/>
            <w:vAlign w:val="center"/>
          </w:tcPr>
          <w:p w14:paraId="555F7DF7">
            <w:pPr>
              <w:rPr>
                <w:rFonts w:ascii="宋体" w:hAnsi="宋体" w:eastAsia="宋体" w:cs="宋体"/>
                <w:kern w:val="0"/>
                <w:sz w:val="24"/>
                <w:lang w:eastAsia="en-US"/>
              </w:rPr>
            </w:pPr>
            <w:r>
              <w:rPr>
                <w:rFonts w:hint="eastAsia" w:ascii="宋体" w:hAnsi="宋体" w:eastAsia="宋体" w:cs="宋体"/>
                <w:kern w:val="0"/>
                <w:sz w:val="24"/>
                <w:lang w:eastAsia="en-US"/>
              </w:rPr>
              <w:t>…</w:t>
            </w:r>
          </w:p>
        </w:tc>
        <w:tc>
          <w:tcPr>
            <w:tcW w:w="307" w:type="pct"/>
            <w:vAlign w:val="center"/>
          </w:tcPr>
          <w:p w14:paraId="4449C8C8">
            <w:pPr>
              <w:rPr>
                <w:rFonts w:ascii="宋体" w:hAnsi="宋体" w:eastAsia="宋体" w:cs="宋体"/>
                <w:kern w:val="0"/>
                <w:sz w:val="24"/>
              </w:rPr>
            </w:pPr>
          </w:p>
        </w:tc>
        <w:tc>
          <w:tcPr>
            <w:tcW w:w="326" w:type="pct"/>
            <w:vAlign w:val="center"/>
          </w:tcPr>
          <w:p w14:paraId="66BD7864">
            <w:pPr>
              <w:rPr>
                <w:rFonts w:ascii="宋体" w:hAnsi="宋体" w:eastAsia="宋体" w:cs="宋体"/>
                <w:kern w:val="0"/>
                <w:sz w:val="24"/>
              </w:rPr>
            </w:pPr>
          </w:p>
        </w:tc>
        <w:tc>
          <w:tcPr>
            <w:tcW w:w="541" w:type="pct"/>
            <w:vAlign w:val="center"/>
          </w:tcPr>
          <w:p w14:paraId="2CDC473A">
            <w:pPr>
              <w:rPr>
                <w:rFonts w:ascii="宋体" w:hAnsi="宋体" w:eastAsia="宋体" w:cs="宋体"/>
                <w:kern w:val="0"/>
                <w:sz w:val="24"/>
                <w:lang w:eastAsia="en-US"/>
              </w:rPr>
            </w:pPr>
          </w:p>
        </w:tc>
        <w:tc>
          <w:tcPr>
            <w:tcW w:w="500" w:type="pct"/>
            <w:vAlign w:val="center"/>
          </w:tcPr>
          <w:p w14:paraId="35B2A376">
            <w:pPr>
              <w:rPr>
                <w:rFonts w:ascii="宋体" w:hAnsi="宋体" w:eastAsia="宋体" w:cs="宋体"/>
                <w:kern w:val="0"/>
                <w:sz w:val="24"/>
              </w:rPr>
            </w:pPr>
          </w:p>
        </w:tc>
        <w:tc>
          <w:tcPr>
            <w:tcW w:w="522" w:type="pct"/>
            <w:vAlign w:val="center"/>
          </w:tcPr>
          <w:p w14:paraId="27CEBB0C">
            <w:pPr>
              <w:rPr>
                <w:rFonts w:ascii="宋体" w:hAnsi="宋体" w:eastAsia="宋体" w:cs="宋体"/>
                <w:kern w:val="0"/>
                <w:sz w:val="24"/>
              </w:rPr>
            </w:pPr>
          </w:p>
        </w:tc>
        <w:tc>
          <w:tcPr>
            <w:tcW w:w="718" w:type="pct"/>
            <w:vAlign w:val="center"/>
          </w:tcPr>
          <w:p w14:paraId="361E4C79">
            <w:pPr>
              <w:rPr>
                <w:rFonts w:ascii="宋体" w:hAnsi="宋体" w:eastAsia="宋体" w:cs="宋体"/>
                <w:kern w:val="0"/>
                <w:sz w:val="24"/>
                <w:lang w:eastAsia="en-US"/>
              </w:rPr>
            </w:pPr>
          </w:p>
        </w:tc>
        <w:tc>
          <w:tcPr>
            <w:tcW w:w="384" w:type="pct"/>
            <w:vAlign w:val="center"/>
          </w:tcPr>
          <w:p w14:paraId="5D142885">
            <w:pPr>
              <w:rPr>
                <w:rFonts w:ascii="宋体" w:hAnsi="宋体" w:eastAsia="宋体" w:cs="宋体"/>
                <w:kern w:val="0"/>
                <w:sz w:val="24"/>
              </w:rPr>
            </w:pPr>
          </w:p>
        </w:tc>
        <w:tc>
          <w:tcPr>
            <w:tcW w:w="375" w:type="pct"/>
            <w:vAlign w:val="center"/>
          </w:tcPr>
          <w:p w14:paraId="2D73A1D2">
            <w:pPr>
              <w:rPr>
                <w:rFonts w:ascii="宋体" w:hAnsi="宋体" w:eastAsia="宋体" w:cs="宋体"/>
                <w:kern w:val="0"/>
                <w:sz w:val="24"/>
              </w:rPr>
            </w:pPr>
          </w:p>
        </w:tc>
        <w:tc>
          <w:tcPr>
            <w:tcW w:w="378" w:type="pct"/>
            <w:vAlign w:val="center"/>
          </w:tcPr>
          <w:p w14:paraId="499B2EB8">
            <w:pPr>
              <w:rPr>
                <w:rFonts w:ascii="宋体" w:hAnsi="宋体" w:eastAsia="宋体" w:cs="宋体"/>
                <w:kern w:val="0"/>
                <w:sz w:val="24"/>
                <w:lang w:eastAsia="en-US"/>
              </w:rPr>
            </w:pPr>
          </w:p>
        </w:tc>
      </w:tr>
    </w:tbl>
    <w:p w14:paraId="5F7E59EF">
      <w:pPr>
        <w:ind w:firstLine="480" w:firstLineChars="200"/>
        <w:rPr>
          <w:rFonts w:cs="黑体" w:asciiTheme="minorEastAsia" w:hAnsiTheme="minorEastAsia"/>
          <w:sz w:val="24"/>
        </w:rPr>
      </w:pPr>
      <w:r>
        <w:rPr>
          <w:rFonts w:hint="eastAsia" w:ascii="宋体" w:hAnsi="宋体" w:eastAsia="宋体" w:cs="宋体"/>
          <w:kern w:val="0"/>
          <w:sz w:val="24"/>
        </w:rPr>
        <w:t>注：详见采购公告</w:t>
      </w:r>
      <w:r>
        <w:rPr>
          <w:rFonts w:hint="eastAsia"/>
          <w:sz w:val="24"/>
        </w:rPr>
        <w:t>人员</w:t>
      </w:r>
      <w:r>
        <w:rPr>
          <w:rFonts w:hint="eastAsia" w:ascii="宋体" w:hAnsi="宋体" w:eastAsia="宋体" w:cs="宋体"/>
          <w:kern w:val="0"/>
          <w:sz w:val="24"/>
        </w:rPr>
        <w:t>要求，</w:t>
      </w:r>
      <w:r>
        <w:rPr>
          <w:rFonts w:cs="黑体" w:asciiTheme="minorEastAsia" w:hAnsiTheme="minorEastAsia"/>
          <w:sz w:val="24"/>
        </w:rPr>
        <w:t>供应商应根据供应商须知前附表第3.5</w:t>
      </w:r>
      <w:r>
        <w:rPr>
          <w:rFonts w:hint="eastAsia" w:cs="黑体" w:asciiTheme="minorEastAsia" w:hAnsiTheme="minorEastAsia"/>
          <w:sz w:val="24"/>
        </w:rPr>
        <w:t>.1</w:t>
      </w:r>
      <w:r>
        <w:rPr>
          <w:rFonts w:cs="黑体" w:asciiTheme="minorEastAsia" w:hAnsiTheme="minorEastAsia"/>
          <w:sz w:val="24"/>
        </w:rPr>
        <w:t xml:space="preserve"> (6) 项的要求在本表后附相关证明材料。</w:t>
      </w:r>
      <w:r>
        <w:rPr>
          <w:rFonts w:hint="eastAsia" w:ascii="宋体" w:hAnsi="宋体" w:eastAsia="宋体" w:cs="宋体"/>
          <w:kern w:val="0"/>
          <w:sz w:val="24"/>
        </w:rPr>
        <w:t>提供项目团队人员与评审相关的证明材料：</w:t>
      </w:r>
      <w:r>
        <w:rPr>
          <w:rFonts w:hint="eastAsia" w:ascii="宋体" w:hAnsi="宋体" w:eastAsia="宋体" w:cs="宋体"/>
          <w:b/>
          <w:kern w:val="0"/>
          <w:sz w:val="24"/>
          <w:u w:val="single"/>
        </w:rPr>
        <w:t>如职称证书、工作履历（形式不限）、学历或学位证书等</w:t>
      </w:r>
      <w:r>
        <w:rPr>
          <w:rFonts w:hint="eastAsia" w:ascii="宋体" w:hAnsi="宋体" w:eastAsia="宋体" w:cs="宋体"/>
          <w:kern w:val="0"/>
          <w:sz w:val="24"/>
        </w:rPr>
        <w:t>，</w:t>
      </w:r>
      <w:r>
        <w:rPr>
          <w:rFonts w:hint="eastAsia" w:ascii="宋体" w:hAnsi="宋体" w:eastAsia="宋体" w:cs="Times New Roman"/>
          <w:kern w:val="0"/>
          <w:sz w:val="24"/>
          <w:lang w:val="zh-CN"/>
        </w:rPr>
        <w:t>评审办法中有其它要求的证明材料按评审办法要求提供</w:t>
      </w:r>
      <w:r>
        <w:rPr>
          <w:rFonts w:hint="eastAsia" w:ascii="宋体" w:hAnsi="宋体" w:eastAsia="宋体" w:cs="宋体"/>
          <w:spacing w:val="-6"/>
          <w:kern w:val="0"/>
          <w:sz w:val="24"/>
        </w:rPr>
        <w:t>。</w:t>
      </w:r>
    </w:p>
    <w:p w14:paraId="0559D49C">
      <w:pPr>
        <w:widowControl/>
        <w:ind w:firstLine="470" w:firstLineChars="200"/>
        <w:jc w:val="left"/>
        <w:rPr>
          <w:rFonts w:cs="宋体" w:asciiTheme="minorEastAsia" w:hAnsiTheme="minorEastAsia"/>
          <w:b/>
          <w:spacing w:val="-3"/>
          <w:kern w:val="0"/>
          <w:sz w:val="24"/>
        </w:rPr>
      </w:pPr>
      <w:r>
        <w:rPr>
          <w:rFonts w:asciiTheme="minorEastAsia" w:hAnsiTheme="minorEastAsia"/>
          <w:b/>
          <w:spacing w:val="-3"/>
          <w:sz w:val="24"/>
        </w:rPr>
        <w:br w:type="page"/>
      </w:r>
    </w:p>
    <w:p w14:paraId="69545104">
      <w:pPr>
        <w:spacing w:before="240" w:line="360" w:lineRule="auto"/>
        <w:ind w:firstLine="482" w:firstLineChars="200"/>
        <w:rPr>
          <w:rFonts w:ascii="Times New Roman" w:hAnsi="Times New Roman" w:eastAsia="宋体" w:cs="Calibri"/>
          <w:b/>
          <w:bCs/>
          <w:kern w:val="0"/>
          <w:sz w:val="24"/>
        </w:rPr>
      </w:pPr>
      <w:r>
        <w:rPr>
          <w:rFonts w:hint="eastAsia" w:ascii="Times New Roman" w:hAnsi="Times New Roman" w:eastAsia="宋体" w:cs="Calibri"/>
          <w:b/>
          <w:bCs/>
          <w:kern w:val="0"/>
          <w:sz w:val="24"/>
        </w:rPr>
        <w:t>（八）制造商授权书</w:t>
      </w:r>
    </w:p>
    <w:p w14:paraId="578E11DF">
      <w:pPr>
        <w:ind w:firstLine="480" w:firstLineChars="200"/>
        <w:rPr>
          <w:rFonts w:cs="黑体" w:asciiTheme="minorEastAsia" w:hAnsiTheme="minorEastAsia"/>
          <w:sz w:val="24"/>
        </w:rPr>
      </w:pPr>
      <w:r>
        <w:rPr>
          <w:rFonts w:cs="黑体" w:asciiTheme="minorEastAsia" w:hAnsiTheme="minorEastAsia"/>
          <w:sz w:val="24"/>
        </w:rPr>
        <w:t>注</w:t>
      </w:r>
      <w:r>
        <w:rPr>
          <w:rFonts w:hint="eastAsia" w:cs="黑体" w:asciiTheme="minorEastAsia" w:hAnsiTheme="minorEastAsia"/>
          <w:sz w:val="24"/>
        </w:rPr>
        <w:t>：</w:t>
      </w:r>
      <w:r>
        <w:rPr>
          <w:rFonts w:cs="黑体" w:asciiTheme="minorEastAsia" w:hAnsiTheme="minorEastAsia"/>
          <w:sz w:val="24"/>
        </w:rPr>
        <w:t>供应商应根据供应商须知前附表第3.5</w:t>
      </w:r>
      <w:r>
        <w:rPr>
          <w:rFonts w:hint="eastAsia" w:cs="黑体" w:asciiTheme="minorEastAsia" w:hAnsiTheme="minorEastAsia"/>
          <w:sz w:val="24"/>
        </w:rPr>
        <w:t>.1</w:t>
      </w:r>
      <w:r>
        <w:rPr>
          <w:rFonts w:cs="黑体" w:asciiTheme="minorEastAsia" w:hAnsiTheme="minorEastAsia"/>
          <w:sz w:val="24"/>
        </w:rPr>
        <w:t xml:space="preserve"> (7) 项的要求在本表后附相关证明材料。</w:t>
      </w:r>
    </w:p>
    <w:p w14:paraId="1CEEA70C">
      <w:pPr>
        <w:spacing w:line="360" w:lineRule="auto"/>
        <w:ind w:firstLine="482" w:firstLineChars="200"/>
        <w:jc w:val="center"/>
        <w:rPr>
          <w:rFonts w:asciiTheme="minorEastAsia" w:hAnsiTheme="minorEastAsia"/>
          <w:b/>
          <w:sz w:val="24"/>
        </w:rPr>
      </w:pPr>
      <w:r>
        <w:rPr>
          <w:rFonts w:hint="eastAsia" w:asciiTheme="minorEastAsia" w:hAnsiTheme="minorEastAsia"/>
          <w:b/>
          <w:sz w:val="24"/>
        </w:rPr>
        <w:t>制造商授权书（如要求</w:t>
      </w:r>
      <w:r>
        <w:rPr>
          <w:rFonts w:asciiTheme="minorEastAsia" w:hAnsiTheme="minorEastAsia"/>
          <w:b/>
          <w:sz w:val="24"/>
        </w:rPr>
        <w:t>）</w:t>
      </w:r>
    </w:p>
    <w:p w14:paraId="600FF483">
      <w:pPr>
        <w:pStyle w:val="3"/>
        <w:spacing w:before="192" w:line="360" w:lineRule="auto"/>
        <w:ind w:left="100" w:right="21" w:firstLine="480" w:firstLineChars="200"/>
        <w:rPr>
          <w:sz w:val="24"/>
          <w:szCs w:val="24"/>
          <w:lang w:eastAsia="zh-CN"/>
        </w:rPr>
      </w:pPr>
      <w:r>
        <w:rPr>
          <w:rFonts w:hint="eastAsia"/>
          <w:sz w:val="24"/>
          <w:szCs w:val="24"/>
          <w:lang w:eastAsia="zh-CN"/>
        </w:rPr>
        <w:t>致：</w:t>
      </w:r>
      <w:r>
        <w:rPr>
          <w:rFonts w:hint="eastAsia"/>
          <w:sz w:val="24"/>
          <w:szCs w:val="24"/>
          <w:u w:val="single"/>
          <w:lang w:eastAsia="zh-CN"/>
        </w:rPr>
        <w:t>中国核动力研究设计院</w:t>
      </w:r>
    </w:p>
    <w:p w14:paraId="47EF27FC">
      <w:pPr>
        <w:spacing w:line="360" w:lineRule="auto"/>
        <w:ind w:firstLine="480" w:firstLineChars="200"/>
        <w:rPr>
          <w:rFonts w:asciiTheme="minorEastAsia" w:hAnsiTheme="minorEastAsia"/>
          <w:sz w:val="24"/>
        </w:rPr>
      </w:pPr>
      <w:r>
        <w:rPr>
          <w:rFonts w:hint="eastAsia" w:asciiTheme="minorEastAsia" w:hAnsiTheme="minorEastAsia"/>
          <w:sz w:val="24"/>
        </w:rPr>
        <w:t>我们（制造商名称）是按（国家名称）法律成立的设备制造公司，主要营业地点设在（制造商地址）。兹指派按（代理商所在国名称）的法律正式成立的、主要营业地点设在（代理商地址）的（代理商名称）作为我方真正的和合法的代理人进行下列有效的活动：</w:t>
      </w:r>
    </w:p>
    <w:p w14:paraId="72E5D5D9">
      <w:pPr>
        <w:spacing w:line="360" w:lineRule="auto"/>
        <w:ind w:firstLine="480" w:firstLineChars="200"/>
        <w:rPr>
          <w:rFonts w:asciiTheme="minorEastAsia" w:hAnsiTheme="minorEastAsia"/>
          <w:sz w:val="24"/>
        </w:rPr>
      </w:pPr>
      <w:r>
        <w:rPr>
          <w:rFonts w:hint="eastAsia" w:asciiTheme="minorEastAsia" w:hAnsiTheme="minorEastAsia"/>
          <w:sz w:val="24"/>
        </w:rPr>
        <w:t>(1) 代表我方在中华人民共和国办理贵方编号为的采购文件要求提供的由我方制造的货物的有关事宜，并对我方具有约束力。</w:t>
      </w:r>
    </w:p>
    <w:p w14:paraId="3EFBD3EF">
      <w:pPr>
        <w:spacing w:line="360" w:lineRule="auto"/>
        <w:ind w:firstLine="480" w:firstLineChars="200"/>
        <w:rPr>
          <w:rFonts w:asciiTheme="minorEastAsia" w:hAnsiTheme="minorEastAsia"/>
          <w:sz w:val="24"/>
        </w:rPr>
      </w:pPr>
      <w:r>
        <w:rPr>
          <w:rFonts w:hint="eastAsia" w:asciiTheme="minorEastAsia" w:hAnsiTheme="minorEastAsia"/>
          <w:sz w:val="24"/>
        </w:rPr>
        <w:t>（2）作为制造商，我方保证以响应合作者来约束自己，并对该响应共同和分别承担采购文件中所规定的义务。</w:t>
      </w:r>
    </w:p>
    <w:p w14:paraId="7270AF22">
      <w:pPr>
        <w:tabs>
          <w:tab w:val="left" w:pos="1140"/>
        </w:tabs>
        <w:spacing w:line="360" w:lineRule="auto"/>
        <w:ind w:firstLine="480" w:firstLineChars="200"/>
        <w:rPr>
          <w:rFonts w:asciiTheme="minorEastAsia" w:hAnsiTheme="minorEastAsia"/>
          <w:sz w:val="24"/>
        </w:rPr>
      </w:pPr>
      <w:r>
        <w:rPr>
          <w:rFonts w:hint="eastAsia" w:asciiTheme="minorEastAsia" w:hAnsiTheme="minorEastAsia"/>
          <w:sz w:val="24"/>
        </w:rPr>
        <w:t>（3）我方兹授予（代理商名称）全权办理和履行上述我方为完成上述各点所必须的事宜，具有替换或撤消的全权。</w:t>
      </w:r>
    </w:p>
    <w:p w14:paraId="0DA6291A">
      <w:pPr>
        <w:tabs>
          <w:tab w:val="left" w:pos="1140"/>
        </w:tabs>
        <w:spacing w:line="360" w:lineRule="auto"/>
        <w:ind w:firstLine="480" w:firstLineChars="200"/>
        <w:rPr>
          <w:rFonts w:asciiTheme="minorEastAsia" w:hAnsiTheme="minorEastAsia"/>
          <w:sz w:val="24"/>
        </w:rPr>
      </w:pPr>
      <w:r>
        <w:rPr>
          <w:rFonts w:hint="eastAsia" w:asciiTheme="minorEastAsia" w:hAnsiTheme="minorEastAsia"/>
          <w:sz w:val="24"/>
        </w:rPr>
        <w:t>兹确认（代理商名称）或其正式授权代表依此合法地办理一切事宜。</w:t>
      </w:r>
    </w:p>
    <w:p w14:paraId="60B612CB">
      <w:pPr>
        <w:tabs>
          <w:tab w:val="left" w:pos="1140"/>
        </w:tabs>
        <w:spacing w:line="360" w:lineRule="auto"/>
        <w:ind w:firstLine="480" w:firstLineChars="200"/>
        <w:rPr>
          <w:rFonts w:asciiTheme="minorEastAsia" w:hAnsiTheme="minorEastAsia"/>
          <w:sz w:val="24"/>
        </w:rPr>
      </w:pPr>
      <w:r>
        <w:rPr>
          <w:rFonts w:hint="eastAsia" w:asciiTheme="minorEastAsia" w:hAnsiTheme="minorEastAsia"/>
          <w:sz w:val="24"/>
        </w:rPr>
        <w:t>我方于年月日签署本文件，（代理商名称）于年月日接受此件，以此为证。</w:t>
      </w:r>
    </w:p>
    <w:p w14:paraId="6D4CF853">
      <w:pPr>
        <w:spacing w:line="360" w:lineRule="auto"/>
        <w:ind w:firstLine="480" w:firstLineChars="200"/>
        <w:rPr>
          <w:rFonts w:asciiTheme="minorEastAsia" w:hAnsiTheme="minorEastAsia"/>
          <w:sz w:val="24"/>
        </w:rPr>
      </w:pPr>
      <w:r>
        <w:rPr>
          <w:rFonts w:hint="eastAsia" w:asciiTheme="minorEastAsia" w:hAnsiTheme="minorEastAsia"/>
          <w:sz w:val="24"/>
        </w:rPr>
        <w:t>代理商名称：</w:t>
      </w:r>
      <w:r>
        <w:rPr>
          <w:rFonts w:hint="eastAsia" w:asciiTheme="minorEastAsia" w:hAnsiTheme="minorEastAsia"/>
          <w:sz w:val="24"/>
          <w:u w:val="single"/>
        </w:rPr>
        <w:t xml:space="preserve">  （公章）   </w:t>
      </w:r>
      <w:r>
        <w:rPr>
          <w:rFonts w:hint="eastAsia" w:asciiTheme="minorEastAsia" w:hAnsiTheme="minorEastAsia"/>
          <w:sz w:val="24"/>
        </w:rPr>
        <w:t xml:space="preserve">        出具授权书的制造商名称：</w:t>
      </w:r>
      <w:r>
        <w:rPr>
          <w:rFonts w:hint="eastAsia" w:asciiTheme="minorEastAsia" w:hAnsiTheme="minorEastAsia"/>
          <w:sz w:val="24"/>
          <w:u w:val="single"/>
        </w:rPr>
        <w:t xml:space="preserve">   （公章）     </w:t>
      </w:r>
    </w:p>
    <w:p w14:paraId="660E4EB3">
      <w:pPr>
        <w:spacing w:line="360" w:lineRule="auto"/>
        <w:ind w:firstLine="480" w:firstLineChars="200"/>
        <w:rPr>
          <w:rFonts w:asciiTheme="minorEastAsia" w:hAnsiTheme="minorEastAsia"/>
          <w:sz w:val="24"/>
          <w:u w:val="single"/>
        </w:rPr>
      </w:pPr>
      <w:r>
        <w:rPr>
          <w:rFonts w:hint="eastAsia" w:asciiTheme="minorEastAsia" w:hAnsiTheme="minorEastAsia"/>
          <w:sz w:val="24"/>
        </w:rPr>
        <w:t xml:space="preserve">正式授权签字的代表       正式授权签字的代表 </w:t>
      </w:r>
    </w:p>
    <w:p w14:paraId="240147D6">
      <w:pPr>
        <w:spacing w:line="360" w:lineRule="auto"/>
        <w:ind w:firstLine="480" w:firstLineChars="200"/>
        <w:rPr>
          <w:rFonts w:asciiTheme="minorEastAsia" w:hAnsiTheme="minorEastAsia"/>
          <w:sz w:val="24"/>
        </w:rPr>
      </w:pPr>
      <w:r>
        <w:rPr>
          <w:rFonts w:hint="eastAsia" w:asciiTheme="minorEastAsia" w:hAnsiTheme="minorEastAsia"/>
          <w:sz w:val="24"/>
        </w:rPr>
        <w:t>姓名、职务和部门：      姓名、职务和部门：</w:t>
      </w:r>
    </w:p>
    <w:p w14:paraId="28A806E7">
      <w:pPr>
        <w:pStyle w:val="3"/>
        <w:spacing w:before="37" w:line="360" w:lineRule="auto"/>
        <w:ind w:left="100" w:right="21" w:firstLine="480" w:firstLineChars="200"/>
        <w:rPr>
          <w:sz w:val="24"/>
          <w:szCs w:val="24"/>
          <w:lang w:eastAsia="zh-CN"/>
        </w:rPr>
      </w:pPr>
      <w:r>
        <w:rPr>
          <w:rFonts w:hint="eastAsia"/>
          <w:sz w:val="24"/>
          <w:szCs w:val="24"/>
          <w:lang w:eastAsia="zh-CN"/>
        </w:rPr>
        <w:t>注：本格式为参考格式</w:t>
      </w:r>
      <w:bookmarkStart w:id="253" w:name="_bookmark170"/>
      <w:bookmarkEnd w:id="253"/>
      <w:bookmarkStart w:id="254" w:name="_bookmark157"/>
      <w:bookmarkEnd w:id="254"/>
    </w:p>
    <w:p w14:paraId="3DACA349">
      <w:pPr>
        <w:ind w:firstLine="480" w:firstLineChars="200"/>
        <w:rPr>
          <w:sz w:val="24"/>
        </w:rPr>
      </w:pPr>
      <w:r>
        <w:rPr>
          <w:rFonts w:hint="eastAsia"/>
          <w:sz w:val="24"/>
        </w:rPr>
        <w:br w:type="page"/>
      </w:r>
    </w:p>
    <w:p w14:paraId="7A142EE4">
      <w:pPr>
        <w:spacing w:before="240" w:line="360" w:lineRule="auto"/>
        <w:rPr>
          <w:rFonts w:ascii="Times New Roman" w:hAnsi="Times New Roman" w:eastAsia="宋体" w:cs="Calibri"/>
          <w:b/>
          <w:bCs/>
          <w:kern w:val="0"/>
          <w:sz w:val="24"/>
        </w:rPr>
      </w:pPr>
      <w:r>
        <w:rPr>
          <w:rFonts w:hint="eastAsia" w:ascii="Times New Roman" w:hAnsi="Times New Roman" w:eastAsia="宋体" w:cs="Calibri"/>
          <w:b/>
          <w:bCs/>
          <w:kern w:val="0"/>
          <w:sz w:val="24"/>
        </w:rPr>
        <w:t>（九）其他商务资料</w:t>
      </w:r>
    </w:p>
    <w:p w14:paraId="6D8F8440">
      <w:pPr>
        <w:spacing w:line="360" w:lineRule="auto"/>
        <w:ind w:firstLine="482" w:firstLineChars="200"/>
        <w:jc w:val="center"/>
        <w:rPr>
          <w:rFonts w:asciiTheme="minorEastAsia" w:hAnsiTheme="minorEastAsia"/>
          <w:b/>
          <w:sz w:val="24"/>
        </w:rPr>
      </w:pPr>
      <w:r>
        <w:rPr>
          <w:rFonts w:hint="eastAsia" w:asciiTheme="minorEastAsia" w:hAnsiTheme="minorEastAsia"/>
          <w:b/>
          <w:sz w:val="24"/>
        </w:rPr>
        <w:t>保密承诺书（如要求</w:t>
      </w:r>
      <w:r>
        <w:rPr>
          <w:rFonts w:asciiTheme="minorEastAsia" w:hAnsiTheme="minorEastAsia"/>
          <w:b/>
          <w:sz w:val="24"/>
        </w:rPr>
        <w:t>）</w:t>
      </w:r>
    </w:p>
    <w:p w14:paraId="288B0BC7">
      <w:pPr>
        <w:spacing w:line="360" w:lineRule="auto"/>
        <w:rPr>
          <w:b/>
          <w:bCs/>
          <w:sz w:val="24"/>
        </w:rPr>
      </w:pPr>
      <w:r>
        <w:rPr>
          <w:rFonts w:hint="eastAsia"/>
          <w:b/>
          <w:bCs/>
          <w:sz w:val="24"/>
        </w:rPr>
        <w:t>致：中国核动力研究设计院</w:t>
      </w:r>
    </w:p>
    <w:p w14:paraId="3A7DAE95">
      <w:pPr>
        <w:spacing w:line="360" w:lineRule="auto"/>
        <w:ind w:firstLine="480" w:firstLineChars="200"/>
        <w:rPr>
          <w:sz w:val="24"/>
        </w:rPr>
      </w:pPr>
      <w:r>
        <w:rPr>
          <w:rFonts w:hint="eastAsia"/>
          <w:sz w:val="24"/>
        </w:rPr>
        <w:t>根据贵方为</w:t>
      </w:r>
      <w:r>
        <w:rPr>
          <w:rFonts w:hint="eastAsia"/>
          <w:sz w:val="24"/>
          <w:u w:val="single"/>
        </w:rPr>
        <w:t>（项</w:t>
      </w:r>
      <w:r>
        <w:rPr>
          <w:sz w:val="24"/>
          <w:u w:val="single"/>
        </w:rPr>
        <w:t>目名称）</w:t>
      </w:r>
      <w:r>
        <w:rPr>
          <w:rFonts w:hint="eastAsia"/>
          <w:sz w:val="24"/>
        </w:rPr>
        <w:t>的采购文件（采购编号：），</w:t>
      </w:r>
      <w:r>
        <w:rPr>
          <w:rFonts w:hint="eastAsia"/>
          <w:sz w:val="24"/>
          <w:u w:val="single"/>
        </w:rPr>
        <w:t>我公司（供应商名称和地址）</w:t>
      </w:r>
      <w:r>
        <w:rPr>
          <w:rFonts w:hint="eastAsia"/>
          <w:sz w:val="24"/>
        </w:rPr>
        <w:t>在此做出以下郑重承诺：</w:t>
      </w:r>
    </w:p>
    <w:p w14:paraId="41F8181D">
      <w:pPr>
        <w:numPr>
          <w:ilvl w:val="0"/>
          <w:numId w:val="23"/>
        </w:numPr>
        <w:spacing w:line="360" w:lineRule="auto"/>
        <w:ind w:left="0" w:firstLine="480" w:firstLineChars="200"/>
        <w:rPr>
          <w:sz w:val="24"/>
        </w:rPr>
      </w:pPr>
      <w:r>
        <w:rPr>
          <w:rFonts w:hint="eastAsia"/>
          <w:sz w:val="24"/>
        </w:rPr>
        <w:t>我方从你方获得的所有文件、数据和其他资料仅限用于准备和提交应答文件，以应答供应商须知的要求。</w:t>
      </w:r>
    </w:p>
    <w:p w14:paraId="63F13450">
      <w:pPr>
        <w:numPr>
          <w:ilvl w:val="0"/>
          <w:numId w:val="23"/>
        </w:numPr>
        <w:spacing w:line="360" w:lineRule="auto"/>
        <w:ind w:left="0" w:firstLine="480" w:firstLineChars="200"/>
        <w:rPr>
          <w:sz w:val="24"/>
        </w:rPr>
      </w:pPr>
      <w:r>
        <w:rPr>
          <w:rFonts w:hint="eastAsia"/>
          <w:sz w:val="24"/>
        </w:rPr>
        <w:t>由你方直接或间接提供的与供应商须知相关的任何文档、数据和其他资料应严格保密，在未经采购单位书面同意的情况下，无论该信息是响应前提供的、响应过程中提供的，还是响应结束后提供的，均不会泄露给任何第三方。</w:t>
      </w:r>
    </w:p>
    <w:p w14:paraId="4D8457E1">
      <w:pPr>
        <w:numPr>
          <w:ilvl w:val="0"/>
          <w:numId w:val="23"/>
        </w:numPr>
        <w:spacing w:line="360" w:lineRule="auto"/>
        <w:ind w:left="0" w:firstLine="480" w:firstLineChars="200"/>
        <w:rPr>
          <w:sz w:val="24"/>
        </w:rPr>
      </w:pPr>
      <w:r>
        <w:rPr>
          <w:rFonts w:hint="eastAsia"/>
          <w:sz w:val="24"/>
        </w:rPr>
        <w:t>如存在为准备应答文件的目的，需要将你方提供给的相关文件、数据和其他资料提交给分供方的情况，我方将书面通告你方，并与分供方签订类似的保密协议。</w:t>
      </w:r>
    </w:p>
    <w:p w14:paraId="73132852">
      <w:pPr>
        <w:numPr>
          <w:ilvl w:val="0"/>
          <w:numId w:val="23"/>
        </w:numPr>
        <w:spacing w:line="360" w:lineRule="auto"/>
        <w:ind w:left="0" w:firstLine="480" w:firstLineChars="200"/>
        <w:rPr>
          <w:sz w:val="24"/>
        </w:rPr>
      </w:pPr>
      <w:r>
        <w:rPr>
          <w:rFonts w:hint="eastAsia"/>
          <w:sz w:val="24"/>
        </w:rPr>
        <w:t>由于我方需要，通过你方从第三方可能获得某些敏感文件、数据和资料，比如接口数据等，在此之前，我方应直接与第三方签订类似的保密承诺或协议。此外，如有要求，我方应向你方或者第三方交还这些敏感资料。</w:t>
      </w:r>
    </w:p>
    <w:p w14:paraId="5EF27F8A">
      <w:pPr>
        <w:pStyle w:val="2"/>
        <w:ind w:firstLineChars="0"/>
        <w:rPr>
          <w:sz w:val="24"/>
          <w:lang w:val="zh-CN" w:eastAsia="zh-CN"/>
        </w:rPr>
      </w:pPr>
      <w:r>
        <w:rPr>
          <w:rFonts w:hint="eastAsia"/>
          <w:sz w:val="24"/>
          <w:lang w:val="zh-CN" w:eastAsia="zh-CN"/>
        </w:rPr>
        <w:t>如我方中选，我方将与参与本项目的所有员工签订保密协议。</w:t>
      </w:r>
    </w:p>
    <w:p w14:paraId="3A442D01">
      <w:pPr>
        <w:pStyle w:val="3"/>
        <w:spacing w:line="480" w:lineRule="auto"/>
        <w:ind w:left="2601" w:firstLine="480" w:firstLineChars="200"/>
        <w:jc w:val="righ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供应</w:t>
      </w:r>
      <w:r>
        <w:rPr>
          <w:rFonts w:asciiTheme="minorEastAsia" w:hAnsiTheme="minorEastAsia" w:eastAsiaTheme="minorEastAsia"/>
          <w:sz w:val="24"/>
          <w:szCs w:val="24"/>
          <w:lang w:eastAsia="zh-CN"/>
        </w:rPr>
        <w:t>商：（</w:t>
      </w:r>
      <w:r>
        <w:rPr>
          <w:rFonts w:hint="eastAsia" w:asciiTheme="minorEastAsia" w:hAnsiTheme="minorEastAsia" w:eastAsiaTheme="minorEastAsia"/>
          <w:sz w:val="24"/>
          <w:szCs w:val="24"/>
          <w:lang w:eastAsia="zh-CN"/>
        </w:rPr>
        <w:t>盖公章</w:t>
      </w:r>
      <w:r>
        <w:rPr>
          <w:rFonts w:asciiTheme="minorEastAsia" w:hAnsiTheme="minorEastAsia" w:eastAsiaTheme="minorEastAsia"/>
          <w:sz w:val="24"/>
          <w:szCs w:val="24"/>
          <w:lang w:eastAsia="zh-CN"/>
        </w:rPr>
        <w:t>）</w:t>
      </w:r>
    </w:p>
    <w:p w14:paraId="6014685A">
      <w:pPr>
        <w:spacing w:line="480" w:lineRule="auto"/>
        <w:ind w:firstLine="480" w:firstLineChars="200"/>
        <w:jc w:val="right"/>
        <w:rPr>
          <w:rFonts w:asciiTheme="minorEastAsia" w:hAnsiTheme="minorEastAsia"/>
          <w:sz w:val="24"/>
        </w:rPr>
      </w:pPr>
      <w:r>
        <w:rPr>
          <w:rFonts w:asciiTheme="minorEastAsia" w:hAnsiTheme="minorEastAsia"/>
          <w:sz w:val="24"/>
        </w:rPr>
        <w:t>年月日</w:t>
      </w:r>
    </w:p>
    <w:p w14:paraId="0524DF27">
      <w:r>
        <w:br w:type="page"/>
      </w:r>
    </w:p>
    <w:p w14:paraId="0EC944D0">
      <w:pPr>
        <w:pStyle w:val="6"/>
        <w:ind w:firstLine="482" w:firstLineChars="200"/>
      </w:pPr>
      <w:r>
        <w:t>八、</w:t>
      </w:r>
      <w:r>
        <w:rPr>
          <w:rFonts w:hint="eastAsia"/>
        </w:rPr>
        <w:t>应答方案</w:t>
      </w:r>
    </w:p>
    <w:p w14:paraId="171A3DAE">
      <w:pPr>
        <w:autoSpaceDE w:val="0"/>
        <w:autoSpaceDN w:val="0"/>
        <w:spacing w:line="360" w:lineRule="auto"/>
        <w:ind w:firstLine="482" w:firstLineChars="200"/>
        <w:jc w:val="left"/>
        <w:rPr>
          <w:rFonts w:ascii="宋体" w:hAnsi="宋体" w:cs="宋体"/>
          <w:b/>
          <w:bCs/>
          <w:color w:val="221E1F"/>
          <w:sz w:val="24"/>
        </w:rPr>
      </w:pPr>
      <w:r>
        <w:rPr>
          <w:rFonts w:hint="eastAsia" w:ascii="宋体" w:hAnsi="宋体" w:cs="宋体"/>
          <w:b/>
          <w:bCs/>
          <w:color w:val="221E1F"/>
          <w:sz w:val="24"/>
        </w:rPr>
        <w:t>注：可参考第三章评审办法评分因素进行响应</w:t>
      </w:r>
    </w:p>
    <w:p w14:paraId="7924E6A8">
      <w:pPr>
        <w:widowControl/>
        <w:ind w:firstLine="420" w:firstLineChars="200"/>
        <w:jc w:val="left"/>
        <w:rPr>
          <w:rFonts w:ascii="宋体" w:hAnsi="宋体" w:eastAsia="宋体" w:cstheme="majorBidi"/>
          <w:b/>
          <w:sz w:val="24"/>
        </w:rPr>
      </w:pPr>
      <w:r>
        <w:rPr>
          <w:rFonts w:hint="eastAsia"/>
        </w:rPr>
        <w:br w:type="page"/>
      </w:r>
    </w:p>
    <w:p w14:paraId="26679E5F">
      <w:pPr>
        <w:pStyle w:val="6"/>
        <w:ind w:firstLine="482" w:firstLineChars="200"/>
      </w:pPr>
      <w:r>
        <w:t>九、其他资料</w:t>
      </w:r>
    </w:p>
    <w:p w14:paraId="3337301A">
      <w:pPr>
        <w:autoSpaceDE w:val="0"/>
        <w:ind w:firstLine="420" w:firstLineChars="200"/>
        <w:rPr>
          <w:rFonts w:cs="Times New Roman"/>
        </w:rPr>
      </w:pPr>
      <w:bookmarkStart w:id="255" w:name="_Hlk162950049"/>
      <w:bookmarkStart w:id="256" w:name="_Hlk162949084"/>
      <w:r>
        <w:rPr>
          <w:rFonts w:hint="eastAsia" w:cs="Times New Roman"/>
        </w:rPr>
        <w:t>附件：发票信息及邮寄信息</w:t>
      </w:r>
    </w:p>
    <w:p w14:paraId="40DCD1ED">
      <w:pPr>
        <w:autoSpaceDE w:val="0"/>
        <w:ind w:firstLine="420" w:firstLineChars="200"/>
        <w:rPr>
          <w:rFonts w:cs="Times New Roman"/>
        </w:rPr>
      </w:pPr>
      <w:r>
        <w:rPr>
          <w:rFonts w:hint="eastAsia" w:cs="Times New Roman"/>
        </w:rPr>
        <w:t>发票信息：</w:t>
      </w:r>
    </w:p>
    <w:p w14:paraId="0959438D">
      <w:pPr>
        <w:autoSpaceDE w:val="0"/>
        <w:ind w:firstLine="420" w:firstLineChars="200"/>
        <w:rPr>
          <w:rFonts w:cs="Times New Roman"/>
          <w:u w:val="single"/>
        </w:rPr>
      </w:pPr>
      <w:r>
        <w:rPr>
          <w:rFonts w:hint="eastAsia" w:cs="Times New Roman"/>
        </w:rPr>
        <w:t>名称：</w:t>
      </w:r>
    </w:p>
    <w:p w14:paraId="54D23608">
      <w:pPr>
        <w:autoSpaceDE w:val="0"/>
        <w:ind w:firstLine="420" w:firstLineChars="200"/>
        <w:rPr>
          <w:rFonts w:cs="Times New Roman"/>
        </w:rPr>
      </w:pPr>
      <w:r>
        <w:rPr>
          <w:rFonts w:hint="eastAsia" w:cs="Times New Roman"/>
        </w:rPr>
        <w:t>税号：</w:t>
      </w:r>
    </w:p>
    <w:p w14:paraId="05E31C40">
      <w:pPr>
        <w:autoSpaceDE w:val="0"/>
        <w:ind w:firstLine="420" w:firstLineChars="200"/>
        <w:rPr>
          <w:rFonts w:cs="Times New Roman"/>
          <w:u w:val="single"/>
        </w:rPr>
      </w:pPr>
      <w:r>
        <w:rPr>
          <w:rFonts w:hint="eastAsia" w:cs="Times New Roman"/>
        </w:rPr>
        <w:t>单位地址：</w:t>
      </w:r>
    </w:p>
    <w:p w14:paraId="1108A9F2">
      <w:pPr>
        <w:autoSpaceDE w:val="0"/>
        <w:ind w:firstLine="420" w:firstLineChars="200"/>
        <w:rPr>
          <w:rFonts w:cs="Times New Roman"/>
          <w:u w:val="single"/>
        </w:rPr>
      </w:pPr>
      <w:r>
        <w:rPr>
          <w:rFonts w:hint="eastAsia" w:cs="Times New Roman"/>
        </w:rPr>
        <w:t>电话号码：</w:t>
      </w:r>
    </w:p>
    <w:p w14:paraId="3D03355C">
      <w:pPr>
        <w:autoSpaceDE w:val="0"/>
        <w:ind w:firstLine="420" w:firstLineChars="200"/>
        <w:rPr>
          <w:rFonts w:cs="Times New Roman"/>
          <w:u w:val="single"/>
        </w:rPr>
      </w:pPr>
      <w:r>
        <w:rPr>
          <w:rFonts w:hint="eastAsia" w:cs="Times New Roman"/>
        </w:rPr>
        <w:t>开户银行：</w:t>
      </w:r>
    </w:p>
    <w:p w14:paraId="3AC1756C">
      <w:pPr>
        <w:autoSpaceDE w:val="0"/>
        <w:ind w:firstLine="420" w:firstLineChars="200"/>
        <w:rPr>
          <w:rFonts w:cs="Times New Roman"/>
          <w:u w:val="single"/>
        </w:rPr>
      </w:pPr>
      <w:r>
        <w:rPr>
          <w:rFonts w:hint="eastAsia" w:cs="Times New Roman"/>
        </w:rPr>
        <w:t>银行账户：</w:t>
      </w:r>
    </w:p>
    <w:p w14:paraId="4565B2FD">
      <w:pPr>
        <w:autoSpaceDE w:val="0"/>
        <w:ind w:firstLine="420" w:firstLineChars="200"/>
        <w:rPr>
          <w:rFonts w:cs="Times New Roman"/>
        </w:rPr>
      </w:pPr>
      <w:r>
        <w:rPr>
          <w:rFonts w:hint="eastAsia" w:cs="Times New Roman"/>
        </w:rPr>
        <w:t>是否需要专票：是</w:t>
      </w:r>
      <w:r>
        <w:rPr>
          <w:rFonts w:cs="Times New Roman"/>
        </w:rPr>
        <w:sym w:font="Wingdings 2" w:char="F0A3"/>
      </w:r>
      <w:r>
        <w:rPr>
          <w:rFonts w:hint="eastAsia" w:cs="Times New Roman"/>
        </w:rPr>
        <w:t xml:space="preserve">       否</w:t>
      </w:r>
      <w:r>
        <w:rPr>
          <w:rFonts w:cs="Times New Roman"/>
        </w:rPr>
        <w:sym w:font="Wingdings 2" w:char="F0A3"/>
      </w:r>
    </w:p>
    <w:p w14:paraId="647B577E">
      <w:pPr>
        <w:autoSpaceDE w:val="0"/>
        <w:ind w:firstLine="420" w:firstLineChars="200"/>
        <w:rPr>
          <w:rFonts w:cs="Times New Roman"/>
        </w:rPr>
      </w:pPr>
      <w:r>
        <w:rPr>
          <w:rFonts w:hint="eastAsia" w:cs="Times New Roman"/>
        </w:rPr>
        <w:t>邮寄信息：</w:t>
      </w:r>
    </w:p>
    <w:p w14:paraId="25968A80">
      <w:pPr>
        <w:autoSpaceDE w:val="0"/>
        <w:ind w:firstLine="420" w:firstLineChars="200"/>
        <w:rPr>
          <w:rFonts w:cs="Times New Roman"/>
          <w:u w:val="single"/>
        </w:rPr>
      </w:pPr>
      <w:r>
        <w:rPr>
          <w:rFonts w:hint="eastAsia" w:cs="Times New Roman"/>
        </w:rPr>
        <w:t>收件地址：</w:t>
      </w:r>
    </w:p>
    <w:p w14:paraId="64A400A0">
      <w:pPr>
        <w:autoSpaceDE w:val="0"/>
        <w:ind w:firstLine="420" w:firstLineChars="200"/>
        <w:rPr>
          <w:rFonts w:cs="Times New Roman"/>
          <w:u w:val="single"/>
        </w:rPr>
      </w:pPr>
      <w:r>
        <w:rPr>
          <w:rFonts w:hint="eastAsia" w:cs="Times New Roman"/>
        </w:rPr>
        <w:t>联系人：</w:t>
      </w:r>
    </w:p>
    <w:p w14:paraId="17A3A378">
      <w:pPr>
        <w:autoSpaceDE w:val="0"/>
        <w:ind w:firstLine="420" w:firstLineChars="200"/>
        <w:rPr>
          <w:rFonts w:cs="Times New Roman"/>
          <w:u w:val="single"/>
        </w:rPr>
      </w:pPr>
      <w:r>
        <w:rPr>
          <w:rFonts w:hint="eastAsia" w:cs="Times New Roman"/>
        </w:rPr>
        <w:t>联系电话：</w:t>
      </w:r>
    </w:p>
    <w:bookmarkEnd w:id="255"/>
    <w:p w14:paraId="2A2A5EFE">
      <w:pPr>
        <w:widowControl/>
        <w:ind w:firstLine="420" w:firstLineChars="200"/>
        <w:jc w:val="left"/>
        <w:rPr>
          <w:rFonts w:ascii="Microsoft JhengHei" w:hAnsi="Microsoft JhengHei" w:eastAsia="宋体" w:cs="Times New Roman"/>
          <w:bCs/>
          <w:kern w:val="0"/>
          <w:sz w:val="44"/>
          <w:szCs w:val="44"/>
        </w:rPr>
      </w:pPr>
      <w:r>
        <w:br w:type="page"/>
      </w:r>
    </w:p>
    <w:bookmarkEnd w:id="252"/>
    <w:bookmarkEnd w:id="256"/>
    <w:p w14:paraId="484F7172">
      <w:pPr>
        <w:pStyle w:val="5"/>
        <w:ind w:firstLine="880" w:firstLineChars="200"/>
        <w:rPr>
          <w:lang w:eastAsia="zh-CN"/>
        </w:rPr>
      </w:pPr>
      <w:bookmarkStart w:id="257" w:name="_Toc181123617"/>
      <w:r>
        <w:rPr>
          <w:rFonts w:hint="eastAsia"/>
          <w:lang w:eastAsia="zh-CN"/>
        </w:rPr>
        <w:t>附件</w:t>
      </w:r>
      <w:bookmarkEnd w:id="257"/>
    </w:p>
    <w:p w14:paraId="3EA81DC8">
      <w:pPr>
        <w:widowControl/>
        <w:jc w:val="left"/>
      </w:pPr>
    </w:p>
    <w:sectPr>
      <w:pgSz w:w="11905" w:h="16838"/>
      <w:pgMar w:top="1417" w:right="1417" w:bottom="1417" w:left="1417" w:header="850" w:footer="992" w:gutter="0"/>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微软雅黑 Light">
    <w:panose1 w:val="020B0502040204020203"/>
    <w:charset w:val="86"/>
    <w:family w:val="swiss"/>
    <w:pitch w:val="default"/>
    <w:sig w:usb0="80000287" w:usb1="2ACF0010" w:usb2="00000016" w:usb3="00000000" w:csb0="0004001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KSOFE44F9426">
    <w:panose1 w:val="02010609060101010101"/>
    <w:charset w:val="86"/>
    <w:family w:val="auto"/>
    <w:pitch w:val="default"/>
    <w:sig w:usb0="00000001" w:usb1="00000000" w:usb2="00000000" w:usb3="00000000" w:csb0="00040001"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BCEB0">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69EECB8">
                          <w:pPr>
                            <w:pStyle w:val="13"/>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WcKvc0BAACnAwAADgAAAGRycy9lMm9Eb2MueG1srVNLbtswEN0H6B0I&#10;7mspBlo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QJnDmhKUHP//8cf71eH74zt4k&#10;efqAFVXdBaqLw3s/pNIpjhRMrIcWbPoSH0Z5Evd0EVcNkcl0abVcrUpKScrNDuEUT9cDYPygvGXJ&#10;qDnQ62VRxfETxrF0LkndnL/VxlBcVMb9FSDMMaLyCky3E5Nx4mTFYTdMNHa+ORG7ntag5o62njPz&#10;0ZHKaWNmA2ZjNxuHAHrf5ZVK3TG8O0QaKU+aOoywxDA59H6Z67RraUH+9HPV0/+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YWcKvc0BAACnAwAADgAAAAAAAAABACAAAAAeAQAAZHJzL2Uy&#10;b0RvYy54bWxQSwUGAAAAAAYABgBZAQAAXQUAAAAA&#10;">
              <v:fill on="f" focussize="0,0"/>
              <v:stroke on="f"/>
              <v:imagedata o:title=""/>
              <o:lock v:ext="edit" aspectratio="f"/>
              <v:textbox inset="0mm,0mm,0mm,0mm" style="mso-fit-shape-to-text:t;">
                <w:txbxContent>
                  <w:p w14:paraId="569EECB8">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B7431">
    <w:pPr>
      <w:pStyle w:val="1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1E9F28E">
                          <w:pPr>
                            <w:pStyle w:val="13"/>
                          </w:pPr>
                          <w:r>
                            <w:fldChar w:fldCharType="begin"/>
                          </w:r>
                          <w:r>
                            <w:instrText xml:space="preserve"> PAGE  \* MERGEFORMAT </w:instrText>
                          </w:r>
                          <w:r>
                            <w:fldChar w:fldCharType="separate"/>
                          </w:r>
                          <w:r>
                            <w:t>97</w:t>
                          </w:r>
                          <w: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7bGS180BAACnAwAADgAAAAAAAAABACAAAAAeAQAAZHJzL2Uy&#10;b0RvYy54bWxQSwUGAAAAAAYABgBZAQAAXQUAAAAA&#10;">
              <v:fill on="f" focussize="0,0"/>
              <v:stroke on="f"/>
              <v:imagedata o:title=""/>
              <o:lock v:ext="edit" aspectratio="f"/>
              <v:textbox inset="0mm,0mm,0mm,0mm" style="mso-fit-shape-to-text:t;">
                <w:txbxContent>
                  <w:p w14:paraId="01E9F28E">
                    <w:pPr>
                      <w:pStyle w:val="13"/>
                    </w:pPr>
                    <w:r>
                      <w:fldChar w:fldCharType="begin"/>
                    </w:r>
                    <w:r>
                      <w:instrText xml:space="preserve"> PAGE  \* MERGEFORMAT </w:instrText>
                    </w:r>
                    <w:r>
                      <w:fldChar w:fldCharType="separate"/>
                    </w:r>
                    <w:r>
                      <w:t>97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26731">
    <w:pPr>
      <w:pStyle w:val="14"/>
      <w:pBdr>
        <w:bottom w:val="none" w:color="auto" w:sz="0" w:space="0"/>
      </w:pBdr>
      <w:jc w:val="left"/>
      <w:rPr>
        <w:rFonts w:ascii="仿宋" w:hAnsi="仿宋" w:eastAsia="仿宋"/>
        <w:sz w:val="21"/>
        <w:szCs w:val="21"/>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8396F">
    <w:pPr>
      <w:pStyle w:val="14"/>
      <w:pBdr>
        <w:bottom w:val="none" w:color="auto" w:sz="0" w:space="0"/>
      </w:pBdr>
      <w:jc w:val="left"/>
      <w:rPr>
        <w:rFonts w:ascii="仿宋" w:hAnsi="仿宋" w:eastAsia="仿宋"/>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35589B"/>
    <w:multiLevelType w:val="singleLevel"/>
    <w:tmpl w:val="8535589B"/>
    <w:lvl w:ilvl="0" w:tentative="0">
      <w:start w:val="1"/>
      <w:numFmt w:val="decimal"/>
      <w:suff w:val="space"/>
      <w:lvlText w:val="%1."/>
      <w:lvlJc w:val="left"/>
    </w:lvl>
  </w:abstractNum>
  <w:abstractNum w:abstractNumId="1">
    <w:nsid w:val="8FD41F2E"/>
    <w:multiLevelType w:val="singleLevel"/>
    <w:tmpl w:val="8FD41F2E"/>
    <w:lvl w:ilvl="0" w:tentative="0">
      <w:start w:val="1"/>
      <w:numFmt w:val="decimal"/>
      <w:lvlText w:val="%1)"/>
      <w:lvlJc w:val="left"/>
      <w:pPr>
        <w:ind w:left="425" w:hanging="425"/>
      </w:pPr>
      <w:rPr>
        <w:rFonts w:hint="default"/>
      </w:rPr>
    </w:lvl>
  </w:abstractNum>
  <w:abstractNum w:abstractNumId="2">
    <w:nsid w:val="A8D740C2"/>
    <w:multiLevelType w:val="singleLevel"/>
    <w:tmpl w:val="A8D740C2"/>
    <w:lvl w:ilvl="0" w:tentative="0">
      <w:start w:val="1"/>
      <w:numFmt w:val="decimal"/>
      <w:suff w:val="space"/>
      <w:lvlText w:val="%1."/>
      <w:lvlJc w:val="left"/>
      <w:rPr>
        <w:rFonts w:hint="default"/>
        <w:sz w:val="24"/>
        <w:szCs w:val="24"/>
      </w:rPr>
    </w:lvl>
  </w:abstractNum>
  <w:abstractNum w:abstractNumId="3">
    <w:nsid w:val="F07D329D"/>
    <w:multiLevelType w:val="singleLevel"/>
    <w:tmpl w:val="F07D329D"/>
    <w:lvl w:ilvl="0" w:tentative="0">
      <w:start w:val="1"/>
      <w:numFmt w:val="decimal"/>
      <w:lvlText w:val="%1."/>
      <w:lvlJc w:val="left"/>
      <w:pPr>
        <w:tabs>
          <w:tab w:val="left" w:pos="312"/>
        </w:tabs>
      </w:pPr>
    </w:lvl>
  </w:abstractNum>
  <w:abstractNum w:abstractNumId="4">
    <w:nsid w:val="0000001F"/>
    <w:multiLevelType w:val="singleLevel"/>
    <w:tmpl w:val="0000001F"/>
    <w:lvl w:ilvl="0" w:tentative="0">
      <w:start w:val="1"/>
      <w:numFmt w:val="decimal"/>
      <w:suff w:val="nothing"/>
      <w:lvlText w:val="（%1）"/>
      <w:lvlJc w:val="left"/>
      <w:pPr>
        <w:ind w:left="0"/>
      </w:pPr>
    </w:lvl>
  </w:abstractNum>
  <w:abstractNum w:abstractNumId="5">
    <w:nsid w:val="0BE0408D"/>
    <w:multiLevelType w:val="multilevel"/>
    <w:tmpl w:val="0BE0408D"/>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EFF6CB8"/>
    <w:multiLevelType w:val="multilevel"/>
    <w:tmpl w:val="0EFF6CB8"/>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146C739F"/>
    <w:multiLevelType w:val="singleLevel"/>
    <w:tmpl w:val="146C739F"/>
    <w:lvl w:ilvl="0" w:tentative="0">
      <w:start w:val="1"/>
      <w:numFmt w:val="decimal"/>
      <w:suff w:val="nothing"/>
      <w:lvlText w:val="（%1）"/>
      <w:lvlJc w:val="left"/>
    </w:lvl>
  </w:abstractNum>
  <w:abstractNum w:abstractNumId="8">
    <w:nsid w:val="19EE07FF"/>
    <w:multiLevelType w:val="multilevel"/>
    <w:tmpl w:val="19EE07F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DBCEFC1"/>
    <w:multiLevelType w:val="singleLevel"/>
    <w:tmpl w:val="1DBCEFC1"/>
    <w:lvl w:ilvl="0" w:tentative="0">
      <w:start w:val="1"/>
      <w:numFmt w:val="decimal"/>
      <w:lvlText w:val="%1)"/>
      <w:lvlJc w:val="left"/>
      <w:pPr>
        <w:ind w:left="425" w:hanging="425"/>
      </w:pPr>
      <w:rPr>
        <w:rFonts w:hint="default"/>
      </w:rPr>
    </w:lvl>
  </w:abstractNum>
  <w:abstractNum w:abstractNumId="10">
    <w:nsid w:val="27E8CD93"/>
    <w:multiLevelType w:val="singleLevel"/>
    <w:tmpl w:val="27E8CD93"/>
    <w:lvl w:ilvl="0" w:tentative="0">
      <w:start w:val="1"/>
      <w:numFmt w:val="decimal"/>
      <w:lvlText w:val="%1)"/>
      <w:lvlJc w:val="left"/>
      <w:pPr>
        <w:ind w:left="425" w:hanging="425"/>
      </w:pPr>
      <w:rPr>
        <w:rFonts w:hint="default"/>
      </w:rPr>
    </w:lvl>
  </w:abstractNum>
  <w:abstractNum w:abstractNumId="11">
    <w:nsid w:val="2B2D0B07"/>
    <w:multiLevelType w:val="multilevel"/>
    <w:tmpl w:val="2B2D0B07"/>
    <w:lvl w:ilvl="0" w:tentative="0">
      <w:start w:val="1"/>
      <w:numFmt w:val="decimal"/>
      <w:pStyle w:val="49"/>
      <w:suff w:val="nothing"/>
      <w:lvlText w:val="（%1）"/>
      <w:lvlJc w:val="left"/>
      <w:pPr>
        <w:ind w:left="840" w:hanging="420"/>
      </w:pPr>
    </w:lvl>
    <w:lvl w:ilvl="1" w:tentative="0">
      <w:start w:val="1"/>
      <w:numFmt w:val="lowerLetter"/>
      <w:suff w:val="nothing"/>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2C4D5439"/>
    <w:multiLevelType w:val="multilevel"/>
    <w:tmpl w:val="2C4D543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2B63A91"/>
    <w:multiLevelType w:val="multilevel"/>
    <w:tmpl w:val="32B63A91"/>
    <w:lvl w:ilvl="0" w:tentative="0">
      <w:start w:val="1"/>
      <w:numFmt w:val="decimal"/>
      <w:lvlText w:val="%1."/>
      <w:lvlJc w:val="left"/>
      <w:pPr>
        <w:tabs>
          <w:tab w:val="left" w:pos="420"/>
        </w:tabs>
        <w:ind w:left="420" w:hanging="420"/>
      </w:pPr>
      <w:rPr>
        <w:rFonts w:ascii="宋体" w:hAnsi="宋体"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3F6C4485"/>
    <w:multiLevelType w:val="multilevel"/>
    <w:tmpl w:val="3F6C448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3F987AAF"/>
    <w:multiLevelType w:val="singleLevel"/>
    <w:tmpl w:val="3F987AAF"/>
    <w:lvl w:ilvl="0" w:tentative="0">
      <w:start w:val="1"/>
      <w:numFmt w:val="decimal"/>
      <w:lvlText w:val="%1."/>
      <w:lvlJc w:val="left"/>
      <w:pPr>
        <w:tabs>
          <w:tab w:val="left" w:pos="312"/>
        </w:tabs>
      </w:pPr>
    </w:lvl>
  </w:abstractNum>
  <w:abstractNum w:abstractNumId="16">
    <w:nsid w:val="4C371B58"/>
    <w:multiLevelType w:val="multilevel"/>
    <w:tmpl w:val="4C371B58"/>
    <w:lvl w:ilvl="0" w:tentative="0">
      <w:start w:val="1"/>
      <w:numFmt w:val="decimal"/>
      <w:pStyle w:val="51"/>
      <w:suff w:val="nothing"/>
      <w:lvlText w:val="%1　"/>
      <w:lvlJc w:val="left"/>
      <w:pPr>
        <w:ind w:left="0" w:firstLine="0"/>
      </w:pPr>
      <w:rPr>
        <w:b w:val="0"/>
        <w:bCs/>
      </w:rPr>
    </w:lvl>
    <w:lvl w:ilvl="1" w:tentative="0">
      <w:start w:val="1"/>
      <w:numFmt w:val="decimal"/>
      <w:pStyle w:val="53"/>
      <w:suff w:val="nothing"/>
      <w:lvlText w:val="%1.%2　"/>
      <w:lvlJc w:val="left"/>
      <w:pPr>
        <w:ind w:left="284" w:firstLine="0"/>
      </w:pPr>
      <w:rPr>
        <w:b w:val="0"/>
        <w:bCs w:val="0"/>
        <w:i w:val="0"/>
        <w:iCs w:val="0"/>
        <w:caps w:val="0"/>
        <w:smallCaps w:val="0"/>
        <w:strike w:val="0"/>
        <w:dstrike w:val="0"/>
        <w:vanish w:val="0"/>
        <w:color w:val="000000"/>
        <w:spacing w:val="0"/>
        <w:position w:val="0"/>
        <w:u w:val="none"/>
        <w:vertAlign w:val="baseline"/>
      </w:rPr>
    </w:lvl>
    <w:lvl w:ilvl="2" w:tentative="0">
      <w:start w:val="1"/>
      <w:numFmt w:val="decimal"/>
      <w:pStyle w:val="52"/>
      <w:suff w:val="nothing"/>
      <w:lvlText w:val="%1.%2.%3　"/>
      <w:lvlJc w:val="left"/>
      <w:pPr>
        <w:ind w:left="709" w:hanging="709"/>
      </w:pPr>
      <w:rPr>
        <w:b w:val="0"/>
        <w:bCs w:val="0"/>
        <w:i w:val="0"/>
        <w:iCs w:val="0"/>
        <w:caps w:val="0"/>
        <w:smallCaps w:val="0"/>
        <w:strike w:val="0"/>
        <w:dstrike w:val="0"/>
        <w:vanish w:val="0"/>
        <w:color w:val="000000"/>
        <w:spacing w:val="0"/>
        <w:position w:val="0"/>
        <w:u w:val="none"/>
        <w:vertAlign w:val="baseline"/>
      </w:rPr>
    </w:lvl>
    <w:lvl w:ilvl="3" w:tentative="0">
      <w:start w:val="1"/>
      <w:numFmt w:val="decimal"/>
      <w:suff w:val="nothing"/>
      <w:lvlText w:val="%1.%2.%3.%4　"/>
      <w:lvlJc w:val="left"/>
      <w:pPr>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7">
    <w:nsid w:val="58A905A0"/>
    <w:multiLevelType w:val="multilevel"/>
    <w:tmpl w:val="58A905A0"/>
    <w:lvl w:ilvl="0" w:tentative="0">
      <w:start w:val="1"/>
      <w:numFmt w:val="decimal"/>
      <w:suff w:val="space"/>
      <w:lvlText w:val="%1"/>
      <w:lvlJc w:val="left"/>
      <w:pPr>
        <w:ind w:left="850" w:firstLine="0"/>
      </w:pPr>
    </w:lvl>
    <w:lvl w:ilvl="1" w:tentative="0">
      <w:start w:val="1"/>
      <w:numFmt w:val="decimal"/>
      <w:pStyle w:val="54"/>
      <w:suff w:val="space"/>
      <w:lvlText w:val="%1.%2"/>
      <w:lvlJc w:val="left"/>
      <w:pPr>
        <w:ind w:left="1275" w:hanging="425"/>
      </w:pPr>
    </w:lvl>
    <w:lvl w:ilvl="2" w:tentative="0">
      <w:start w:val="1"/>
      <w:numFmt w:val="decimal"/>
      <w:suff w:val="space"/>
      <w:lvlText w:val="%1.%2.%3"/>
      <w:lvlJc w:val="left"/>
      <w:pPr>
        <w:ind w:left="993" w:hanging="425"/>
      </w:pPr>
    </w:lvl>
    <w:lvl w:ilvl="3" w:tentative="0">
      <w:start w:val="1"/>
      <w:numFmt w:val="decimal"/>
      <w:suff w:val="space"/>
      <w:lvlText w:val="%1.%2.%3.%4"/>
      <w:lvlJc w:val="left"/>
      <w:pPr>
        <w:ind w:left="425" w:hanging="425"/>
      </w:pPr>
    </w:lvl>
    <w:lvl w:ilvl="4" w:tentative="0">
      <w:start w:val="1"/>
      <w:numFmt w:val="decimal"/>
      <w:lvlText w:val="%1.%2.%3.%4.%5"/>
      <w:lvlJc w:val="left"/>
      <w:pPr>
        <w:ind w:left="425" w:hanging="425"/>
      </w:pPr>
    </w:lvl>
    <w:lvl w:ilvl="5" w:tentative="0">
      <w:start w:val="1"/>
      <w:numFmt w:val="decimal"/>
      <w:lvlText w:val="%1.%2.%3.%4.%5.%6"/>
      <w:lvlJc w:val="left"/>
      <w:pPr>
        <w:ind w:left="425" w:hanging="425"/>
      </w:pPr>
    </w:lvl>
    <w:lvl w:ilvl="6" w:tentative="0">
      <w:start w:val="1"/>
      <w:numFmt w:val="decimal"/>
      <w:lvlText w:val="%1.%2.%3.%4.%5.%6.%7"/>
      <w:lvlJc w:val="left"/>
      <w:pPr>
        <w:ind w:left="425" w:hanging="425"/>
      </w:pPr>
    </w:lvl>
    <w:lvl w:ilvl="7" w:tentative="0">
      <w:start w:val="1"/>
      <w:numFmt w:val="decimal"/>
      <w:lvlText w:val="%1.%2.%3.%4.%5.%6.%7.%8"/>
      <w:lvlJc w:val="left"/>
      <w:pPr>
        <w:ind w:left="425" w:hanging="425"/>
      </w:pPr>
    </w:lvl>
    <w:lvl w:ilvl="8" w:tentative="0">
      <w:start w:val="1"/>
      <w:numFmt w:val="decimal"/>
      <w:lvlText w:val="%1.%2.%3.%4.%5.%6.%7.%8.%9"/>
      <w:lvlJc w:val="left"/>
      <w:pPr>
        <w:ind w:left="425" w:hanging="425"/>
      </w:pPr>
    </w:lvl>
  </w:abstractNum>
  <w:abstractNum w:abstractNumId="18">
    <w:nsid w:val="59D77426"/>
    <w:multiLevelType w:val="singleLevel"/>
    <w:tmpl w:val="59D77426"/>
    <w:lvl w:ilvl="0" w:tentative="0">
      <w:start w:val="1"/>
      <w:numFmt w:val="decimal"/>
      <w:lvlText w:val="%1)"/>
      <w:lvlJc w:val="left"/>
      <w:pPr>
        <w:tabs>
          <w:tab w:val="left" w:pos="312"/>
        </w:tabs>
      </w:pPr>
    </w:lvl>
  </w:abstractNum>
  <w:abstractNum w:abstractNumId="19">
    <w:nsid w:val="70C90693"/>
    <w:multiLevelType w:val="singleLevel"/>
    <w:tmpl w:val="70C90693"/>
    <w:lvl w:ilvl="0" w:tentative="0">
      <w:start w:val="6"/>
      <w:numFmt w:val="chineseCounting"/>
      <w:suff w:val="nothing"/>
      <w:lvlText w:val="（%1）"/>
      <w:lvlJc w:val="left"/>
      <w:rPr>
        <w:rFonts w:hint="eastAsia"/>
      </w:rPr>
    </w:lvl>
  </w:abstractNum>
  <w:abstractNum w:abstractNumId="20">
    <w:nsid w:val="710AA47B"/>
    <w:multiLevelType w:val="singleLevel"/>
    <w:tmpl w:val="710AA47B"/>
    <w:lvl w:ilvl="0" w:tentative="0">
      <w:start w:val="1"/>
      <w:numFmt w:val="decimal"/>
      <w:lvlText w:val="%1)"/>
      <w:lvlJc w:val="left"/>
      <w:pPr>
        <w:ind w:left="425" w:hanging="425"/>
      </w:pPr>
      <w:rPr>
        <w:rFonts w:hint="default"/>
      </w:rPr>
    </w:lvl>
  </w:abstractNum>
  <w:abstractNum w:abstractNumId="21">
    <w:nsid w:val="716EDDA3"/>
    <w:multiLevelType w:val="singleLevel"/>
    <w:tmpl w:val="716EDDA3"/>
    <w:lvl w:ilvl="0" w:tentative="0">
      <w:start w:val="1"/>
      <w:numFmt w:val="decimal"/>
      <w:lvlText w:val="%1)"/>
      <w:lvlJc w:val="left"/>
      <w:pPr>
        <w:ind w:left="425" w:hanging="425"/>
      </w:pPr>
      <w:rPr>
        <w:rFonts w:hint="default"/>
      </w:rPr>
    </w:lvl>
  </w:abstractNum>
  <w:num w:numId="1">
    <w:abstractNumId w:val="11"/>
  </w:num>
  <w:num w:numId="2">
    <w:abstractNumId w:val="16"/>
  </w:num>
  <w:num w:numId="3">
    <w:abstractNumId w:val="17"/>
  </w:num>
  <w:num w:numId="4">
    <w:abstractNumId w:val="1"/>
  </w:num>
  <w:num w:numId="5">
    <w:abstractNumId w:val="0"/>
  </w:num>
  <w:num w:numId="6">
    <w:abstractNumId w:val="15"/>
  </w:num>
  <w:num w:numId="7">
    <w:abstractNumId w:val="20"/>
  </w:num>
  <w:num w:numId="8">
    <w:abstractNumId w:val="21"/>
  </w:num>
  <w:num w:numId="9">
    <w:abstractNumId w:val="9"/>
  </w:num>
  <w:num w:numId="10">
    <w:abstractNumId w:val="10"/>
  </w:num>
  <w:num w:numId="11">
    <w:abstractNumId w:val="18"/>
  </w:num>
  <w:num w:numId="12">
    <w:abstractNumId w:val="11"/>
    <w:lvlOverride w:ilvl="0">
      <w:startOverride w:val="1"/>
    </w:lvlOverride>
  </w:num>
  <w:num w:numId="13">
    <w:abstractNumId w:val="6"/>
  </w:num>
  <w:num w:numId="14">
    <w:abstractNumId w:val="4"/>
  </w:num>
  <w:num w:numId="15">
    <w:abstractNumId w:val="7"/>
  </w:num>
  <w:num w:numId="16">
    <w:abstractNumId w:val="2"/>
  </w:num>
  <w:num w:numId="17">
    <w:abstractNumId w:val="3"/>
  </w:num>
  <w:num w:numId="18">
    <w:abstractNumId w:val="8"/>
  </w:num>
  <w:num w:numId="19">
    <w:abstractNumId w:val="12"/>
  </w:num>
  <w:num w:numId="20">
    <w:abstractNumId w:val="19"/>
  </w:num>
  <w:num w:numId="21">
    <w:abstractNumId w:val="14"/>
  </w:num>
  <w:num w:numId="22">
    <w:abstractNumId w:val="5"/>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HorizontalSpacing w:val="210"/>
  <w:drawingGridVerticalSpacing w:val="159"/>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yNjRiOGVjNGQ4OGM0YzEzYzQ1MWZkNTM4MWNiNmEifQ=="/>
    <w:docVar w:name="DMName" w:val="非密"/>
  </w:docVars>
  <w:rsids>
    <w:rsidRoot w:val="004A1897"/>
    <w:rsid w:val="00002120"/>
    <w:rsid w:val="00006229"/>
    <w:rsid w:val="00007D17"/>
    <w:rsid w:val="00023842"/>
    <w:rsid w:val="000238CC"/>
    <w:rsid w:val="00027A95"/>
    <w:rsid w:val="00027D6A"/>
    <w:rsid w:val="00030704"/>
    <w:rsid w:val="00031D6A"/>
    <w:rsid w:val="00032174"/>
    <w:rsid w:val="00034D1E"/>
    <w:rsid w:val="000451F6"/>
    <w:rsid w:val="00046C21"/>
    <w:rsid w:val="00050A73"/>
    <w:rsid w:val="000556FA"/>
    <w:rsid w:val="000601B1"/>
    <w:rsid w:val="0006115C"/>
    <w:rsid w:val="000611A9"/>
    <w:rsid w:val="000666B9"/>
    <w:rsid w:val="00066D4A"/>
    <w:rsid w:val="000717C6"/>
    <w:rsid w:val="00085390"/>
    <w:rsid w:val="00090FBE"/>
    <w:rsid w:val="000915EC"/>
    <w:rsid w:val="000939CC"/>
    <w:rsid w:val="000B0E67"/>
    <w:rsid w:val="000B0F29"/>
    <w:rsid w:val="000B57B8"/>
    <w:rsid w:val="000B770D"/>
    <w:rsid w:val="000C515A"/>
    <w:rsid w:val="000D1CFD"/>
    <w:rsid w:val="000D582A"/>
    <w:rsid w:val="000E04E0"/>
    <w:rsid w:val="000E278F"/>
    <w:rsid w:val="000E3BD6"/>
    <w:rsid w:val="000E3FE7"/>
    <w:rsid w:val="000F49D1"/>
    <w:rsid w:val="00103B4D"/>
    <w:rsid w:val="00113CD9"/>
    <w:rsid w:val="0011721D"/>
    <w:rsid w:val="001228E5"/>
    <w:rsid w:val="0012295E"/>
    <w:rsid w:val="00126DA4"/>
    <w:rsid w:val="0013093F"/>
    <w:rsid w:val="0013410E"/>
    <w:rsid w:val="001342EE"/>
    <w:rsid w:val="00152AAC"/>
    <w:rsid w:val="00155FD7"/>
    <w:rsid w:val="00156B44"/>
    <w:rsid w:val="001867BF"/>
    <w:rsid w:val="00194C9D"/>
    <w:rsid w:val="00195965"/>
    <w:rsid w:val="001A0A55"/>
    <w:rsid w:val="001B1BF4"/>
    <w:rsid w:val="001B37F4"/>
    <w:rsid w:val="001C2A4B"/>
    <w:rsid w:val="001C3AB1"/>
    <w:rsid w:val="001C3F37"/>
    <w:rsid w:val="001C54F6"/>
    <w:rsid w:val="001C5AFC"/>
    <w:rsid w:val="001C5FE9"/>
    <w:rsid w:val="001C7CCD"/>
    <w:rsid w:val="001D1A21"/>
    <w:rsid w:val="001D55D1"/>
    <w:rsid w:val="001E0564"/>
    <w:rsid w:val="001E1AA6"/>
    <w:rsid w:val="001E74AD"/>
    <w:rsid w:val="001F13D5"/>
    <w:rsid w:val="001F28A1"/>
    <w:rsid w:val="001F4FF5"/>
    <w:rsid w:val="001F609A"/>
    <w:rsid w:val="001F62E0"/>
    <w:rsid w:val="001F799C"/>
    <w:rsid w:val="002052AF"/>
    <w:rsid w:val="00206B20"/>
    <w:rsid w:val="00207B57"/>
    <w:rsid w:val="00210992"/>
    <w:rsid w:val="00216F9C"/>
    <w:rsid w:val="002175A7"/>
    <w:rsid w:val="00227296"/>
    <w:rsid w:val="00231AC7"/>
    <w:rsid w:val="00260014"/>
    <w:rsid w:val="00293D51"/>
    <w:rsid w:val="0029449E"/>
    <w:rsid w:val="00295A16"/>
    <w:rsid w:val="00296B2C"/>
    <w:rsid w:val="002B06A7"/>
    <w:rsid w:val="002B382F"/>
    <w:rsid w:val="002C7C8A"/>
    <w:rsid w:val="002D1346"/>
    <w:rsid w:val="002D23C2"/>
    <w:rsid w:val="002D5CD5"/>
    <w:rsid w:val="002E4216"/>
    <w:rsid w:val="002F7C08"/>
    <w:rsid w:val="00301E6E"/>
    <w:rsid w:val="0030505F"/>
    <w:rsid w:val="00322FD6"/>
    <w:rsid w:val="00325656"/>
    <w:rsid w:val="0033154C"/>
    <w:rsid w:val="003328D9"/>
    <w:rsid w:val="00341148"/>
    <w:rsid w:val="003525C3"/>
    <w:rsid w:val="0035269B"/>
    <w:rsid w:val="00357993"/>
    <w:rsid w:val="003615CC"/>
    <w:rsid w:val="00362772"/>
    <w:rsid w:val="00370EB8"/>
    <w:rsid w:val="003721AA"/>
    <w:rsid w:val="00386199"/>
    <w:rsid w:val="003874CB"/>
    <w:rsid w:val="0039134B"/>
    <w:rsid w:val="00395F50"/>
    <w:rsid w:val="003967CE"/>
    <w:rsid w:val="00397F37"/>
    <w:rsid w:val="003A7F5A"/>
    <w:rsid w:val="003B524E"/>
    <w:rsid w:val="003B565E"/>
    <w:rsid w:val="003D0653"/>
    <w:rsid w:val="003E3177"/>
    <w:rsid w:val="003E4004"/>
    <w:rsid w:val="003E4D92"/>
    <w:rsid w:val="003F1E3C"/>
    <w:rsid w:val="00401792"/>
    <w:rsid w:val="00410D2E"/>
    <w:rsid w:val="00413A77"/>
    <w:rsid w:val="00427499"/>
    <w:rsid w:val="004278C5"/>
    <w:rsid w:val="004454D0"/>
    <w:rsid w:val="00446F99"/>
    <w:rsid w:val="00447683"/>
    <w:rsid w:val="004605BA"/>
    <w:rsid w:val="004610E5"/>
    <w:rsid w:val="0046360A"/>
    <w:rsid w:val="00467772"/>
    <w:rsid w:val="004737F0"/>
    <w:rsid w:val="00476A65"/>
    <w:rsid w:val="00476D7D"/>
    <w:rsid w:val="00486BDD"/>
    <w:rsid w:val="00487AA9"/>
    <w:rsid w:val="004944BE"/>
    <w:rsid w:val="00496EC7"/>
    <w:rsid w:val="004971D1"/>
    <w:rsid w:val="004A1897"/>
    <w:rsid w:val="004A240C"/>
    <w:rsid w:val="004A3182"/>
    <w:rsid w:val="004A4D4D"/>
    <w:rsid w:val="004A5E06"/>
    <w:rsid w:val="004B3FC9"/>
    <w:rsid w:val="004B4A95"/>
    <w:rsid w:val="004B4FFD"/>
    <w:rsid w:val="004C04FC"/>
    <w:rsid w:val="004C0A55"/>
    <w:rsid w:val="004C33D8"/>
    <w:rsid w:val="004C74F0"/>
    <w:rsid w:val="004D0F03"/>
    <w:rsid w:val="004D1A57"/>
    <w:rsid w:val="00505A8A"/>
    <w:rsid w:val="005248D9"/>
    <w:rsid w:val="005260D1"/>
    <w:rsid w:val="00527249"/>
    <w:rsid w:val="005336B5"/>
    <w:rsid w:val="005436C7"/>
    <w:rsid w:val="00545A5B"/>
    <w:rsid w:val="0055574A"/>
    <w:rsid w:val="005615AD"/>
    <w:rsid w:val="00561901"/>
    <w:rsid w:val="00564992"/>
    <w:rsid w:val="00583176"/>
    <w:rsid w:val="00583535"/>
    <w:rsid w:val="005840C7"/>
    <w:rsid w:val="005844B0"/>
    <w:rsid w:val="00584814"/>
    <w:rsid w:val="005950AB"/>
    <w:rsid w:val="005B18FB"/>
    <w:rsid w:val="005C4571"/>
    <w:rsid w:val="005C70F5"/>
    <w:rsid w:val="005D38EF"/>
    <w:rsid w:val="005D5E2E"/>
    <w:rsid w:val="005E3EC4"/>
    <w:rsid w:val="005F0B4A"/>
    <w:rsid w:val="005F6D04"/>
    <w:rsid w:val="00600978"/>
    <w:rsid w:val="00603BB3"/>
    <w:rsid w:val="006065B8"/>
    <w:rsid w:val="00610A1B"/>
    <w:rsid w:val="00610E98"/>
    <w:rsid w:val="006151AD"/>
    <w:rsid w:val="0062740F"/>
    <w:rsid w:val="00627AB5"/>
    <w:rsid w:val="006331EE"/>
    <w:rsid w:val="00633FF6"/>
    <w:rsid w:val="00637189"/>
    <w:rsid w:val="0064546E"/>
    <w:rsid w:val="006468A5"/>
    <w:rsid w:val="00651B10"/>
    <w:rsid w:val="00654204"/>
    <w:rsid w:val="00664B9C"/>
    <w:rsid w:val="0068461D"/>
    <w:rsid w:val="00690153"/>
    <w:rsid w:val="00690825"/>
    <w:rsid w:val="006930EC"/>
    <w:rsid w:val="00695804"/>
    <w:rsid w:val="00697BC6"/>
    <w:rsid w:val="006A3937"/>
    <w:rsid w:val="006A4237"/>
    <w:rsid w:val="006A4744"/>
    <w:rsid w:val="006C1595"/>
    <w:rsid w:val="006D3048"/>
    <w:rsid w:val="006D7C90"/>
    <w:rsid w:val="006E21FA"/>
    <w:rsid w:val="006E3714"/>
    <w:rsid w:val="006F39EC"/>
    <w:rsid w:val="006F667D"/>
    <w:rsid w:val="00706E06"/>
    <w:rsid w:val="0070772A"/>
    <w:rsid w:val="00721263"/>
    <w:rsid w:val="00726354"/>
    <w:rsid w:val="00732C1D"/>
    <w:rsid w:val="00732EC3"/>
    <w:rsid w:val="00737401"/>
    <w:rsid w:val="00737C47"/>
    <w:rsid w:val="007430F1"/>
    <w:rsid w:val="00752F3E"/>
    <w:rsid w:val="00753FDB"/>
    <w:rsid w:val="00760658"/>
    <w:rsid w:val="007638D1"/>
    <w:rsid w:val="007667A0"/>
    <w:rsid w:val="0077604B"/>
    <w:rsid w:val="00776838"/>
    <w:rsid w:val="007828A4"/>
    <w:rsid w:val="007844B3"/>
    <w:rsid w:val="007850D5"/>
    <w:rsid w:val="0079332D"/>
    <w:rsid w:val="007B1A21"/>
    <w:rsid w:val="007B232C"/>
    <w:rsid w:val="007B7880"/>
    <w:rsid w:val="007C61D0"/>
    <w:rsid w:val="007D0141"/>
    <w:rsid w:val="007D7736"/>
    <w:rsid w:val="007E0A79"/>
    <w:rsid w:val="007E77EF"/>
    <w:rsid w:val="007E79E4"/>
    <w:rsid w:val="007F3BAB"/>
    <w:rsid w:val="008004A1"/>
    <w:rsid w:val="008124AE"/>
    <w:rsid w:val="008140DB"/>
    <w:rsid w:val="008145FF"/>
    <w:rsid w:val="00814F5A"/>
    <w:rsid w:val="0081679E"/>
    <w:rsid w:val="008234D0"/>
    <w:rsid w:val="00825F0C"/>
    <w:rsid w:val="008275F9"/>
    <w:rsid w:val="00832853"/>
    <w:rsid w:val="00832D2B"/>
    <w:rsid w:val="00834C40"/>
    <w:rsid w:val="008355C1"/>
    <w:rsid w:val="0084186A"/>
    <w:rsid w:val="0084562B"/>
    <w:rsid w:val="00845640"/>
    <w:rsid w:val="008475BC"/>
    <w:rsid w:val="00852099"/>
    <w:rsid w:val="008633F0"/>
    <w:rsid w:val="008679A8"/>
    <w:rsid w:val="008737BB"/>
    <w:rsid w:val="008768F3"/>
    <w:rsid w:val="00877B8D"/>
    <w:rsid w:val="008A33B2"/>
    <w:rsid w:val="008B0F71"/>
    <w:rsid w:val="008B3D53"/>
    <w:rsid w:val="008B4633"/>
    <w:rsid w:val="008B7619"/>
    <w:rsid w:val="008C1A88"/>
    <w:rsid w:val="008C1A9C"/>
    <w:rsid w:val="008D1E94"/>
    <w:rsid w:val="008F3716"/>
    <w:rsid w:val="008F38A5"/>
    <w:rsid w:val="008F7012"/>
    <w:rsid w:val="008F76B5"/>
    <w:rsid w:val="00910934"/>
    <w:rsid w:val="00910A6E"/>
    <w:rsid w:val="00916806"/>
    <w:rsid w:val="00921366"/>
    <w:rsid w:val="0093153A"/>
    <w:rsid w:val="009322A3"/>
    <w:rsid w:val="00934B0F"/>
    <w:rsid w:val="00936A76"/>
    <w:rsid w:val="00942180"/>
    <w:rsid w:val="00952A4F"/>
    <w:rsid w:val="0095377C"/>
    <w:rsid w:val="009542D4"/>
    <w:rsid w:val="00963744"/>
    <w:rsid w:val="00972B7E"/>
    <w:rsid w:val="00974910"/>
    <w:rsid w:val="00974B7A"/>
    <w:rsid w:val="0098414D"/>
    <w:rsid w:val="0098727B"/>
    <w:rsid w:val="00993C4F"/>
    <w:rsid w:val="009A2D32"/>
    <w:rsid w:val="009B04CF"/>
    <w:rsid w:val="009B0B18"/>
    <w:rsid w:val="009B12FA"/>
    <w:rsid w:val="009B23ED"/>
    <w:rsid w:val="009B7B13"/>
    <w:rsid w:val="009B7DC9"/>
    <w:rsid w:val="009C5590"/>
    <w:rsid w:val="009D0AA3"/>
    <w:rsid w:val="009E06BA"/>
    <w:rsid w:val="009E22DD"/>
    <w:rsid w:val="009F2B2A"/>
    <w:rsid w:val="00A01B28"/>
    <w:rsid w:val="00A01EF5"/>
    <w:rsid w:val="00A0280D"/>
    <w:rsid w:val="00A03471"/>
    <w:rsid w:val="00A04CA1"/>
    <w:rsid w:val="00A04D8D"/>
    <w:rsid w:val="00A05E43"/>
    <w:rsid w:val="00A119AA"/>
    <w:rsid w:val="00A16069"/>
    <w:rsid w:val="00A27AC4"/>
    <w:rsid w:val="00A35CD1"/>
    <w:rsid w:val="00A40415"/>
    <w:rsid w:val="00A47E60"/>
    <w:rsid w:val="00A50827"/>
    <w:rsid w:val="00A609DE"/>
    <w:rsid w:val="00A63E47"/>
    <w:rsid w:val="00A76716"/>
    <w:rsid w:val="00A80D9C"/>
    <w:rsid w:val="00A86543"/>
    <w:rsid w:val="00A959F8"/>
    <w:rsid w:val="00A960E2"/>
    <w:rsid w:val="00A967B5"/>
    <w:rsid w:val="00A977BB"/>
    <w:rsid w:val="00AA2E11"/>
    <w:rsid w:val="00AA5457"/>
    <w:rsid w:val="00AB5EF8"/>
    <w:rsid w:val="00AC029F"/>
    <w:rsid w:val="00AC087C"/>
    <w:rsid w:val="00AC09D2"/>
    <w:rsid w:val="00AC214C"/>
    <w:rsid w:val="00AC40E1"/>
    <w:rsid w:val="00AD184D"/>
    <w:rsid w:val="00AD2A88"/>
    <w:rsid w:val="00AD49B7"/>
    <w:rsid w:val="00AD4F91"/>
    <w:rsid w:val="00AD532F"/>
    <w:rsid w:val="00AE14B8"/>
    <w:rsid w:val="00AE7D3E"/>
    <w:rsid w:val="00AF4402"/>
    <w:rsid w:val="00B00F07"/>
    <w:rsid w:val="00B03C70"/>
    <w:rsid w:val="00B1484C"/>
    <w:rsid w:val="00B15C54"/>
    <w:rsid w:val="00B219DA"/>
    <w:rsid w:val="00B25E28"/>
    <w:rsid w:val="00B3366A"/>
    <w:rsid w:val="00B4434E"/>
    <w:rsid w:val="00B505C3"/>
    <w:rsid w:val="00B50F92"/>
    <w:rsid w:val="00B5207F"/>
    <w:rsid w:val="00B61F64"/>
    <w:rsid w:val="00B63F3E"/>
    <w:rsid w:val="00B66579"/>
    <w:rsid w:val="00B77B72"/>
    <w:rsid w:val="00B91267"/>
    <w:rsid w:val="00B96C35"/>
    <w:rsid w:val="00B96FE1"/>
    <w:rsid w:val="00B97A3C"/>
    <w:rsid w:val="00BA7476"/>
    <w:rsid w:val="00BB1FCA"/>
    <w:rsid w:val="00BB288F"/>
    <w:rsid w:val="00BB6346"/>
    <w:rsid w:val="00BC1EF3"/>
    <w:rsid w:val="00BC2639"/>
    <w:rsid w:val="00BC4B5F"/>
    <w:rsid w:val="00BD1822"/>
    <w:rsid w:val="00BD4D84"/>
    <w:rsid w:val="00BF3543"/>
    <w:rsid w:val="00BF433D"/>
    <w:rsid w:val="00BF4366"/>
    <w:rsid w:val="00C04E73"/>
    <w:rsid w:val="00C30A0E"/>
    <w:rsid w:val="00C36F51"/>
    <w:rsid w:val="00C4425B"/>
    <w:rsid w:val="00C44BA8"/>
    <w:rsid w:val="00C44F4F"/>
    <w:rsid w:val="00C56A84"/>
    <w:rsid w:val="00C639A2"/>
    <w:rsid w:val="00C639D4"/>
    <w:rsid w:val="00C72E1F"/>
    <w:rsid w:val="00C7324F"/>
    <w:rsid w:val="00C733DC"/>
    <w:rsid w:val="00C75112"/>
    <w:rsid w:val="00C8028D"/>
    <w:rsid w:val="00C92D46"/>
    <w:rsid w:val="00C939EB"/>
    <w:rsid w:val="00C95AA2"/>
    <w:rsid w:val="00C97A66"/>
    <w:rsid w:val="00CA0EA5"/>
    <w:rsid w:val="00CA673C"/>
    <w:rsid w:val="00CA6E90"/>
    <w:rsid w:val="00CB7562"/>
    <w:rsid w:val="00CC109E"/>
    <w:rsid w:val="00CC24E7"/>
    <w:rsid w:val="00CC3EE5"/>
    <w:rsid w:val="00CC7E68"/>
    <w:rsid w:val="00CD108B"/>
    <w:rsid w:val="00CD43F6"/>
    <w:rsid w:val="00CE1C00"/>
    <w:rsid w:val="00CE30AE"/>
    <w:rsid w:val="00CF1339"/>
    <w:rsid w:val="00CF46DA"/>
    <w:rsid w:val="00D00DF8"/>
    <w:rsid w:val="00D01D20"/>
    <w:rsid w:val="00D0406E"/>
    <w:rsid w:val="00D05FA0"/>
    <w:rsid w:val="00D070A8"/>
    <w:rsid w:val="00D24A1A"/>
    <w:rsid w:val="00D25E8B"/>
    <w:rsid w:val="00D36F7E"/>
    <w:rsid w:val="00D40CC2"/>
    <w:rsid w:val="00D42175"/>
    <w:rsid w:val="00D5535A"/>
    <w:rsid w:val="00D66B46"/>
    <w:rsid w:val="00D80D7B"/>
    <w:rsid w:val="00D81D9F"/>
    <w:rsid w:val="00D83E6F"/>
    <w:rsid w:val="00D916CF"/>
    <w:rsid w:val="00D9457A"/>
    <w:rsid w:val="00D955DA"/>
    <w:rsid w:val="00D96D4C"/>
    <w:rsid w:val="00D97B55"/>
    <w:rsid w:val="00DA0EB9"/>
    <w:rsid w:val="00DB1500"/>
    <w:rsid w:val="00DB237D"/>
    <w:rsid w:val="00DB53B8"/>
    <w:rsid w:val="00DB5C5E"/>
    <w:rsid w:val="00DC51F7"/>
    <w:rsid w:val="00DC55EA"/>
    <w:rsid w:val="00DD254C"/>
    <w:rsid w:val="00DE1730"/>
    <w:rsid w:val="00DE24CA"/>
    <w:rsid w:val="00DF1161"/>
    <w:rsid w:val="00E0665E"/>
    <w:rsid w:val="00E072CA"/>
    <w:rsid w:val="00E25253"/>
    <w:rsid w:val="00E30C6D"/>
    <w:rsid w:val="00E33520"/>
    <w:rsid w:val="00E42FD0"/>
    <w:rsid w:val="00E43C86"/>
    <w:rsid w:val="00E45807"/>
    <w:rsid w:val="00E45A25"/>
    <w:rsid w:val="00E503AE"/>
    <w:rsid w:val="00E614D0"/>
    <w:rsid w:val="00E63156"/>
    <w:rsid w:val="00E64E0C"/>
    <w:rsid w:val="00E70B38"/>
    <w:rsid w:val="00E83888"/>
    <w:rsid w:val="00E87338"/>
    <w:rsid w:val="00E961D7"/>
    <w:rsid w:val="00E96559"/>
    <w:rsid w:val="00EA34F4"/>
    <w:rsid w:val="00EA675C"/>
    <w:rsid w:val="00EB10E8"/>
    <w:rsid w:val="00EC1DD6"/>
    <w:rsid w:val="00EC3D75"/>
    <w:rsid w:val="00EC6DDC"/>
    <w:rsid w:val="00ED09D9"/>
    <w:rsid w:val="00ED33C6"/>
    <w:rsid w:val="00ED519B"/>
    <w:rsid w:val="00ED51E9"/>
    <w:rsid w:val="00EE0A5D"/>
    <w:rsid w:val="00EE2B39"/>
    <w:rsid w:val="00EE4422"/>
    <w:rsid w:val="00EE49C5"/>
    <w:rsid w:val="00EE61B6"/>
    <w:rsid w:val="00EE7C24"/>
    <w:rsid w:val="00EF0C3B"/>
    <w:rsid w:val="00EF223D"/>
    <w:rsid w:val="00EF3FBF"/>
    <w:rsid w:val="00EF646C"/>
    <w:rsid w:val="00EF737E"/>
    <w:rsid w:val="00F05717"/>
    <w:rsid w:val="00F063C6"/>
    <w:rsid w:val="00F155B9"/>
    <w:rsid w:val="00F30E21"/>
    <w:rsid w:val="00F31454"/>
    <w:rsid w:val="00F34451"/>
    <w:rsid w:val="00F41143"/>
    <w:rsid w:val="00F443C9"/>
    <w:rsid w:val="00F44524"/>
    <w:rsid w:val="00F461E6"/>
    <w:rsid w:val="00F46231"/>
    <w:rsid w:val="00F62178"/>
    <w:rsid w:val="00F64D59"/>
    <w:rsid w:val="00F6740D"/>
    <w:rsid w:val="00F722AC"/>
    <w:rsid w:val="00F73882"/>
    <w:rsid w:val="00F775AE"/>
    <w:rsid w:val="00F827B1"/>
    <w:rsid w:val="00F83CA2"/>
    <w:rsid w:val="00F85428"/>
    <w:rsid w:val="00F866F3"/>
    <w:rsid w:val="00F91073"/>
    <w:rsid w:val="00F923FE"/>
    <w:rsid w:val="00FA0C7E"/>
    <w:rsid w:val="00FB0091"/>
    <w:rsid w:val="00FB1450"/>
    <w:rsid w:val="00FC3223"/>
    <w:rsid w:val="00FD6CBF"/>
    <w:rsid w:val="00FF54A5"/>
    <w:rsid w:val="011A0C2A"/>
    <w:rsid w:val="013417C3"/>
    <w:rsid w:val="01AC125D"/>
    <w:rsid w:val="01B01053"/>
    <w:rsid w:val="027839B5"/>
    <w:rsid w:val="02AC04BB"/>
    <w:rsid w:val="02BF2602"/>
    <w:rsid w:val="02E1033F"/>
    <w:rsid w:val="03273D1D"/>
    <w:rsid w:val="034544C3"/>
    <w:rsid w:val="03CF23E9"/>
    <w:rsid w:val="03D4641E"/>
    <w:rsid w:val="04151A19"/>
    <w:rsid w:val="04151D1C"/>
    <w:rsid w:val="044D1C48"/>
    <w:rsid w:val="049D6A61"/>
    <w:rsid w:val="04B47460"/>
    <w:rsid w:val="04B5501A"/>
    <w:rsid w:val="04F0096F"/>
    <w:rsid w:val="050E5913"/>
    <w:rsid w:val="056E4F56"/>
    <w:rsid w:val="06276C47"/>
    <w:rsid w:val="063A78C0"/>
    <w:rsid w:val="068877A0"/>
    <w:rsid w:val="07093E51"/>
    <w:rsid w:val="070C1682"/>
    <w:rsid w:val="07232745"/>
    <w:rsid w:val="07AD0F30"/>
    <w:rsid w:val="07D04770"/>
    <w:rsid w:val="086D4B22"/>
    <w:rsid w:val="08F92423"/>
    <w:rsid w:val="0A0320FA"/>
    <w:rsid w:val="0A141923"/>
    <w:rsid w:val="0A321F92"/>
    <w:rsid w:val="0A56558B"/>
    <w:rsid w:val="0A5D0006"/>
    <w:rsid w:val="0A813698"/>
    <w:rsid w:val="0A9C509B"/>
    <w:rsid w:val="0A9E0F68"/>
    <w:rsid w:val="0AE747F5"/>
    <w:rsid w:val="0BE126A4"/>
    <w:rsid w:val="0C1F0548"/>
    <w:rsid w:val="0C2D5CAF"/>
    <w:rsid w:val="0C8044B8"/>
    <w:rsid w:val="0C8353F1"/>
    <w:rsid w:val="0DCB1B27"/>
    <w:rsid w:val="0DDA1A7E"/>
    <w:rsid w:val="0E9935CC"/>
    <w:rsid w:val="0EA74830"/>
    <w:rsid w:val="0EB33748"/>
    <w:rsid w:val="0EBB326E"/>
    <w:rsid w:val="0F095A37"/>
    <w:rsid w:val="0F2D402A"/>
    <w:rsid w:val="0F332E21"/>
    <w:rsid w:val="0F89340C"/>
    <w:rsid w:val="10332D14"/>
    <w:rsid w:val="112B7934"/>
    <w:rsid w:val="1167661F"/>
    <w:rsid w:val="12E65A69"/>
    <w:rsid w:val="13072A44"/>
    <w:rsid w:val="1346600D"/>
    <w:rsid w:val="135C5151"/>
    <w:rsid w:val="13695F45"/>
    <w:rsid w:val="136C2A08"/>
    <w:rsid w:val="13BD24EB"/>
    <w:rsid w:val="13C35B4D"/>
    <w:rsid w:val="142B6A61"/>
    <w:rsid w:val="14B62860"/>
    <w:rsid w:val="1534573C"/>
    <w:rsid w:val="153653D6"/>
    <w:rsid w:val="1565681E"/>
    <w:rsid w:val="156D4CEB"/>
    <w:rsid w:val="15B90F35"/>
    <w:rsid w:val="15C74B72"/>
    <w:rsid w:val="15F63D34"/>
    <w:rsid w:val="162064D9"/>
    <w:rsid w:val="16732272"/>
    <w:rsid w:val="16BB5F47"/>
    <w:rsid w:val="16BF0FE2"/>
    <w:rsid w:val="16C86739"/>
    <w:rsid w:val="16D042EE"/>
    <w:rsid w:val="1782752E"/>
    <w:rsid w:val="17B63B9B"/>
    <w:rsid w:val="17C569F1"/>
    <w:rsid w:val="17CC2366"/>
    <w:rsid w:val="18300257"/>
    <w:rsid w:val="186D3C1B"/>
    <w:rsid w:val="18844F21"/>
    <w:rsid w:val="18893450"/>
    <w:rsid w:val="18D309EC"/>
    <w:rsid w:val="18EE4EE5"/>
    <w:rsid w:val="190C4008"/>
    <w:rsid w:val="19CA3ED0"/>
    <w:rsid w:val="1AA62C8C"/>
    <w:rsid w:val="1AE26892"/>
    <w:rsid w:val="1B8F4B47"/>
    <w:rsid w:val="1C0A20D9"/>
    <w:rsid w:val="1C1D6358"/>
    <w:rsid w:val="1C6D106A"/>
    <w:rsid w:val="1CF81CD5"/>
    <w:rsid w:val="1D0E6437"/>
    <w:rsid w:val="1D150C50"/>
    <w:rsid w:val="1D621714"/>
    <w:rsid w:val="1E0565AE"/>
    <w:rsid w:val="1E070414"/>
    <w:rsid w:val="1E3F2699"/>
    <w:rsid w:val="1E491077"/>
    <w:rsid w:val="1E7A004C"/>
    <w:rsid w:val="1E8F7C25"/>
    <w:rsid w:val="1E94626F"/>
    <w:rsid w:val="1F432EDA"/>
    <w:rsid w:val="1F8337AA"/>
    <w:rsid w:val="1F9F5B08"/>
    <w:rsid w:val="1FCF51CD"/>
    <w:rsid w:val="20030F1C"/>
    <w:rsid w:val="205A21FD"/>
    <w:rsid w:val="20F5782F"/>
    <w:rsid w:val="2227304F"/>
    <w:rsid w:val="22396826"/>
    <w:rsid w:val="230201A2"/>
    <w:rsid w:val="23AD175D"/>
    <w:rsid w:val="23E25421"/>
    <w:rsid w:val="2491398A"/>
    <w:rsid w:val="24986714"/>
    <w:rsid w:val="26262243"/>
    <w:rsid w:val="264D591E"/>
    <w:rsid w:val="266B5267"/>
    <w:rsid w:val="2676612A"/>
    <w:rsid w:val="27015E22"/>
    <w:rsid w:val="27D8088F"/>
    <w:rsid w:val="282B39DF"/>
    <w:rsid w:val="285D52D5"/>
    <w:rsid w:val="28762871"/>
    <w:rsid w:val="28B356D4"/>
    <w:rsid w:val="29090500"/>
    <w:rsid w:val="297574CF"/>
    <w:rsid w:val="297B5231"/>
    <w:rsid w:val="29887B61"/>
    <w:rsid w:val="2A8424A1"/>
    <w:rsid w:val="2A92458A"/>
    <w:rsid w:val="2B1E3B5D"/>
    <w:rsid w:val="2B1F298B"/>
    <w:rsid w:val="2B3136CF"/>
    <w:rsid w:val="2BFD2562"/>
    <w:rsid w:val="2C484B91"/>
    <w:rsid w:val="2C8D08B5"/>
    <w:rsid w:val="2CAB5233"/>
    <w:rsid w:val="2D195263"/>
    <w:rsid w:val="2D402581"/>
    <w:rsid w:val="2D4034A6"/>
    <w:rsid w:val="2E4474A2"/>
    <w:rsid w:val="2E6A0413"/>
    <w:rsid w:val="2E6E65B8"/>
    <w:rsid w:val="2F4F3279"/>
    <w:rsid w:val="2F5752EA"/>
    <w:rsid w:val="2FE260B7"/>
    <w:rsid w:val="30047255"/>
    <w:rsid w:val="303C6A7E"/>
    <w:rsid w:val="305A1586"/>
    <w:rsid w:val="31287395"/>
    <w:rsid w:val="31BA34EF"/>
    <w:rsid w:val="31E2556F"/>
    <w:rsid w:val="31E96905"/>
    <w:rsid w:val="31F13014"/>
    <w:rsid w:val="3230059F"/>
    <w:rsid w:val="3242754D"/>
    <w:rsid w:val="32A84A9E"/>
    <w:rsid w:val="32AD01F9"/>
    <w:rsid w:val="32BA0422"/>
    <w:rsid w:val="32DD4965"/>
    <w:rsid w:val="32DF7723"/>
    <w:rsid w:val="33933F37"/>
    <w:rsid w:val="33E52B12"/>
    <w:rsid w:val="34313AAC"/>
    <w:rsid w:val="343B4623"/>
    <w:rsid w:val="34673F86"/>
    <w:rsid w:val="34A412C2"/>
    <w:rsid w:val="34C04384"/>
    <w:rsid w:val="34C2674F"/>
    <w:rsid w:val="34DE3A6E"/>
    <w:rsid w:val="3553170B"/>
    <w:rsid w:val="358E7E5E"/>
    <w:rsid w:val="35914258"/>
    <w:rsid w:val="35B3689B"/>
    <w:rsid w:val="362F1DD0"/>
    <w:rsid w:val="3651265A"/>
    <w:rsid w:val="379825A8"/>
    <w:rsid w:val="37EC4B4C"/>
    <w:rsid w:val="383A7265"/>
    <w:rsid w:val="3871675D"/>
    <w:rsid w:val="3874579C"/>
    <w:rsid w:val="389D72E6"/>
    <w:rsid w:val="38A677FE"/>
    <w:rsid w:val="39027D78"/>
    <w:rsid w:val="390C3D79"/>
    <w:rsid w:val="393C5995"/>
    <w:rsid w:val="39AF176A"/>
    <w:rsid w:val="3A192A3C"/>
    <w:rsid w:val="3A3E25F9"/>
    <w:rsid w:val="3A562C1D"/>
    <w:rsid w:val="3B135A0E"/>
    <w:rsid w:val="3B1F2EEE"/>
    <w:rsid w:val="3B9175E3"/>
    <w:rsid w:val="3BBD6140"/>
    <w:rsid w:val="3BC56110"/>
    <w:rsid w:val="3CFF36A9"/>
    <w:rsid w:val="3D084FB0"/>
    <w:rsid w:val="3D5C3146"/>
    <w:rsid w:val="3E3069EE"/>
    <w:rsid w:val="3EA6582A"/>
    <w:rsid w:val="3F163D49"/>
    <w:rsid w:val="3F542ED5"/>
    <w:rsid w:val="3FC839AD"/>
    <w:rsid w:val="3FD35C19"/>
    <w:rsid w:val="3FFD0999"/>
    <w:rsid w:val="40067235"/>
    <w:rsid w:val="400C7447"/>
    <w:rsid w:val="401E6BDF"/>
    <w:rsid w:val="404974EE"/>
    <w:rsid w:val="40753D97"/>
    <w:rsid w:val="41115F9F"/>
    <w:rsid w:val="41696E6B"/>
    <w:rsid w:val="417967E7"/>
    <w:rsid w:val="425F3135"/>
    <w:rsid w:val="426C33EF"/>
    <w:rsid w:val="42FC50C3"/>
    <w:rsid w:val="43277288"/>
    <w:rsid w:val="43545DB6"/>
    <w:rsid w:val="43744653"/>
    <w:rsid w:val="4399764E"/>
    <w:rsid w:val="43B00546"/>
    <w:rsid w:val="43B7252B"/>
    <w:rsid w:val="43BE29B5"/>
    <w:rsid w:val="441A515E"/>
    <w:rsid w:val="44CC7399"/>
    <w:rsid w:val="451644C7"/>
    <w:rsid w:val="457C0DA3"/>
    <w:rsid w:val="45855887"/>
    <w:rsid w:val="45B8195C"/>
    <w:rsid w:val="46081BD0"/>
    <w:rsid w:val="463024D2"/>
    <w:rsid w:val="46C51582"/>
    <w:rsid w:val="46E275AE"/>
    <w:rsid w:val="47AB15F4"/>
    <w:rsid w:val="47E86F70"/>
    <w:rsid w:val="48503DDC"/>
    <w:rsid w:val="486349F6"/>
    <w:rsid w:val="486D713B"/>
    <w:rsid w:val="4876078E"/>
    <w:rsid w:val="4895096F"/>
    <w:rsid w:val="48B12E30"/>
    <w:rsid w:val="48DD3E5D"/>
    <w:rsid w:val="494B341D"/>
    <w:rsid w:val="495B6A5D"/>
    <w:rsid w:val="496109D6"/>
    <w:rsid w:val="49D63EA3"/>
    <w:rsid w:val="49F344F5"/>
    <w:rsid w:val="4A071C31"/>
    <w:rsid w:val="4A2A29B0"/>
    <w:rsid w:val="4AF51D8A"/>
    <w:rsid w:val="4B5F54B0"/>
    <w:rsid w:val="4B64229E"/>
    <w:rsid w:val="4B6800CE"/>
    <w:rsid w:val="4B7B6541"/>
    <w:rsid w:val="4C7E32A2"/>
    <w:rsid w:val="4C80002F"/>
    <w:rsid w:val="4C905BDD"/>
    <w:rsid w:val="4CFE71F2"/>
    <w:rsid w:val="4D113F6A"/>
    <w:rsid w:val="4D782049"/>
    <w:rsid w:val="4D9A2DF7"/>
    <w:rsid w:val="4DC570AC"/>
    <w:rsid w:val="4DD27AB7"/>
    <w:rsid w:val="4E046289"/>
    <w:rsid w:val="4E0D1C33"/>
    <w:rsid w:val="4E3B4A67"/>
    <w:rsid w:val="4EF47493"/>
    <w:rsid w:val="4F601CD1"/>
    <w:rsid w:val="4FFC6A99"/>
    <w:rsid w:val="50530E5B"/>
    <w:rsid w:val="5054716C"/>
    <w:rsid w:val="50A410FF"/>
    <w:rsid w:val="50AC0F27"/>
    <w:rsid w:val="520D643C"/>
    <w:rsid w:val="5288640C"/>
    <w:rsid w:val="529C6354"/>
    <w:rsid w:val="529E721A"/>
    <w:rsid w:val="536B4550"/>
    <w:rsid w:val="537D4134"/>
    <w:rsid w:val="54221A3B"/>
    <w:rsid w:val="543D388C"/>
    <w:rsid w:val="54994CFF"/>
    <w:rsid w:val="54C36F1F"/>
    <w:rsid w:val="5528161A"/>
    <w:rsid w:val="55433FC2"/>
    <w:rsid w:val="55AB3B2E"/>
    <w:rsid w:val="55FF3507"/>
    <w:rsid w:val="561965EA"/>
    <w:rsid w:val="5652609C"/>
    <w:rsid w:val="56A47905"/>
    <w:rsid w:val="56F80043"/>
    <w:rsid w:val="5702634A"/>
    <w:rsid w:val="57822820"/>
    <w:rsid w:val="57A34254"/>
    <w:rsid w:val="57F05CF4"/>
    <w:rsid w:val="582508CE"/>
    <w:rsid w:val="58331AD9"/>
    <w:rsid w:val="587C7807"/>
    <w:rsid w:val="589C5218"/>
    <w:rsid w:val="58EF68B2"/>
    <w:rsid w:val="5A5760E3"/>
    <w:rsid w:val="5AE26926"/>
    <w:rsid w:val="5B670635"/>
    <w:rsid w:val="5B6F7BFC"/>
    <w:rsid w:val="5BA64974"/>
    <w:rsid w:val="5BDD4583"/>
    <w:rsid w:val="5BEA4111"/>
    <w:rsid w:val="5BFC3802"/>
    <w:rsid w:val="5C22221E"/>
    <w:rsid w:val="5CBD1826"/>
    <w:rsid w:val="5CC90E47"/>
    <w:rsid w:val="5D0635DC"/>
    <w:rsid w:val="5D7F4E5F"/>
    <w:rsid w:val="5D894252"/>
    <w:rsid w:val="5EB818C6"/>
    <w:rsid w:val="5EE47F81"/>
    <w:rsid w:val="5F22029E"/>
    <w:rsid w:val="6006158A"/>
    <w:rsid w:val="60D11547"/>
    <w:rsid w:val="60F4348A"/>
    <w:rsid w:val="612270C1"/>
    <w:rsid w:val="619A02BF"/>
    <w:rsid w:val="6205541A"/>
    <w:rsid w:val="62D56C39"/>
    <w:rsid w:val="6340631B"/>
    <w:rsid w:val="639B1254"/>
    <w:rsid w:val="639C42A6"/>
    <w:rsid w:val="63A2409B"/>
    <w:rsid w:val="640C32C4"/>
    <w:rsid w:val="642C06D8"/>
    <w:rsid w:val="64382A63"/>
    <w:rsid w:val="654F78E9"/>
    <w:rsid w:val="658262F3"/>
    <w:rsid w:val="65E008DC"/>
    <w:rsid w:val="663B4896"/>
    <w:rsid w:val="669C3FCD"/>
    <w:rsid w:val="66BC2B1B"/>
    <w:rsid w:val="66C16402"/>
    <w:rsid w:val="6710535E"/>
    <w:rsid w:val="67697950"/>
    <w:rsid w:val="68224CB2"/>
    <w:rsid w:val="684125FF"/>
    <w:rsid w:val="68AF4018"/>
    <w:rsid w:val="68B76E61"/>
    <w:rsid w:val="6904103C"/>
    <w:rsid w:val="691B2BFF"/>
    <w:rsid w:val="697148F9"/>
    <w:rsid w:val="69E37321"/>
    <w:rsid w:val="6A0B5CC2"/>
    <w:rsid w:val="6A1C3349"/>
    <w:rsid w:val="6A840303"/>
    <w:rsid w:val="6A8E5A9B"/>
    <w:rsid w:val="6AA51524"/>
    <w:rsid w:val="6B2923C8"/>
    <w:rsid w:val="6B685FAF"/>
    <w:rsid w:val="6BED3583"/>
    <w:rsid w:val="6C1B40F9"/>
    <w:rsid w:val="6C4E6221"/>
    <w:rsid w:val="6C677350"/>
    <w:rsid w:val="6C8D7A85"/>
    <w:rsid w:val="6CE4496B"/>
    <w:rsid w:val="6D2F407A"/>
    <w:rsid w:val="6D3930F9"/>
    <w:rsid w:val="6D685205"/>
    <w:rsid w:val="6D7E2CA2"/>
    <w:rsid w:val="6DEA5EE2"/>
    <w:rsid w:val="6FE32766"/>
    <w:rsid w:val="70BC7E9B"/>
    <w:rsid w:val="70C1187A"/>
    <w:rsid w:val="73075151"/>
    <w:rsid w:val="738318B1"/>
    <w:rsid w:val="74024FF9"/>
    <w:rsid w:val="742C0840"/>
    <w:rsid w:val="74B83341"/>
    <w:rsid w:val="74E2035F"/>
    <w:rsid w:val="74F03159"/>
    <w:rsid w:val="754367E1"/>
    <w:rsid w:val="755135A6"/>
    <w:rsid w:val="75B83198"/>
    <w:rsid w:val="75D25EA8"/>
    <w:rsid w:val="76200A04"/>
    <w:rsid w:val="768005AA"/>
    <w:rsid w:val="76E2394F"/>
    <w:rsid w:val="770A4356"/>
    <w:rsid w:val="77577F5C"/>
    <w:rsid w:val="775C45CE"/>
    <w:rsid w:val="779720A5"/>
    <w:rsid w:val="78462941"/>
    <w:rsid w:val="78504536"/>
    <w:rsid w:val="78743289"/>
    <w:rsid w:val="788829E3"/>
    <w:rsid w:val="790D7815"/>
    <w:rsid w:val="79B35C4A"/>
    <w:rsid w:val="79BC586D"/>
    <w:rsid w:val="79BD3F20"/>
    <w:rsid w:val="79C558D4"/>
    <w:rsid w:val="79E03380"/>
    <w:rsid w:val="7A266993"/>
    <w:rsid w:val="7A5C72D0"/>
    <w:rsid w:val="7ABB3AA2"/>
    <w:rsid w:val="7ADB550F"/>
    <w:rsid w:val="7AE331E7"/>
    <w:rsid w:val="7B4739D6"/>
    <w:rsid w:val="7B5B3CEA"/>
    <w:rsid w:val="7BA12362"/>
    <w:rsid w:val="7CCC1811"/>
    <w:rsid w:val="7D3911D3"/>
    <w:rsid w:val="7D4E74C5"/>
    <w:rsid w:val="7D556CDB"/>
    <w:rsid w:val="7D5A0D5F"/>
    <w:rsid w:val="7D793A98"/>
    <w:rsid w:val="7D7E52A5"/>
    <w:rsid w:val="7D913407"/>
    <w:rsid w:val="7DE16BB0"/>
    <w:rsid w:val="7E1D5469"/>
    <w:rsid w:val="7E243B18"/>
    <w:rsid w:val="7E543940"/>
    <w:rsid w:val="7EF11032"/>
    <w:rsid w:val="7F17429C"/>
    <w:rsid w:val="7FF949F7"/>
    <w:rsid w:val="7FFB55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link w:val="30"/>
    <w:qFormat/>
    <w:uiPriority w:val="99"/>
    <w:pPr>
      <w:spacing w:line="360" w:lineRule="auto"/>
      <w:jc w:val="center"/>
      <w:outlineLvl w:val="0"/>
    </w:pPr>
    <w:rPr>
      <w:rFonts w:ascii="Microsoft JhengHei" w:hAnsi="Microsoft JhengHei" w:eastAsia="宋体" w:cs="Times New Roman"/>
      <w:bCs/>
      <w:kern w:val="0"/>
      <w:sz w:val="44"/>
      <w:szCs w:val="44"/>
      <w:lang w:eastAsia="en-US"/>
    </w:rPr>
  </w:style>
  <w:style w:type="paragraph" w:styleId="6">
    <w:name w:val="heading 2"/>
    <w:basedOn w:val="1"/>
    <w:next w:val="1"/>
    <w:link w:val="28"/>
    <w:unhideWhenUsed/>
    <w:qFormat/>
    <w:uiPriority w:val="0"/>
    <w:pPr>
      <w:keepNext/>
      <w:keepLines/>
      <w:spacing w:line="360" w:lineRule="auto"/>
      <w:jc w:val="center"/>
      <w:outlineLvl w:val="1"/>
    </w:pPr>
    <w:rPr>
      <w:rFonts w:ascii="宋体" w:hAnsi="宋体" w:eastAsia="宋体" w:cstheme="majorBidi"/>
      <w:b/>
      <w:sz w:val="24"/>
    </w:rPr>
  </w:style>
  <w:style w:type="paragraph" w:styleId="7">
    <w:name w:val="heading 3"/>
    <w:basedOn w:val="1"/>
    <w:next w:val="1"/>
    <w:link w:val="29"/>
    <w:unhideWhenUsed/>
    <w:qFormat/>
    <w:uiPriority w:val="0"/>
    <w:pPr>
      <w:keepNext/>
      <w:keepLines/>
      <w:spacing w:line="360" w:lineRule="auto"/>
      <w:jc w:val="left"/>
      <w:outlineLvl w:val="2"/>
    </w:pPr>
    <w:rPr>
      <w:rFonts w:ascii="宋体" w:hAnsi="宋体" w:eastAsia="宋体"/>
      <w:sz w:val="24"/>
    </w:rPr>
  </w:style>
  <w:style w:type="paragraph" w:styleId="8">
    <w:name w:val="heading 9"/>
    <w:basedOn w:val="1"/>
    <w:next w:val="1"/>
    <w:link w:val="57"/>
    <w:qFormat/>
    <w:uiPriority w:val="0"/>
    <w:pPr>
      <w:widowControl/>
      <w:wordWrap w:val="0"/>
      <w:overflowPunct w:val="0"/>
      <w:adjustRightInd w:val="0"/>
      <w:spacing w:line="360" w:lineRule="auto"/>
      <w:jc w:val="left"/>
      <w:textAlignment w:val="baseline"/>
      <w:outlineLvl w:val="8"/>
    </w:pPr>
    <w:rPr>
      <w:rFonts w:ascii="微软雅黑" w:hAnsi="微软雅黑" w:eastAsia="微软雅黑" w:cs="Times New Roman"/>
      <w:bCs/>
      <w:kern w:val="0"/>
      <w:sz w:val="18"/>
      <w:szCs w:val="1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61"/>
    <w:unhideWhenUsed/>
    <w:qFormat/>
    <w:uiPriority w:val="99"/>
    <w:pPr>
      <w:ind w:firstLine="420" w:firstLineChars="100"/>
    </w:pPr>
  </w:style>
  <w:style w:type="paragraph" w:styleId="3">
    <w:name w:val="Body Text"/>
    <w:basedOn w:val="1"/>
    <w:next w:val="4"/>
    <w:link w:val="34"/>
    <w:qFormat/>
    <w:uiPriority w:val="0"/>
    <w:pPr>
      <w:jc w:val="left"/>
    </w:pPr>
    <w:rPr>
      <w:rFonts w:ascii="宋体" w:hAnsi="宋体" w:eastAsia="宋体" w:cs="宋体"/>
      <w:kern w:val="0"/>
      <w:szCs w:val="21"/>
      <w:lang w:eastAsia="en-US"/>
    </w:rPr>
  </w:style>
  <w:style w:type="paragraph" w:styleId="4">
    <w:name w:val="Plain Text"/>
    <w:basedOn w:val="1"/>
    <w:link w:val="36"/>
    <w:qFormat/>
    <w:uiPriority w:val="0"/>
    <w:rPr>
      <w:rFonts w:ascii="宋体" w:hAnsi="Courier New" w:eastAsia="宋体" w:cs="Times New Roman"/>
      <w:szCs w:val="21"/>
      <w:lang w:val="zh-CN"/>
    </w:rPr>
  </w:style>
  <w:style w:type="paragraph" w:styleId="9">
    <w:name w:val="Document Map"/>
    <w:basedOn w:val="1"/>
    <w:link w:val="58"/>
    <w:semiHidden/>
    <w:unhideWhenUsed/>
    <w:qFormat/>
    <w:uiPriority w:val="0"/>
    <w:rPr>
      <w:rFonts w:ascii="宋体" w:eastAsia="宋体"/>
      <w:sz w:val="18"/>
      <w:szCs w:val="18"/>
    </w:rPr>
  </w:style>
  <w:style w:type="paragraph" w:styleId="10">
    <w:name w:val="annotation text"/>
    <w:basedOn w:val="1"/>
    <w:link w:val="32"/>
    <w:qFormat/>
    <w:uiPriority w:val="0"/>
    <w:pPr>
      <w:jc w:val="left"/>
    </w:pPr>
  </w:style>
  <w:style w:type="paragraph" w:styleId="11">
    <w:name w:val="Body Text Indent"/>
    <w:basedOn w:val="1"/>
    <w:link w:val="42"/>
    <w:unhideWhenUsed/>
    <w:qFormat/>
    <w:uiPriority w:val="99"/>
    <w:pPr>
      <w:spacing w:after="120"/>
      <w:ind w:left="420" w:leftChars="200"/>
      <w:jc w:val="left"/>
    </w:pPr>
    <w:rPr>
      <w:kern w:val="0"/>
      <w:sz w:val="22"/>
      <w:szCs w:val="22"/>
      <w:lang w:eastAsia="en-US"/>
    </w:rPr>
  </w:style>
  <w:style w:type="paragraph" w:styleId="12">
    <w:name w:val="Balloon Text"/>
    <w:basedOn w:val="1"/>
    <w:link w:val="31"/>
    <w:qFormat/>
    <w:uiPriority w:val="99"/>
    <w:rPr>
      <w:sz w:val="18"/>
      <w:szCs w:val="18"/>
    </w:rPr>
  </w:style>
  <w:style w:type="paragraph" w:styleId="13">
    <w:name w:val="footer"/>
    <w:basedOn w:val="1"/>
    <w:link w:val="46"/>
    <w:qFormat/>
    <w:uiPriority w:val="99"/>
    <w:pPr>
      <w:tabs>
        <w:tab w:val="center" w:pos="4153"/>
        <w:tab w:val="right" w:pos="8306"/>
      </w:tabs>
      <w:snapToGrid w:val="0"/>
      <w:jc w:val="left"/>
    </w:pPr>
    <w:rPr>
      <w:sz w:val="18"/>
    </w:rPr>
  </w:style>
  <w:style w:type="paragraph" w:styleId="14">
    <w:name w:val="header"/>
    <w:basedOn w:val="1"/>
    <w:link w:val="4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39"/>
    <w:pPr>
      <w:tabs>
        <w:tab w:val="right" w:leader="dot" w:pos="9060"/>
      </w:tabs>
      <w:spacing w:line="360" w:lineRule="auto"/>
    </w:pPr>
  </w:style>
  <w:style w:type="paragraph" w:styleId="16">
    <w:name w:val="Subtitle"/>
    <w:basedOn w:val="1"/>
    <w:next w:val="1"/>
    <w:link w:val="48"/>
    <w:qFormat/>
    <w:uiPriority w:val="0"/>
    <w:pPr>
      <w:spacing w:before="240" w:after="60" w:line="312" w:lineRule="auto"/>
      <w:jc w:val="center"/>
      <w:outlineLvl w:val="1"/>
    </w:pPr>
    <w:rPr>
      <w:b/>
      <w:bCs/>
      <w:kern w:val="28"/>
      <w:sz w:val="32"/>
      <w:szCs w:val="32"/>
    </w:rPr>
  </w:style>
  <w:style w:type="paragraph" w:styleId="17">
    <w:name w:val="toc 2"/>
    <w:basedOn w:val="1"/>
    <w:next w:val="1"/>
    <w:qFormat/>
    <w:uiPriority w:val="39"/>
    <w:pPr>
      <w:spacing w:line="272" w:lineRule="exact"/>
      <w:ind w:left="520"/>
      <w:jc w:val="left"/>
    </w:pPr>
    <w:rPr>
      <w:rFonts w:ascii="宋体" w:hAnsi="宋体" w:eastAsia="宋体" w:cs="宋体"/>
      <w:kern w:val="0"/>
      <w:szCs w:val="21"/>
      <w:lang w:eastAsia="en-US"/>
    </w:rPr>
  </w:style>
  <w:style w:type="paragraph" w:styleId="18">
    <w:name w:val="Normal (Web)"/>
    <w:basedOn w:val="1"/>
    <w:semiHidden/>
    <w:unhideWhenUsed/>
    <w:qFormat/>
    <w:uiPriority w:val="0"/>
    <w:pPr>
      <w:spacing w:beforeAutospacing="1" w:afterAutospacing="1"/>
      <w:jc w:val="left"/>
    </w:pPr>
    <w:rPr>
      <w:rFonts w:cs="Times New Roman"/>
      <w:kern w:val="0"/>
      <w:sz w:val="24"/>
    </w:rPr>
  </w:style>
  <w:style w:type="paragraph" w:styleId="19">
    <w:name w:val="Title"/>
    <w:basedOn w:val="1"/>
    <w:link w:val="43"/>
    <w:qFormat/>
    <w:uiPriority w:val="0"/>
    <w:pPr>
      <w:adjustRightInd w:val="0"/>
      <w:spacing w:before="120" w:line="360" w:lineRule="auto"/>
      <w:ind w:left="767" w:leftChars="-85" w:hanging="945" w:hangingChars="337"/>
      <w:jc w:val="center"/>
      <w:textAlignment w:val="baseline"/>
    </w:pPr>
    <w:rPr>
      <w:rFonts w:ascii="Times New Roman" w:hAnsi="Times New Roman" w:eastAsia="宋体" w:cs="Times New Roman"/>
      <w:b/>
      <w:kern w:val="0"/>
      <w:sz w:val="28"/>
      <w:szCs w:val="20"/>
    </w:rPr>
  </w:style>
  <w:style w:type="paragraph" w:styleId="20">
    <w:name w:val="annotation subject"/>
    <w:basedOn w:val="10"/>
    <w:next w:val="10"/>
    <w:link w:val="33"/>
    <w:qFormat/>
    <w:uiPriority w:val="0"/>
    <w:rPr>
      <w:b/>
      <w:bCs/>
    </w:rPr>
  </w:style>
  <w:style w:type="paragraph" w:styleId="21">
    <w:name w:val="Body Text First Indent 2"/>
    <w:basedOn w:val="11"/>
    <w:qFormat/>
    <w:uiPriority w:val="0"/>
    <w:pPr>
      <w:adjustRightInd w:val="0"/>
      <w:spacing w:line="312" w:lineRule="atLeast"/>
      <w:ind w:left="0" w:leftChars="0" w:firstLine="210"/>
      <w:textAlignment w:val="baseline"/>
    </w:pPr>
    <w:rPr>
      <w:szCs w:val="21"/>
    </w:rPr>
  </w:style>
  <w:style w:type="table" w:styleId="23">
    <w:name w:val="Table Grid"/>
    <w:basedOn w:val="2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b/>
    </w:rPr>
  </w:style>
  <w:style w:type="character" w:styleId="26">
    <w:name w:val="Hyperlink"/>
    <w:basedOn w:val="24"/>
    <w:unhideWhenUsed/>
    <w:qFormat/>
    <w:uiPriority w:val="99"/>
    <w:rPr>
      <w:color w:val="0563C1" w:themeColor="hyperlink"/>
      <w:u w:val="single"/>
      <w14:textFill>
        <w14:solidFill>
          <w14:schemeClr w14:val="hlink"/>
        </w14:solidFill>
      </w14:textFill>
    </w:rPr>
  </w:style>
  <w:style w:type="character" w:styleId="27">
    <w:name w:val="annotation reference"/>
    <w:basedOn w:val="24"/>
    <w:qFormat/>
    <w:uiPriority w:val="99"/>
    <w:rPr>
      <w:sz w:val="21"/>
      <w:szCs w:val="21"/>
    </w:rPr>
  </w:style>
  <w:style w:type="character" w:customStyle="1" w:styleId="28">
    <w:name w:val="标题 2 Char"/>
    <w:basedOn w:val="24"/>
    <w:link w:val="6"/>
    <w:qFormat/>
    <w:uiPriority w:val="0"/>
    <w:rPr>
      <w:rFonts w:ascii="宋体" w:hAnsi="宋体" w:eastAsia="宋体" w:cstheme="majorBidi"/>
      <w:b/>
      <w:kern w:val="2"/>
      <w:sz w:val="24"/>
      <w:szCs w:val="24"/>
    </w:rPr>
  </w:style>
  <w:style w:type="character" w:customStyle="1" w:styleId="29">
    <w:name w:val="标题 3 Char"/>
    <w:basedOn w:val="24"/>
    <w:link w:val="7"/>
    <w:qFormat/>
    <w:uiPriority w:val="0"/>
    <w:rPr>
      <w:rFonts w:ascii="宋体" w:hAnsi="宋体" w:eastAsia="宋体"/>
      <w:kern w:val="2"/>
      <w:sz w:val="24"/>
      <w:szCs w:val="24"/>
    </w:rPr>
  </w:style>
  <w:style w:type="character" w:customStyle="1" w:styleId="30">
    <w:name w:val="标题 1 Char"/>
    <w:basedOn w:val="24"/>
    <w:link w:val="5"/>
    <w:qFormat/>
    <w:uiPriority w:val="99"/>
    <w:rPr>
      <w:rFonts w:ascii="Microsoft JhengHei" w:hAnsi="Microsoft JhengHei" w:eastAsia="宋体" w:cs="Times New Roman"/>
      <w:bCs/>
      <w:sz w:val="44"/>
      <w:szCs w:val="44"/>
      <w:lang w:eastAsia="en-US"/>
    </w:rPr>
  </w:style>
  <w:style w:type="character" w:customStyle="1" w:styleId="31">
    <w:name w:val="批注框文本 Char"/>
    <w:basedOn w:val="24"/>
    <w:link w:val="12"/>
    <w:qFormat/>
    <w:uiPriority w:val="99"/>
    <w:rPr>
      <w:kern w:val="2"/>
      <w:sz w:val="18"/>
      <w:szCs w:val="18"/>
    </w:rPr>
  </w:style>
  <w:style w:type="character" w:customStyle="1" w:styleId="32">
    <w:name w:val="批注文字 Char"/>
    <w:basedOn w:val="24"/>
    <w:link w:val="10"/>
    <w:qFormat/>
    <w:uiPriority w:val="0"/>
    <w:rPr>
      <w:kern w:val="2"/>
      <w:sz w:val="21"/>
      <w:szCs w:val="24"/>
    </w:rPr>
  </w:style>
  <w:style w:type="character" w:customStyle="1" w:styleId="33">
    <w:name w:val="批注主题 Char"/>
    <w:basedOn w:val="32"/>
    <w:link w:val="20"/>
    <w:qFormat/>
    <w:uiPriority w:val="0"/>
    <w:rPr>
      <w:b/>
      <w:bCs/>
      <w:kern w:val="2"/>
      <w:sz w:val="21"/>
      <w:szCs w:val="24"/>
    </w:rPr>
  </w:style>
  <w:style w:type="character" w:customStyle="1" w:styleId="34">
    <w:name w:val="正文文本 Char"/>
    <w:basedOn w:val="24"/>
    <w:link w:val="3"/>
    <w:qFormat/>
    <w:uiPriority w:val="0"/>
    <w:rPr>
      <w:rFonts w:ascii="宋体" w:hAnsi="宋体" w:eastAsia="宋体" w:cs="宋体"/>
      <w:sz w:val="21"/>
      <w:szCs w:val="21"/>
      <w:lang w:eastAsia="en-US"/>
    </w:rPr>
  </w:style>
  <w:style w:type="paragraph" w:customStyle="1" w:styleId="35">
    <w:name w:val="Table Paragraph"/>
    <w:basedOn w:val="1"/>
    <w:qFormat/>
    <w:uiPriority w:val="99"/>
    <w:pPr>
      <w:jc w:val="left"/>
    </w:pPr>
    <w:rPr>
      <w:rFonts w:ascii="宋体" w:hAnsi="宋体" w:eastAsia="宋体" w:cs="宋体"/>
      <w:kern w:val="0"/>
      <w:sz w:val="22"/>
      <w:szCs w:val="22"/>
      <w:lang w:eastAsia="en-US"/>
    </w:rPr>
  </w:style>
  <w:style w:type="character" w:customStyle="1" w:styleId="36">
    <w:name w:val="纯文本 Char"/>
    <w:basedOn w:val="24"/>
    <w:link w:val="4"/>
    <w:qFormat/>
    <w:uiPriority w:val="0"/>
    <w:rPr>
      <w:rFonts w:ascii="宋体" w:hAnsi="Courier New" w:eastAsia="宋体" w:cs="Times New Roman"/>
      <w:kern w:val="2"/>
      <w:sz w:val="21"/>
      <w:szCs w:val="21"/>
      <w:lang w:val="zh-CN" w:eastAsia="zh-CN"/>
    </w:rPr>
  </w:style>
  <w:style w:type="paragraph" w:customStyle="1" w:styleId="37">
    <w:name w:val="TOC 标题1"/>
    <w:basedOn w:val="5"/>
    <w:next w:val="1"/>
    <w:unhideWhenUsed/>
    <w:qFormat/>
    <w:uiPriority w:val="39"/>
    <w:pPr>
      <w:keepNext/>
      <w:keepLines/>
      <w:widowControl/>
      <w:spacing w:before="480" w:line="276" w:lineRule="auto"/>
      <w:outlineLvl w:val="9"/>
    </w:pPr>
    <w:rPr>
      <w:rFonts w:asciiTheme="majorHAnsi" w:hAnsiTheme="majorHAnsi" w:eastAsiaTheme="majorEastAsia" w:cstheme="majorBidi"/>
      <w:color w:val="2E75B6" w:themeColor="accent1" w:themeShade="BF"/>
      <w:sz w:val="28"/>
      <w:szCs w:val="28"/>
      <w:lang w:eastAsia="zh-CN"/>
    </w:rPr>
  </w:style>
  <w:style w:type="table" w:customStyle="1" w:styleId="38">
    <w:name w:val="Table Normal"/>
    <w:semiHidden/>
    <w:unhideWhenUsed/>
    <w:qFormat/>
    <w:uiPriority w:val="2"/>
    <w:pPr>
      <w:widowControl w:val="0"/>
    </w:pPr>
    <w:rPr>
      <w:sz w:val="22"/>
      <w:szCs w:val="22"/>
      <w:lang w:eastAsia="en-US"/>
    </w:rPr>
    <w:tblPr>
      <w:tblCellMar>
        <w:top w:w="0" w:type="dxa"/>
        <w:left w:w="0" w:type="dxa"/>
        <w:bottom w:w="0" w:type="dxa"/>
        <w:right w:w="0" w:type="dxa"/>
      </w:tblCellMar>
    </w:tblPr>
  </w:style>
  <w:style w:type="paragraph" w:styleId="39">
    <w:name w:val="List Paragraph"/>
    <w:basedOn w:val="1"/>
    <w:link w:val="40"/>
    <w:unhideWhenUsed/>
    <w:qFormat/>
    <w:uiPriority w:val="0"/>
    <w:pPr>
      <w:ind w:firstLine="420" w:firstLineChars="200"/>
    </w:pPr>
  </w:style>
  <w:style w:type="character" w:customStyle="1" w:styleId="40">
    <w:name w:val="列出段落 Char"/>
    <w:link w:val="39"/>
    <w:qFormat/>
    <w:uiPriority w:val="34"/>
    <w:rPr>
      <w:kern w:val="2"/>
      <w:sz w:val="21"/>
      <w:szCs w:val="24"/>
    </w:rPr>
  </w:style>
  <w:style w:type="character" w:customStyle="1" w:styleId="41">
    <w:name w:val="页眉 Char"/>
    <w:basedOn w:val="24"/>
    <w:link w:val="14"/>
    <w:qFormat/>
    <w:uiPriority w:val="99"/>
    <w:rPr>
      <w:kern w:val="2"/>
      <w:sz w:val="18"/>
      <w:szCs w:val="24"/>
    </w:rPr>
  </w:style>
  <w:style w:type="character" w:customStyle="1" w:styleId="42">
    <w:name w:val="正文文本缩进 Char"/>
    <w:basedOn w:val="24"/>
    <w:link w:val="11"/>
    <w:qFormat/>
    <w:uiPriority w:val="99"/>
    <w:rPr>
      <w:sz w:val="22"/>
      <w:szCs w:val="22"/>
      <w:lang w:eastAsia="en-US"/>
    </w:rPr>
  </w:style>
  <w:style w:type="character" w:customStyle="1" w:styleId="43">
    <w:name w:val="标题 Char"/>
    <w:basedOn w:val="24"/>
    <w:link w:val="19"/>
    <w:qFormat/>
    <w:uiPriority w:val="0"/>
    <w:rPr>
      <w:rFonts w:ascii="Times New Roman" w:hAnsi="Times New Roman" w:eastAsia="宋体" w:cs="Times New Roman"/>
      <w:b/>
      <w:sz w:val="28"/>
    </w:rPr>
  </w:style>
  <w:style w:type="table" w:customStyle="1" w:styleId="44">
    <w:name w:val="网格型1"/>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5">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46">
    <w:name w:val="页脚 Char"/>
    <w:basedOn w:val="24"/>
    <w:link w:val="13"/>
    <w:qFormat/>
    <w:uiPriority w:val="99"/>
    <w:rPr>
      <w:kern w:val="2"/>
      <w:sz w:val="18"/>
      <w:szCs w:val="24"/>
    </w:rPr>
  </w:style>
  <w:style w:type="paragraph" w:customStyle="1" w:styleId="47">
    <w:name w:val="章节标题"/>
    <w:basedOn w:val="1"/>
    <w:next w:val="1"/>
    <w:qFormat/>
    <w:uiPriority w:val="0"/>
    <w:pPr>
      <w:tabs>
        <w:tab w:val="left" w:pos="425"/>
      </w:tabs>
      <w:spacing w:before="60" w:after="60"/>
      <w:ind w:left="900" w:right="113" w:hanging="420"/>
      <w:jc w:val="left"/>
    </w:pPr>
    <w:rPr>
      <w:rFonts w:ascii="Arial" w:hAnsi="Arial" w:eastAsia="宋体" w:cs="Times New Roman"/>
      <w:sz w:val="24"/>
      <w:szCs w:val="20"/>
    </w:rPr>
  </w:style>
  <w:style w:type="character" w:customStyle="1" w:styleId="48">
    <w:name w:val="副标题 Char"/>
    <w:basedOn w:val="24"/>
    <w:link w:val="16"/>
    <w:qFormat/>
    <w:uiPriority w:val="0"/>
    <w:rPr>
      <w:b/>
      <w:bCs/>
      <w:kern w:val="28"/>
      <w:sz w:val="32"/>
      <w:szCs w:val="32"/>
    </w:rPr>
  </w:style>
  <w:style w:type="paragraph" w:customStyle="1" w:styleId="49">
    <w:name w:val="A　小括号"/>
    <w:basedOn w:val="50"/>
    <w:qFormat/>
    <w:uiPriority w:val="0"/>
    <w:pPr>
      <w:numPr>
        <w:ilvl w:val="0"/>
        <w:numId w:val="1"/>
      </w:numPr>
      <w:overflowPunct/>
      <w:ind w:firstLine="0" w:firstLineChars="0"/>
    </w:pPr>
  </w:style>
  <w:style w:type="paragraph" w:customStyle="1" w:styleId="50">
    <w:name w:val="１正文模板"/>
    <w:basedOn w:val="1"/>
    <w:qFormat/>
    <w:uiPriority w:val="0"/>
    <w:pPr>
      <w:widowControl/>
      <w:wordWrap w:val="0"/>
      <w:overflowPunct w:val="0"/>
      <w:adjustRightInd w:val="0"/>
      <w:spacing w:line="360" w:lineRule="auto"/>
      <w:ind w:firstLine="420" w:firstLineChars="200"/>
      <w:jc w:val="left"/>
    </w:pPr>
    <w:rPr>
      <w:rFonts w:ascii="微软雅黑 Light" w:hAnsi="微软雅黑 Light" w:eastAsia="微软雅黑 Light" w:cs="Times New Roman"/>
      <w:kern w:val="0"/>
      <w:szCs w:val="21"/>
    </w:rPr>
  </w:style>
  <w:style w:type="paragraph" w:customStyle="1" w:styleId="51">
    <w:name w:val="1级标题"/>
    <w:basedOn w:val="39"/>
    <w:qFormat/>
    <w:uiPriority w:val="0"/>
    <w:pPr>
      <w:numPr>
        <w:ilvl w:val="0"/>
        <w:numId w:val="2"/>
      </w:numPr>
      <w:spacing w:beforeLines="100" w:afterLines="50"/>
      <w:ind w:firstLineChars="0"/>
      <w:outlineLvl w:val="2"/>
    </w:pPr>
    <w:rPr>
      <w:rFonts w:ascii="微软雅黑" w:hAnsi="微软雅黑" w:eastAsia="微软雅黑"/>
      <w:kern w:val="0"/>
      <w:szCs w:val="28"/>
    </w:rPr>
  </w:style>
  <w:style w:type="paragraph" w:customStyle="1" w:styleId="52">
    <w:name w:val="4级标题"/>
    <w:basedOn w:val="53"/>
    <w:qFormat/>
    <w:uiPriority w:val="0"/>
    <w:pPr>
      <w:numPr>
        <w:ilvl w:val="2"/>
      </w:numPr>
      <w:overflowPunct w:val="0"/>
      <w:adjustRightInd w:val="0"/>
      <w:spacing w:beforeLines="0" w:after="120"/>
    </w:pPr>
    <w:rPr>
      <w:rFonts w:ascii="微软雅黑 Light" w:hAnsi="微软雅黑 Light" w:eastAsia="微软雅黑 Light"/>
    </w:rPr>
  </w:style>
  <w:style w:type="paragraph" w:customStyle="1" w:styleId="53">
    <w:name w:val="2级标题"/>
    <w:basedOn w:val="51"/>
    <w:next w:val="54"/>
    <w:qFormat/>
    <w:uiPriority w:val="0"/>
    <w:pPr>
      <w:widowControl/>
      <w:numPr>
        <w:ilvl w:val="1"/>
      </w:numPr>
      <w:wordWrap w:val="0"/>
      <w:spacing w:beforeLines="50"/>
      <w:jc w:val="left"/>
      <w:outlineLvl w:val="9"/>
    </w:pPr>
    <w:rPr>
      <w:bCs/>
    </w:rPr>
  </w:style>
  <w:style w:type="paragraph" w:customStyle="1" w:styleId="54">
    <w:name w:val="3级标题"/>
    <w:basedOn w:val="53"/>
    <w:next w:val="52"/>
    <w:qFormat/>
    <w:uiPriority w:val="0"/>
    <w:pPr>
      <w:numPr>
        <w:numId w:val="3"/>
      </w:numPr>
    </w:pPr>
    <w:rPr>
      <w:b/>
      <w:kern w:val="2"/>
      <w:szCs w:val="20"/>
    </w:rPr>
  </w:style>
  <w:style w:type="paragraph" w:customStyle="1" w:styleId="55">
    <w:name w:val="修订2"/>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56">
    <w:name w:val="Unresolved Mention"/>
    <w:basedOn w:val="24"/>
    <w:semiHidden/>
    <w:unhideWhenUsed/>
    <w:qFormat/>
    <w:uiPriority w:val="99"/>
    <w:rPr>
      <w:color w:val="605E5C"/>
      <w:shd w:val="clear" w:color="auto" w:fill="E1DFDD"/>
    </w:rPr>
  </w:style>
  <w:style w:type="character" w:customStyle="1" w:styleId="57">
    <w:name w:val="标题 9 Char"/>
    <w:basedOn w:val="24"/>
    <w:link w:val="8"/>
    <w:qFormat/>
    <w:uiPriority w:val="0"/>
    <w:rPr>
      <w:rFonts w:ascii="微软雅黑" w:hAnsi="微软雅黑" w:eastAsia="微软雅黑"/>
      <w:bCs/>
      <w:sz w:val="18"/>
      <w:szCs w:val="18"/>
    </w:rPr>
  </w:style>
  <w:style w:type="character" w:customStyle="1" w:styleId="58">
    <w:name w:val="文档结构图 Char"/>
    <w:basedOn w:val="24"/>
    <w:link w:val="9"/>
    <w:semiHidden/>
    <w:qFormat/>
    <w:uiPriority w:val="0"/>
    <w:rPr>
      <w:rFonts w:ascii="宋体" w:hAnsiTheme="minorHAnsi" w:cstheme="minorBidi"/>
      <w:kern w:val="2"/>
      <w:sz w:val="18"/>
      <w:szCs w:val="18"/>
    </w:rPr>
  </w:style>
  <w:style w:type="table" w:customStyle="1" w:styleId="59">
    <w:name w:val="Table Normal_0"/>
    <w:semiHidden/>
    <w:unhideWhenUsed/>
    <w:qFormat/>
    <w:uiPriority w:val="2"/>
    <w:tblPr>
      <w:tblCellMar>
        <w:top w:w="0" w:type="dxa"/>
        <w:left w:w="0" w:type="dxa"/>
        <w:bottom w:w="0" w:type="dxa"/>
        <w:right w:w="0" w:type="dxa"/>
      </w:tblCellMar>
    </w:tblPr>
  </w:style>
  <w:style w:type="paragraph" w:customStyle="1" w:styleId="60">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61">
    <w:name w:val="正文首行缩进 Char"/>
    <w:basedOn w:val="34"/>
    <w:link w:val="2"/>
    <w:qFormat/>
    <w:uiPriority w:val="99"/>
  </w:style>
  <w:style w:type="paragraph" w:customStyle="1" w:styleId="62">
    <w:name w:val="TOC 标题2"/>
    <w:basedOn w:val="5"/>
    <w:next w:val="1"/>
    <w:qFormat/>
    <w:uiPriority w:val="39"/>
    <w:pPr>
      <w:widowControl/>
      <w:spacing w:before="480" w:line="276" w:lineRule="auto"/>
      <w:jc w:val="left"/>
      <w:outlineLvl w:val="9"/>
    </w:pPr>
    <w:rPr>
      <w:rFonts w:ascii="Cambria" w:hAnsi="Cambria"/>
      <w:color w:val="365F91"/>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DF4D11-355A-4BB9-8BC9-91B4494F9C2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96</Pages>
  <Words>5441</Words>
  <Characters>5852</Characters>
  <Lines>372</Lines>
  <Paragraphs>104</Paragraphs>
  <TotalTime>0</TotalTime>
  <ScaleCrop>false</ScaleCrop>
  <LinksUpToDate>false</LinksUpToDate>
  <CharactersWithSpaces>5899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2026-06-08T11:07:00Z</dcterms:created>
  <dc:creator>Administrator</dc:creator>
  <cp:lastModifiedBy>张智胜</cp:lastModifiedBy>
  <cp:lastPrinted>2022-03-28T11:56:00Z</cp:lastPrinted>
  <dcterms:modified xsi:type="dcterms:W3CDTF">2026-06-22T08:43:03Z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915FD68670F848EFBAD29E19767D24F8</vt:lpwstr>
  </property>
  <property fmtid="{D5CDD505-2E9C-101B-9397-08002B2CF9AE}" pid="4" name="KSOTemplateDocerSaveRecord">
    <vt:lpwstr>eyJoZGlkIjoiZGEyNjRiOGVjNGQ4OGM0YzEzYzQ1MWZkNTM4MWNiNmEiLCJ1c2VySWQiOiI5MTYxOTI2MDgifQ==</vt:lpwstr>
  </property>
</Properties>
</file>