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highlight w:val="none"/>
        </w:rPr>
      </w:pPr>
      <w:r>
        <w:rPr>
          <w:rFonts w:hint="eastAsia"/>
          <w:sz w:val="30"/>
          <w:szCs w:val="30"/>
          <w:highlight w:val="none"/>
        </w:rPr>
        <w:t>公开</w:t>
      </w:r>
    </w:p>
    <w:p>
      <w:pPr>
        <w:rPr>
          <w:sz w:val="32"/>
          <w:szCs w:val="32"/>
          <w:highlight w:val="none"/>
        </w:rPr>
      </w:pPr>
    </w:p>
    <w:p>
      <w:pPr>
        <w:rPr>
          <w:sz w:val="32"/>
          <w:szCs w:val="32"/>
          <w:highlight w:val="none"/>
        </w:rPr>
      </w:pPr>
    </w:p>
    <w:p>
      <w:pPr>
        <w:rPr>
          <w:sz w:val="32"/>
          <w:szCs w:val="32"/>
          <w:highlight w:val="none"/>
        </w:rPr>
      </w:pPr>
    </w:p>
    <w:p>
      <w:pPr>
        <w:snapToGrid w:val="0"/>
        <w:spacing w:line="480" w:lineRule="auto"/>
        <w:jc w:val="center"/>
        <w:rPr>
          <w:rFonts w:hint="eastAsia" w:asciiTheme="majorEastAsia" w:hAnsiTheme="majorEastAsia" w:eastAsiaTheme="majorEastAsia"/>
          <w:sz w:val="32"/>
          <w:szCs w:val="32"/>
          <w:highlight w:val="none"/>
          <w:lang w:eastAsia="zh-CN"/>
        </w:rPr>
      </w:pPr>
      <w:r>
        <w:rPr>
          <w:rFonts w:hint="eastAsia" w:asciiTheme="majorEastAsia" w:hAnsiTheme="majorEastAsia" w:eastAsiaTheme="majorEastAsia"/>
          <w:sz w:val="32"/>
          <w:szCs w:val="32"/>
          <w:highlight w:val="none"/>
          <w:lang w:eastAsia="zh-CN"/>
        </w:rPr>
        <w:t xml:space="preserve"> 验证试验室数据管理平台</w:t>
      </w:r>
    </w:p>
    <w:p>
      <w:pPr>
        <w:snapToGrid w:val="0"/>
        <w:spacing w:line="480" w:lineRule="auto"/>
        <w:jc w:val="center"/>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比选邀请文件</w:t>
      </w:r>
    </w:p>
    <w:p>
      <w:pPr>
        <w:snapToGrid w:val="0"/>
        <w:spacing w:line="480" w:lineRule="auto"/>
        <w:jc w:val="center"/>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sz w:val="32"/>
          <w:szCs w:val="32"/>
          <w:highlight w:val="none"/>
        </w:rPr>
        <w:t>（比选编号：</w:t>
      </w:r>
      <w:r>
        <w:rPr>
          <w:rFonts w:hint="eastAsia" w:asciiTheme="majorEastAsia" w:hAnsiTheme="majorEastAsia" w:eastAsiaTheme="majorEastAsia"/>
          <w:sz w:val="32"/>
          <w:szCs w:val="32"/>
          <w:highlight w:val="none"/>
          <w:lang w:eastAsia="zh-CN"/>
        </w:rPr>
        <w:t>CAIC2026-JZC52260003-004</w:t>
      </w:r>
      <w:r>
        <w:rPr>
          <w:rFonts w:asciiTheme="majorEastAsia" w:hAnsiTheme="majorEastAsia" w:eastAsiaTheme="majorEastAsia"/>
          <w:color w:val="000000" w:themeColor="text1"/>
          <w:sz w:val="32"/>
          <w:szCs w:val="32"/>
          <w:highlight w:val="none"/>
          <w14:textFill>
            <w14:solidFill>
              <w14:schemeClr w14:val="tx1"/>
            </w14:solidFill>
          </w14:textFill>
        </w:rPr>
        <w:t>）</w:t>
      </w: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snapToGrid w:val="0"/>
        <w:spacing w:line="360" w:lineRule="auto"/>
        <w:jc w:val="center"/>
        <w:rPr>
          <w:rFonts w:ascii="宋体" w:hAnsi="宋体"/>
          <w:sz w:val="32"/>
          <w:szCs w:val="32"/>
          <w:highlight w:val="none"/>
        </w:rPr>
      </w:pPr>
      <w:r>
        <w:rPr>
          <w:rFonts w:hint="eastAsia" w:ascii="宋体" w:hAnsi="宋体"/>
          <w:sz w:val="32"/>
          <w:szCs w:val="32"/>
          <w:highlight w:val="none"/>
        </w:rPr>
        <w:t>成都凯天电子股份有限公司</w:t>
      </w:r>
    </w:p>
    <w:p>
      <w:pPr>
        <w:snapToGrid w:val="0"/>
        <w:spacing w:line="360" w:lineRule="auto"/>
        <w:jc w:val="center"/>
        <w:rPr>
          <w:rFonts w:hint="eastAsia" w:ascii="宋体" w:hAnsi="宋体" w:eastAsia="宋体"/>
          <w:sz w:val="32"/>
          <w:szCs w:val="32"/>
          <w:highlight w:val="none"/>
          <w:lang w:eastAsia="zh-CN"/>
        </w:rPr>
      </w:pPr>
      <w:r>
        <w:rPr>
          <w:rFonts w:hint="eastAsia" w:ascii="宋体" w:hAnsi="宋体"/>
          <w:sz w:val="32"/>
          <w:szCs w:val="32"/>
          <w:highlight w:val="none"/>
          <w:lang w:eastAsia="zh-CN"/>
        </w:rPr>
        <w:t>2026年</w:t>
      </w:r>
      <w:r>
        <w:rPr>
          <w:rFonts w:hint="eastAsia" w:ascii="宋体" w:hAnsi="宋体"/>
          <w:sz w:val="32"/>
          <w:szCs w:val="32"/>
          <w:highlight w:val="none"/>
          <w:lang w:val="en-US" w:eastAsia="zh-CN"/>
        </w:rPr>
        <w:t>4</w:t>
      </w:r>
      <w:r>
        <w:rPr>
          <w:rFonts w:hint="eastAsia" w:ascii="宋体" w:hAnsi="宋体"/>
          <w:sz w:val="32"/>
          <w:szCs w:val="32"/>
          <w:highlight w:val="none"/>
          <w:lang w:eastAsia="zh-CN"/>
        </w:rPr>
        <w:t>月</w:t>
      </w:r>
    </w:p>
    <w:p>
      <w:pPr>
        <w:snapToGrid w:val="0"/>
        <w:spacing w:line="360" w:lineRule="auto"/>
        <w:jc w:val="center"/>
        <w:rPr>
          <w:rFonts w:ascii="宋体" w:hAnsi="宋体"/>
          <w:sz w:val="32"/>
          <w:szCs w:val="32"/>
          <w:highlight w:val="none"/>
        </w:rPr>
      </w:pPr>
    </w:p>
    <w:p>
      <w:pPr>
        <w:snapToGrid w:val="0"/>
        <w:spacing w:before="624" w:beforeLines="200"/>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目录</w:t>
      </w:r>
    </w:p>
    <w:p>
      <w:pPr>
        <w:ind w:firstLine="562" w:firstLine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第一章　比选邀请</w:t>
      </w:r>
    </w:p>
    <w:p>
      <w:pPr>
        <w:spacing w:after="156" w:afterLines="50" w:line="360" w:lineRule="exact"/>
        <w:ind w:firstLine="562" w:firstLineChars="200"/>
        <w:rPr>
          <w:rFonts w:asciiTheme="minorEastAsia" w:hAnsiTheme="minorEastAsia" w:eastAsiaTheme="minorEastAsia"/>
          <w:sz w:val="28"/>
          <w:szCs w:val="28"/>
          <w:highlight w:val="none"/>
        </w:rPr>
      </w:pPr>
      <w:r>
        <w:rPr>
          <w:rFonts w:hint="eastAsia" w:asciiTheme="minorEastAsia" w:hAnsiTheme="minorEastAsia" w:eastAsiaTheme="minorEastAsia"/>
          <w:b/>
          <w:sz w:val="28"/>
          <w:szCs w:val="28"/>
          <w:highlight w:val="none"/>
        </w:rPr>
        <w:t>第二章　比选申请人须知</w:t>
      </w:r>
    </w:p>
    <w:p>
      <w:pPr>
        <w:spacing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一、比选申请人</w:t>
      </w:r>
    </w:p>
    <w:p>
      <w:pPr>
        <w:spacing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二、比选申请人资质文件</w:t>
      </w:r>
    </w:p>
    <w:p>
      <w:pPr>
        <w:spacing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三、比选文件的编制</w:t>
      </w:r>
    </w:p>
    <w:p>
      <w:pPr>
        <w:spacing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四、比选文件的审查、评议</w:t>
      </w:r>
    </w:p>
    <w:p>
      <w:pPr>
        <w:spacing w:after="156" w:afterLines="50"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五、授予合同</w:t>
      </w:r>
    </w:p>
    <w:p>
      <w:pPr>
        <w:spacing w:after="156" w:afterLines="50" w:line="360" w:lineRule="exact"/>
        <w:ind w:firstLine="540" w:firstLineChars="192"/>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第三章　货物需求及技术规格一览表</w:t>
      </w:r>
    </w:p>
    <w:p>
      <w:pPr>
        <w:spacing w:after="156" w:afterLines="50" w:line="460" w:lineRule="exact"/>
        <w:ind w:firstLine="551" w:firstLineChars="196"/>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第四章　商务条款</w:t>
      </w:r>
    </w:p>
    <w:p>
      <w:pPr>
        <w:spacing w:after="156" w:afterLines="50" w:line="460" w:lineRule="exact"/>
        <w:ind w:firstLine="562" w:firstLineChars="200"/>
        <w:rPr>
          <w:rFonts w:asciiTheme="minorEastAsia" w:hAnsiTheme="minorEastAsia" w:eastAsiaTheme="minorEastAsia"/>
          <w:sz w:val="28"/>
          <w:szCs w:val="28"/>
          <w:highlight w:val="none"/>
        </w:rPr>
      </w:pPr>
      <w:r>
        <w:rPr>
          <w:rFonts w:hint="eastAsia" w:asciiTheme="minorEastAsia" w:hAnsiTheme="minorEastAsia" w:eastAsiaTheme="minorEastAsia"/>
          <w:b/>
          <w:sz w:val="28"/>
          <w:szCs w:val="28"/>
          <w:highlight w:val="none"/>
        </w:rPr>
        <w:t>第五章　合同格式</w:t>
      </w:r>
    </w:p>
    <w:p>
      <w:pPr>
        <w:spacing w:after="156" w:afterLines="50" w:line="460" w:lineRule="exact"/>
        <w:ind w:firstLine="562" w:firstLineChars="200"/>
        <w:rPr>
          <w:rFonts w:asciiTheme="minorEastAsia" w:hAnsiTheme="minorEastAsia" w:eastAsiaTheme="minorEastAsia"/>
          <w:sz w:val="28"/>
          <w:szCs w:val="28"/>
          <w:highlight w:val="none"/>
        </w:rPr>
      </w:pPr>
      <w:r>
        <w:rPr>
          <w:rFonts w:hint="eastAsia" w:asciiTheme="minorEastAsia" w:hAnsiTheme="minorEastAsia" w:eastAsiaTheme="minorEastAsia"/>
          <w:b/>
          <w:sz w:val="28"/>
          <w:szCs w:val="28"/>
          <w:highlight w:val="none"/>
        </w:rPr>
        <w:t>第六章　附件</w:t>
      </w: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ind w:firstLine="700" w:firstLineChars="250"/>
        <w:rPr>
          <w:rFonts w:asciiTheme="minorEastAsia" w:hAnsiTheme="minorEastAsia" w:eastAsiaTheme="minorEastAsia"/>
          <w:sz w:val="28"/>
          <w:szCs w:val="28"/>
          <w:highlight w:val="none"/>
        </w:rPr>
      </w:pPr>
    </w:p>
    <w:p>
      <w:pPr>
        <w:spacing w:line="460" w:lineRule="exact"/>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 xml:space="preserve">     </w:t>
      </w:r>
    </w:p>
    <w:p>
      <w:pPr>
        <w:widowControl/>
        <w:jc w:val="left"/>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br w:type="page"/>
      </w:r>
    </w:p>
    <w:p>
      <w:pPr>
        <w:pStyle w:val="49"/>
        <w:numPr>
          <w:ilvl w:val="0"/>
          <w:numId w:val="4"/>
        </w:numPr>
        <w:spacing w:before="312" w:beforeLines="100" w:after="312" w:afterLines="100" w:line="360" w:lineRule="exact"/>
        <w:ind w:left="1183" w:hanging="1183" w:hangingChars="421"/>
        <w:jc w:val="center"/>
        <w:outlineLvl w:val="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比选邀请</w:t>
      </w:r>
    </w:p>
    <w:p>
      <w:pPr>
        <w:spacing w:line="400" w:lineRule="exact"/>
        <w:ind w:firstLine="420" w:firstLineChars="200"/>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成都凯天电子股份有限公司邀请国内合格的比选申请人就本公司</w:t>
      </w:r>
      <w:r>
        <w:rPr>
          <w:rFonts w:hint="eastAsia"/>
          <w:highlight w:val="none"/>
        </w:rPr>
        <w:t>“</w:t>
      </w:r>
      <w:r>
        <w:rPr>
          <w:rFonts w:hint="eastAsia" w:asciiTheme="minorEastAsia" w:hAnsiTheme="minorEastAsia" w:eastAsiaTheme="minorEastAsia"/>
          <w:szCs w:val="21"/>
          <w:highlight w:val="none"/>
          <w:lang w:eastAsia="zh-CN"/>
        </w:rPr>
        <w:t>验证试验室数据管理平台</w:t>
      </w:r>
      <w:r>
        <w:rPr>
          <w:rFonts w:hint="eastAsia"/>
          <w:highlight w:val="none"/>
        </w:rPr>
        <w:t>”</w:t>
      </w:r>
      <w:r>
        <w:rPr>
          <w:rFonts w:hint="eastAsia" w:asciiTheme="minorEastAsia" w:hAnsiTheme="minorEastAsia" w:eastAsiaTheme="minorEastAsia"/>
          <w:szCs w:val="21"/>
          <w:highlight w:val="none"/>
        </w:rPr>
        <w:t>项目</w:t>
      </w:r>
      <w:r>
        <w:rPr>
          <w:rFonts w:hint="eastAsia" w:asciiTheme="minorEastAsia" w:hAnsiTheme="minorEastAsia" w:eastAsiaTheme="minorEastAsia"/>
          <w:kern w:val="0"/>
          <w:szCs w:val="21"/>
          <w:highlight w:val="none"/>
        </w:rPr>
        <w:t>货物</w:t>
      </w:r>
      <w:r>
        <w:rPr>
          <w:rFonts w:hint="eastAsia" w:asciiTheme="minorEastAsia" w:hAnsiTheme="minorEastAsia" w:eastAsiaTheme="minorEastAsia"/>
          <w:szCs w:val="21"/>
          <w:highlight w:val="none"/>
        </w:rPr>
        <w:t>及服务进行国内比选。特邀请具有此项供应能力的厂商提交密封比选</w:t>
      </w:r>
      <w:r>
        <w:rPr>
          <w:rFonts w:hint="eastAsia" w:asciiTheme="minorEastAsia" w:hAnsiTheme="minorEastAsia" w:eastAsiaTheme="minorEastAsia"/>
          <w:szCs w:val="21"/>
          <w:highlight w:val="none"/>
          <w:lang w:eastAsia="zh-CN"/>
        </w:rPr>
        <w:t>文件</w:t>
      </w:r>
      <w:r>
        <w:rPr>
          <w:rFonts w:hint="eastAsia" w:asciiTheme="minorEastAsia" w:hAnsiTheme="minorEastAsia" w:eastAsiaTheme="minorEastAsia"/>
          <w:szCs w:val="21"/>
          <w:highlight w:val="none"/>
        </w:rPr>
        <w:t>。</w:t>
      </w:r>
    </w:p>
    <w:p>
      <w:pPr>
        <w:spacing w:line="400" w:lineRule="exact"/>
        <w:ind w:firstLine="420" w:firstLineChars="200"/>
        <w:outlineLvl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1.比选编号</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Cs w:val="21"/>
          <w:highlight w:val="none"/>
          <w:lang w:eastAsia="zh-CN"/>
        </w:rPr>
        <w:t>CAIC2026-JZC52260003-004</w:t>
      </w:r>
    </w:p>
    <w:p>
      <w:pPr>
        <w:spacing w:line="400" w:lineRule="exact"/>
        <w:ind w:firstLine="420" w:firstLineChars="200"/>
        <w:outlineLvl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2.比选内容：</w:t>
      </w:r>
      <w:r>
        <w:rPr>
          <w:rFonts w:hint="eastAsia" w:asciiTheme="minorEastAsia" w:hAnsiTheme="minorEastAsia" w:eastAsiaTheme="minorEastAsia"/>
          <w:szCs w:val="21"/>
          <w:highlight w:val="none"/>
          <w:lang w:eastAsia="zh-CN"/>
        </w:rPr>
        <w:t xml:space="preserve"> 验证试验室数据管理平台</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3.比选邀请文件发出时间、地点：有意向的合格比选申请人</w:t>
      </w:r>
      <w:r>
        <w:rPr>
          <w:rFonts w:hint="eastAsia" w:asciiTheme="minorEastAsia" w:hAnsiTheme="minorEastAsia" w:eastAsiaTheme="minorEastAsia"/>
          <w:szCs w:val="21"/>
          <w:highlight w:val="none"/>
          <w:lang w:eastAsia="zh-CN"/>
        </w:rPr>
        <w:t>2026年</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eastAsia="zh-CN"/>
        </w:rPr>
        <w:t>月</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rPr>
        <w:t>日，从成都凯天电子股份有限公司获取电子版比选邀请文件。</w:t>
      </w:r>
    </w:p>
    <w:p>
      <w:pPr>
        <w:spacing w:line="400" w:lineRule="exact"/>
        <w:ind w:left="630" w:leftChars="200" w:hanging="210" w:hanging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4.比选邀请文件售价：免费</w:t>
      </w:r>
    </w:p>
    <w:p>
      <w:pPr>
        <w:spacing w:line="400" w:lineRule="exact"/>
        <w:ind w:left="540" w:leftChars="200" w:hanging="1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cs="宋体" w:asciiTheme="minorEastAsia" w:hAnsiTheme="minorEastAsia" w:eastAsiaTheme="minorEastAsia"/>
          <w:kern w:val="0"/>
          <w:szCs w:val="21"/>
          <w:highlight w:val="none"/>
        </w:rPr>
        <w:t>比选</w:t>
      </w:r>
      <w:r>
        <w:rPr>
          <w:rFonts w:hint="eastAsia" w:cs="宋体" w:asciiTheme="minorEastAsia" w:hAnsiTheme="minorEastAsia" w:eastAsiaTheme="minorEastAsia"/>
          <w:kern w:val="0"/>
          <w:szCs w:val="21"/>
          <w:highlight w:val="none"/>
        </w:rPr>
        <w:t>投标</w:t>
      </w:r>
      <w:r>
        <w:rPr>
          <w:rFonts w:cs="宋体" w:asciiTheme="minorEastAsia" w:hAnsiTheme="minorEastAsia" w:eastAsiaTheme="minorEastAsia"/>
          <w:kern w:val="0"/>
          <w:szCs w:val="21"/>
          <w:highlight w:val="none"/>
        </w:rPr>
        <w:t>截</w:t>
      </w:r>
      <w:r>
        <w:rPr>
          <w:rFonts w:hint="eastAsia" w:cs="宋体" w:asciiTheme="minorEastAsia" w:hAnsiTheme="minorEastAsia" w:eastAsiaTheme="minorEastAsia"/>
          <w:kern w:val="0"/>
          <w:szCs w:val="21"/>
          <w:highlight w:val="none"/>
        </w:rPr>
        <w:t>止</w:t>
      </w:r>
      <w:r>
        <w:rPr>
          <w:rFonts w:cs="宋体" w:asciiTheme="minorEastAsia" w:hAnsiTheme="minorEastAsia" w:eastAsiaTheme="minorEastAsia"/>
          <w:kern w:val="0"/>
          <w:szCs w:val="21"/>
          <w:highlight w:val="none"/>
        </w:rPr>
        <w:t>时间：</w:t>
      </w:r>
      <w:r>
        <w:rPr>
          <w:rFonts w:hint="eastAsia" w:cs="宋体" w:asciiTheme="minorEastAsia" w:hAnsiTheme="minorEastAsia" w:eastAsiaTheme="minorEastAsia"/>
          <w:b/>
          <w:kern w:val="0"/>
          <w:szCs w:val="21"/>
          <w:highlight w:val="none"/>
          <w:lang w:eastAsia="zh-CN"/>
        </w:rPr>
        <w:t>2026年</w:t>
      </w:r>
      <w:r>
        <w:rPr>
          <w:rFonts w:hint="eastAsia" w:cs="宋体" w:asciiTheme="minorEastAsia" w:hAnsiTheme="minorEastAsia" w:eastAsiaTheme="minorEastAsia"/>
          <w:b/>
          <w:kern w:val="0"/>
          <w:szCs w:val="21"/>
          <w:highlight w:val="none"/>
          <w:lang w:val="en-US" w:eastAsia="zh-CN"/>
        </w:rPr>
        <w:t>4</w:t>
      </w:r>
      <w:r>
        <w:rPr>
          <w:rFonts w:hint="eastAsia" w:cs="宋体" w:asciiTheme="minorEastAsia" w:hAnsiTheme="minorEastAsia" w:eastAsiaTheme="minorEastAsia"/>
          <w:b/>
          <w:kern w:val="0"/>
          <w:szCs w:val="21"/>
          <w:highlight w:val="none"/>
          <w:lang w:eastAsia="zh-CN"/>
        </w:rPr>
        <w:t>月</w:t>
      </w:r>
      <w:r>
        <w:rPr>
          <w:rFonts w:hint="eastAsia" w:cs="宋体" w:asciiTheme="minorEastAsia" w:hAnsiTheme="minorEastAsia" w:eastAsiaTheme="minorEastAsia"/>
          <w:b/>
          <w:kern w:val="0"/>
          <w:szCs w:val="21"/>
          <w:highlight w:val="none"/>
          <w:lang w:val="en-US" w:eastAsia="zh-CN"/>
        </w:rPr>
        <w:t>23</w:t>
      </w:r>
      <w:r>
        <w:rPr>
          <w:rFonts w:hint="eastAsia" w:cs="宋体" w:asciiTheme="minorEastAsia" w:hAnsiTheme="minorEastAsia" w:eastAsiaTheme="minorEastAsia"/>
          <w:b/>
          <w:kern w:val="0"/>
          <w:szCs w:val="21"/>
          <w:highlight w:val="none"/>
        </w:rPr>
        <w:t>日12</w:t>
      </w:r>
      <w:r>
        <w:rPr>
          <w:rFonts w:cs="宋体" w:asciiTheme="minorEastAsia" w:hAnsiTheme="minorEastAsia" w:eastAsiaTheme="minorEastAsia"/>
          <w:b/>
          <w:kern w:val="0"/>
          <w:szCs w:val="21"/>
          <w:highlight w:val="none"/>
        </w:rPr>
        <w:t>时</w:t>
      </w:r>
      <w:r>
        <w:rPr>
          <w:rFonts w:hint="eastAsia" w:cs="宋体" w:asciiTheme="minorEastAsia" w:hAnsiTheme="minorEastAsia" w:eastAsiaTheme="minorEastAsia"/>
          <w:kern w:val="0"/>
          <w:szCs w:val="21"/>
          <w:highlight w:val="none"/>
        </w:rPr>
        <w:t>（纸质</w:t>
      </w:r>
      <w:r>
        <w:rPr>
          <w:rFonts w:hint="eastAsia" w:asciiTheme="minorEastAsia" w:hAnsiTheme="minorEastAsia" w:eastAsiaTheme="minorEastAsia"/>
          <w:szCs w:val="21"/>
          <w:highlight w:val="none"/>
        </w:rPr>
        <w:t>比选文件）</w:t>
      </w:r>
    </w:p>
    <w:p>
      <w:pPr>
        <w:spacing w:line="400" w:lineRule="exact"/>
        <w:ind w:left="540" w:leftChars="200" w:hanging="1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hint="eastAsia" w:cs="ArialNarrow" w:asciiTheme="minorEastAsia" w:hAnsiTheme="minorEastAsia" w:eastAsiaTheme="minorEastAsia"/>
          <w:kern w:val="0"/>
          <w:szCs w:val="21"/>
          <w:highlight w:val="none"/>
        </w:rPr>
        <w:t>开选时间：</w:t>
      </w:r>
      <w:r>
        <w:rPr>
          <w:rFonts w:hint="eastAsia" w:cs="ArialNarrow" w:asciiTheme="minorEastAsia" w:hAnsiTheme="minorEastAsia" w:eastAsiaTheme="minorEastAsia"/>
          <w:b/>
          <w:kern w:val="0"/>
          <w:szCs w:val="21"/>
          <w:highlight w:val="none"/>
          <w:lang w:eastAsia="zh-CN"/>
        </w:rPr>
        <w:t>2026年</w:t>
      </w:r>
      <w:r>
        <w:rPr>
          <w:rFonts w:hint="eastAsia" w:cs="ArialNarrow" w:asciiTheme="minorEastAsia" w:hAnsiTheme="minorEastAsia" w:eastAsiaTheme="minorEastAsia"/>
          <w:b/>
          <w:kern w:val="0"/>
          <w:szCs w:val="21"/>
          <w:highlight w:val="none"/>
          <w:lang w:val="en-US" w:eastAsia="zh-CN"/>
        </w:rPr>
        <w:t>4</w:t>
      </w:r>
      <w:r>
        <w:rPr>
          <w:rFonts w:hint="eastAsia" w:cs="ArialNarrow" w:asciiTheme="minorEastAsia" w:hAnsiTheme="minorEastAsia" w:eastAsiaTheme="minorEastAsia"/>
          <w:b/>
          <w:kern w:val="0"/>
          <w:szCs w:val="21"/>
          <w:highlight w:val="none"/>
          <w:lang w:eastAsia="zh-CN"/>
        </w:rPr>
        <w:t>月</w:t>
      </w:r>
      <w:r>
        <w:rPr>
          <w:rFonts w:hint="eastAsia" w:cs="ArialNarrow" w:asciiTheme="minorEastAsia" w:hAnsiTheme="minorEastAsia" w:eastAsiaTheme="minorEastAsia"/>
          <w:kern w:val="0"/>
          <w:szCs w:val="21"/>
          <w:highlight w:val="none"/>
        </w:rPr>
        <w:t>（具体时间待定）</w:t>
      </w:r>
    </w:p>
    <w:p>
      <w:pPr>
        <w:spacing w:line="400" w:lineRule="exact"/>
        <w:ind w:left="630" w:leftChars="200" w:hanging="210" w:hangingChars="100"/>
        <w:rPr>
          <w:rFonts w:cs="宋体"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7.开选地点：</w:t>
      </w:r>
      <w:r>
        <w:rPr>
          <w:rFonts w:hint="eastAsia" w:asciiTheme="minorEastAsia" w:hAnsiTheme="minorEastAsia" w:eastAsiaTheme="minorEastAsia"/>
          <w:szCs w:val="21"/>
          <w:highlight w:val="none"/>
        </w:rPr>
        <w:t>成都</w:t>
      </w:r>
      <w:r>
        <w:rPr>
          <w:rFonts w:hint="eastAsia" w:cs="宋体" w:asciiTheme="minorEastAsia" w:hAnsiTheme="minorEastAsia" w:eastAsiaTheme="minorEastAsia"/>
          <w:kern w:val="0"/>
          <w:szCs w:val="21"/>
          <w:highlight w:val="none"/>
        </w:rPr>
        <w:t>凯天电子股份有限公司</w:t>
      </w:r>
    </w:p>
    <w:p>
      <w:pPr>
        <w:spacing w:line="400" w:lineRule="exact"/>
        <w:ind w:left="630" w:leftChars="200" w:hanging="210" w:hangingChars="1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8.开选时间、地点说明：比选邀请人可根据实际情况临时变更开选时间、地点，比选申请人不需参加开选事宜。</w:t>
      </w:r>
    </w:p>
    <w:p>
      <w:pPr>
        <w:spacing w:after="312" w:afterLines="100" w:line="400" w:lineRule="exact"/>
        <w:ind w:left="630" w:leftChars="200" w:hanging="210" w:hangingChars="100"/>
        <w:rPr>
          <w:rFonts w:cs="宋体"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9.</w:t>
      </w:r>
      <w:r>
        <w:rPr>
          <w:rFonts w:hint="eastAsia" w:cs="宋体" w:asciiTheme="minorEastAsia" w:hAnsiTheme="minorEastAsia" w:eastAsiaTheme="minorEastAsia"/>
          <w:kern w:val="0"/>
          <w:szCs w:val="21"/>
          <w:highlight w:val="none"/>
        </w:rPr>
        <w:t>比选组织单位：</w:t>
      </w:r>
      <w:r>
        <w:rPr>
          <w:rFonts w:hint="eastAsia" w:asciiTheme="minorEastAsia" w:hAnsiTheme="minorEastAsia" w:eastAsiaTheme="minorEastAsia"/>
          <w:szCs w:val="21"/>
          <w:highlight w:val="none"/>
        </w:rPr>
        <w:t>成都</w:t>
      </w:r>
      <w:r>
        <w:rPr>
          <w:rFonts w:hint="eastAsia" w:cs="宋体" w:asciiTheme="minorEastAsia" w:hAnsiTheme="minorEastAsia" w:eastAsiaTheme="minorEastAsia"/>
          <w:kern w:val="0"/>
          <w:szCs w:val="21"/>
          <w:highlight w:val="none"/>
        </w:rPr>
        <w:t>凯天电子股份有限公司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联 系 人：宋国娟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    话：028-87409996，19113980026</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bCs/>
          <w:szCs w:val="21"/>
          <w:highlight w:val="none"/>
        </w:rPr>
        <w:t>c</w:t>
      </w:r>
      <w:r>
        <w:rPr>
          <w:rFonts w:asciiTheme="minorEastAsia" w:hAnsiTheme="minorEastAsia" w:eastAsiaTheme="minorEastAsia"/>
          <w:szCs w:val="21"/>
          <w:highlight w:val="none"/>
        </w:rPr>
        <w:t>aic161@avic.com</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通信地址：成都市青羊区黄田坝成都凯天电子股份有限公司</w:t>
      </w:r>
    </w:p>
    <w:p>
      <w:pPr>
        <w:keepNext w:val="0"/>
        <w:keepLines w:val="0"/>
        <w:pageBreakBefore w:val="0"/>
        <w:widowControl w:val="0"/>
        <w:tabs>
          <w:tab w:val="center" w:pos="5380"/>
        </w:tabs>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编：610091</w:t>
      </w:r>
    </w:p>
    <w:p>
      <w:pPr>
        <w:keepNext w:val="0"/>
        <w:keepLines w:val="0"/>
        <w:pageBreakBefore w:val="0"/>
        <w:widowControl w:val="0"/>
        <w:tabs>
          <w:tab w:val="center" w:pos="5380"/>
        </w:tabs>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传    真：028-87409158</w:t>
      </w:r>
    </w:p>
    <w:p>
      <w:pPr>
        <w:pStyle w:val="49"/>
        <w:numPr>
          <w:ilvl w:val="0"/>
          <w:numId w:val="4"/>
        </w:numPr>
        <w:spacing w:before="312" w:beforeLines="100" w:after="312" w:afterLines="100" w:line="360" w:lineRule="exact"/>
        <w:ind w:left="1183" w:hanging="1183" w:hangingChars="421"/>
        <w:jc w:val="center"/>
        <w:outlineLvl w:val="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比选申请人须知</w:t>
      </w:r>
    </w:p>
    <w:p>
      <w:pPr>
        <w:numPr>
          <w:ilvl w:val="0"/>
          <w:numId w:val="5"/>
        </w:numPr>
        <w:tabs>
          <w:tab w:val="left" w:pos="540"/>
        </w:tabs>
        <w:spacing w:before="156" w:beforeLines="50" w:after="156" w:afterLines="50" w:line="44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比选申请人</w:t>
      </w:r>
    </w:p>
    <w:p>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asciiTheme="minorEastAsia" w:hAnsiTheme="minorEastAsia" w:eastAsiaTheme="minorEastAsia"/>
          <w:highlight w:val="none"/>
        </w:rPr>
        <w:t>1</w:t>
      </w:r>
      <w:r>
        <w:rPr>
          <w:rFonts w:hint="eastAsia" w:cs="ArialNarrow" w:asciiTheme="minorEastAsia" w:hAnsiTheme="minorEastAsia" w:eastAsiaTheme="minorEastAsia"/>
          <w:kern w:val="0"/>
          <w:szCs w:val="21"/>
          <w:highlight w:val="none"/>
        </w:rPr>
        <w:t>.凡具有</w:t>
      </w:r>
      <w:r>
        <w:rPr>
          <w:rFonts w:hint="eastAsia" w:cs="仿宋_GB2312" w:asciiTheme="minorEastAsia" w:hAnsiTheme="minorEastAsia" w:eastAsiaTheme="minorEastAsia"/>
          <w:kern w:val="0"/>
          <w:szCs w:val="21"/>
          <w:highlight w:val="none"/>
        </w:rPr>
        <w:t>独立的法人资格，有生产或供应能力的国内企事业单位均可参加比选。</w:t>
      </w:r>
    </w:p>
    <w:p>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2.比选申请人应遵守国家有关法律、法规和条例。</w:t>
      </w:r>
    </w:p>
    <w:p>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3.</w:t>
      </w:r>
      <w:r>
        <w:rPr>
          <w:rFonts w:hint="eastAsia" w:cs="仿宋_GB2312" w:asciiTheme="minorEastAsia" w:hAnsiTheme="minorEastAsia" w:eastAsiaTheme="minorEastAsia"/>
          <w:kern w:val="0"/>
          <w:szCs w:val="21"/>
          <w:highlight w:val="none"/>
        </w:rPr>
        <w:t>比选费用：无论比选过程和结果如何，比选申请人编制比选文件、技术交流等一切相关费用均由比选申请人承担。</w:t>
      </w:r>
    </w:p>
    <w:p>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4.</w:t>
      </w:r>
      <w:r>
        <w:rPr>
          <w:rFonts w:hint="eastAsia" w:cs="仿宋_GB2312" w:asciiTheme="minorEastAsia" w:hAnsiTheme="minorEastAsia" w:eastAsiaTheme="minorEastAsia"/>
          <w:kern w:val="0"/>
          <w:szCs w:val="21"/>
          <w:highlight w:val="none"/>
        </w:rPr>
        <w:t>比选申请人须对比选邀请单位就其提交的比选文件资料等严加保密，不得向其他比选申请人或个人泄露。</w:t>
      </w:r>
    </w:p>
    <w:p>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5</w:t>
      </w:r>
      <w:r>
        <w:rPr>
          <w:rFonts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比选申请人若对比选邀请文件有疑问，可于比选投标截止日前5天以书面传真方式询问比选邀请人，由比选邀请人负责进行解释。</w:t>
      </w:r>
    </w:p>
    <w:p>
      <w:pPr>
        <w:autoSpaceDE w:val="0"/>
        <w:autoSpaceDN w:val="0"/>
        <w:adjustRightInd w:val="0"/>
        <w:spacing w:line="400" w:lineRule="exact"/>
        <w:ind w:firstLine="420" w:firstLineChars="200"/>
        <w:jc w:val="center"/>
        <w:rPr>
          <w:rFonts w:cs="仿宋_GB2312" w:asciiTheme="minorEastAsia" w:hAnsiTheme="minorEastAsia" w:eastAsiaTheme="minorEastAsia"/>
          <w:kern w:val="0"/>
          <w:szCs w:val="21"/>
          <w:highlight w:val="none"/>
        </w:rPr>
      </w:pPr>
    </w:p>
    <w:p>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6</w:t>
      </w:r>
      <w:r>
        <w:rPr>
          <w:rFonts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在比选投标截止时间前，比选邀请人可对比选邀请文件以补充文件的方式进行修改，并以书面或传真方式通知已获取比选邀请文件的每一个比选申请人。补充文件将作为比选邀请文件的组成部分，对所有比选申请人有约束力。为使比选申请人有足够的时间按比选邀请文件的修改要求考虑修改比选文件，比选邀请人可酌情推迟比选投标截止日期，并将此变更通知上述每一比选申请人。</w:t>
      </w:r>
    </w:p>
    <w:p>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7.超过</w:t>
      </w:r>
      <w:r>
        <w:rPr>
          <w:rFonts w:cs="宋体" w:asciiTheme="minorEastAsia" w:hAnsiTheme="minorEastAsia" w:eastAsiaTheme="minorEastAsia"/>
          <w:kern w:val="0"/>
          <w:szCs w:val="21"/>
          <w:highlight w:val="none"/>
        </w:rPr>
        <w:t>比选</w:t>
      </w:r>
      <w:r>
        <w:rPr>
          <w:rFonts w:hint="eastAsia" w:cs="宋体" w:asciiTheme="minorEastAsia" w:hAnsiTheme="minorEastAsia" w:eastAsiaTheme="minorEastAsia"/>
          <w:kern w:val="0"/>
          <w:szCs w:val="21"/>
          <w:highlight w:val="none"/>
        </w:rPr>
        <w:t>投标</w:t>
      </w:r>
      <w:r>
        <w:rPr>
          <w:rFonts w:cs="宋体" w:asciiTheme="minorEastAsia" w:hAnsiTheme="minorEastAsia" w:eastAsiaTheme="minorEastAsia"/>
          <w:kern w:val="0"/>
          <w:szCs w:val="21"/>
          <w:highlight w:val="none"/>
        </w:rPr>
        <w:t>截止时间</w:t>
      </w:r>
      <w:r>
        <w:rPr>
          <w:rFonts w:hint="eastAsia" w:cs="宋体" w:asciiTheme="minorEastAsia" w:hAnsiTheme="minorEastAsia" w:eastAsiaTheme="minorEastAsia"/>
          <w:kern w:val="0"/>
          <w:szCs w:val="21"/>
          <w:highlight w:val="none"/>
        </w:rPr>
        <w:t>提交比选文件，比选邀请人有权拒收比选文件，视为比选申请人自动放弃比选。</w:t>
      </w:r>
    </w:p>
    <w:p>
      <w:pPr>
        <w:autoSpaceDE w:val="0"/>
        <w:autoSpaceDN w:val="0"/>
        <w:adjustRightInd w:val="0"/>
        <w:spacing w:line="400" w:lineRule="exact"/>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比选申请人获得了比选邀请文件而不参加比选，请在开标前2日以书面形式通知比选邀请人。若该项目因不足三家而导致重新比选，未予书面通知的单位将被取消重新参加该项目的资格，比选邀请人将把该比选申请人纳入不诚信的单位记录在案，以后</w:t>
      </w:r>
      <w:r>
        <w:rPr>
          <w:rFonts w:hint="eastAsia" w:asciiTheme="minorEastAsia" w:hAnsiTheme="minorEastAsia" w:eastAsiaTheme="minorEastAsia"/>
          <w:szCs w:val="21"/>
          <w:highlight w:val="none"/>
          <w:lang w:eastAsia="zh-CN"/>
        </w:rPr>
        <w:t>一年内</w:t>
      </w:r>
      <w:r>
        <w:rPr>
          <w:rFonts w:hint="eastAsia" w:asciiTheme="minorEastAsia" w:hAnsiTheme="minorEastAsia" w:eastAsiaTheme="minorEastAsia"/>
          <w:szCs w:val="21"/>
          <w:highlight w:val="none"/>
        </w:rPr>
        <w:t>比选邀请人其它比选事宜都将取消该单位资格。</w:t>
      </w:r>
    </w:p>
    <w:p>
      <w:pPr>
        <w:numPr>
          <w:ilvl w:val="0"/>
          <w:numId w:val="5"/>
        </w:numPr>
        <w:tabs>
          <w:tab w:val="left" w:pos="540"/>
        </w:tabs>
        <w:spacing w:before="156" w:beforeLines="50" w:after="156" w:afterLines="50" w:line="36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比选申请人资质文件</w:t>
      </w:r>
    </w:p>
    <w:p>
      <w:pPr>
        <w:pStyle w:val="49"/>
        <w:numPr>
          <w:ilvl w:val="0"/>
          <w:numId w:val="6"/>
        </w:numPr>
        <w:autoSpaceDE w:val="0"/>
        <w:autoSpaceDN w:val="0"/>
        <w:spacing w:line="400" w:lineRule="exact"/>
        <w:ind w:firstLineChars="0"/>
        <w:textAlignment w:val="auto"/>
        <w:rPr>
          <w:rFonts w:cs="仿宋_GB2312" w:asciiTheme="minorEastAsia" w:hAnsiTheme="minorEastAsia" w:eastAsiaTheme="minorEastAsia"/>
          <w:sz w:val="21"/>
          <w:szCs w:val="21"/>
          <w:highlight w:val="none"/>
        </w:rPr>
      </w:pPr>
      <w:r>
        <w:rPr>
          <w:rFonts w:hint="eastAsia" w:cs="仿宋_GB2312" w:asciiTheme="minorEastAsia" w:hAnsiTheme="minorEastAsia" w:eastAsiaTheme="minorEastAsia"/>
          <w:sz w:val="21"/>
          <w:szCs w:val="21"/>
          <w:highlight w:val="none"/>
        </w:rPr>
        <w:t>比选申请人有效的营业执照(或具有同等法律效力的证明文件）。</w:t>
      </w:r>
    </w:p>
    <w:p>
      <w:pPr>
        <w:pStyle w:val="49"/>
        <w:numPr>
          <w:ilvl w:val="0"/>
          <w:numId w:val="6"/>
        </w:numPr>
        <w:autoSpaceDE w:val="0"/>
        <w:autoSpaceDN w:val="0"/>
        <w:spacing w:line="400" w:lineRule="exact"/>
        <w:ind w:firstLineChars="0"/>
        <w:textAlignment w:val="auto"/>
        <w:rPr>
          <w:rFonts w:cs="仿宋_GB2312" w:asciiTheme="minorEastAsia" w:hAnsiTheme="minorEastAsia" w:eastAsiaTheme="minorEastAsia"/>
          <w:sz w:val="21"/>
          <w:szCs w:val="21"/>
          <w:highlight w:val="none"/>
        </w:rPr>
      </w:pPr>
      <w:r>
        <w:rPr>
          <w:rFonts w:hint="eastAsia" w:cs="仿宋_GB2312" w:asciiTheme="minorEastAsia" w:hAnsiTheme="minorEastAsia" w:eastAsiaTheme="minorEastAsia"/>
          <w:sz w:val="21"/>
          <w:szCs w:val="21"/>
          <w:highlight w:val="none"/>
        </w:rPr>
        <w:t>如比选申请人是代理商，需提供制造商颁发的销售授权证书。</w:t>
      </w:r>
    </w:p>
    <w:p>
      <w:pPr>
        <w:pStyle w:val="49"/>
        <w:numPr>
          <w:ilvl w:val="0"/>
          <w:numId w:val="6"/>
        </w:numPr>
        <w:autoSpaceDE w:val="0"/>
        <w:autoSpaceDN w:val="0"/>
        <w:spacing w:line="400" w:lineRule="exact"/>
        <w:ind w:firstLineChars="0"/>
        <w:textAlignment w:val="auto"/>
        <w:rPr>
          <w:rFonts w:cs="仿宋_GB2312" w:asciiTheme="minorEastAsia" w:hAnsiTheme="minorEastAsia" w:eastAsiaTheme="minorEastAsia"/>
          <w:sz w:val="21"/>
          <w:szCs w:val="21"/>
          <w:highlight w:val="none"/>
        </w:rPr>
      </w:pPr>
      <w:r>
        <w:rPr>
          <w:rFonts w:hint="eastAsia" w:cs="仿宋_GB2312" w:asciiTheme="minorEastAsia" w:hAnsiTheme="minorEastAsia" w:eastAsiaTheme="minorEastAsia"/>
          <w:sz w:val="21"/>
          <w:szCs w:val="21"/>
          <w:highlight w:val="none"/>
        </w:rPr>
        <w:t>如比选申请人签字代表不是法定代表人，须持有法定代表人授权书及被授权人身份证复印件。</w:t>
      </w:r>
    </w:p>
    <w:p>
      <w:pPr>
        <w:numPr>
          <w:ilvl w:val="0"/>
          <w:numId w:val="5"/>
        </w:numPr>
        <w:tabs>
          <w:tab w:val="left" w:pos="540"/>
        </w:tabs>
        <w:spacing w:before="156" w:beforeLines="50" w:after="156" w:afterLines="50" w:line="36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比选文件的编制</w:t>
      </w:r>
    </w:p>
    <w:p>
      <w:pPr>
        <w:spacing w:line="400" w:lineRule="exact"/>
        <w:ind w:firstLine="420" w:firstLineChars="20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1</w:t>
      </w:r>
      <w:r>
        <w:rPr>
          <w:rFonts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比选申请人应仔细阅读比选邀请文件中所有内容，比选申请人未按比选邀请文件要求提供全部资料或提交的比选文件没有对比选邀请文件作出实质性响应，那么比选申请人将承担风险，有可能导致比选无效。</w:t>
      </w:r>
    </w:p>
    <w:p>
      <w:pPr>
        <w:spacing w:line="400" w:lineRule="exact"/>
        <w:ind w:firstLine="420" w:firstLineChars="20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2.比选文件上采用的货币单位是人民币元，所有单价及比选报价均以人民币计算。</w:t>
      </w:r>
    </w:p>
    <w:p>
      <w:pPr>
        <w:spacing w:line="400" w:lineRule="exact"/>
        <w:ind w:firstLine="420" w:firstLineChars="20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3.比选文件的组成。比选申请人准备的比选文件包括：（a）比选函 ；（b）比选开标一览表、分项报价表；（c）资质文件；（d）技术条款响应表/偏离表；（e）商务条款响应表/偏离表； （f）比选设备技术性能指标的详细描述及技术支持资料、技术服务和质保期服务计划、其他资料（比选申请人视需要自行编写）；（g</w:t>
      </w:r>
      <w:r>
        <w:rPr>
          <w:rFonts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廉洁承诺书</w:t>
      </w:r>
      <w:r>
        <w:rPr>
          <w:rFonts w:hint="eastAsia" w:cs="仿宋_GB2312" w:asciiTheme="minorEastAsia" w:hAnsiTheme="minorEastAsia" w:eastAsiaTheme="minorEastAsia"/>
          <w:b/>
          <w:kern w:val="0"/>
          <w:szCs w:val="21"/>
          <w:highlight w:val="none"/>
        </w:rPr>
        <w:t>;</w:t>
      </w:r>
      <w:r>
        <w:rPr>
          <w:rFonts w:hint="eastAsia" w:cs="仿宋_GB2312" w:asciiTheme="minorEastAsia" w:hAnsiTheme="minorEastAsia" w:eastAsiaTheme="minorEastAsia"/>
          <w:kern w:val="0"/>
          <w:szCs w:val="21"/>
          <w:highlight w:val="none"/>
        </w:rPr>
        <w:t xml:space="preserve"> （h</w:t>
      </w:r>
      <w:r>
        <w:rPr>
          <w:rFonts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单位负责人、股东及高管的亲属和其他特定关系人在凯天公司或凯天所属单位任职情况申报表。</w:t>
      </w:r>
    </w:p>
    <w:p>
      <w:pPr>
        <w:spacing w:line="400" w:lineRule="exact"/>
        <w:ind w:firstLine="420" w:firstLineChars="200"/>
        <w:rPr>
          <w:rFonts w:cs="仿宋_GB2312" w:asciiTheme="minorEastAsia" w:hAnsiTheme="minorEastAsia" w:eastAsiaTheme="minorEastAsia"/>
          <w:b/>
          <w:kern w:val="0"/>
          <w:szCs w:val="21"/>
          <w:highlight w:val="none"/>
        </w:rPr>
      </w:pPr>
      <w:r>
        <w:rPr>
          <w:rFonts w:hint="eastAsia" w:cs="仿宋_GB2312" w:asciiTheme="minorEastAsia" w:hAnsiTheme="minorEastAsia" w:eastAsiaTheme="minorEastAsia"/>
          <w:kern w:val="0"/>
          <w:szCs w:val="21"/>
          <w:highlight w:val="none"/>
        </w:rPr>
        <w:t>4. 比选申请人应将</w:t>
      </w:r>
      <w:r>
        <w:rPr>
          <w:rFonts w:hint="eastAsia" w:cs="仿宋_GB2312" w:asciiTheme="minorEastAsia" w:hAnsiTheme="minorEastAsia" w:eastAsiaTheme="minorEastAsia"/>
          <w:b/>
          <w:kern w:val="0"/>
          <w:szCs w:val="21"/>
          <w:highlight w:val="none"/>
        </w:rPr>
        <w:t>比选文件装入一个大的密封袋</w:t>
      </w:r>
      <w:r>
        <w:rPr>
          <w:rFonts w:hint="eastAsia" w:cs="仿宋_GB2312" w:asciiTheme="minorEastAsia" w:hAnsiTheme="minorEastAsia" w:eastAsiaTheme="minorEastAsia"/>
          <w:kern w:val="0"/>
          <w:szCs w:val="21"/>
          <w:highlight w:val="none"/>
        </w:rPr>
        <w:t>，其中（b）</w:t>
      </w:r>
      <w:r>
        <w:rPr>
          <w:rFonts w:hint="eastAsia" w:cs="仿宋_GB2312" w:asciiTheme="minorEastAsia" w:hAnsiTheme="minorEastAsia" w:eastAsiaTheme="minorEastAsia"/>
          <w:b/>
          <w:kern w:val="0"/>
          <w:szCs w:val="21"/>
          <w:highlight w:val="none"/>
        </w:rPr>
        <w:t>比选开标一览表、分项报价表应单独密封，一同放入比选文件的密封袋</w:t>
      </w:r>
      <w:r>
        <w:rPr>
          <w:rFonts w:hint="eastAsia"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b/>
          <w:kern w:val="0"/>
          <w:szCs w:val="21"/>
          <w:highlight w:val="none"/>
        </w:rPr>
        <w:t>密封袋封面填写密封日期，并加盖比选申请人公章</w:t>
      </w:r>
      <w:r>
        <w:rPr>
          <w:rFonts w:hint="eastAsia" w:cs="仿宋_GB2312" w:asciiTheme="minorEastAsia" w:hAnsiTheme="minorEastAsia" w:eastAsiaTheme="minorEastAsia"/>
          <w:kern w:val="0"/>
          <w:szCs w:val="21"/>
          <w:highlight w:val="none"/>
        </w:rPr>
        <w:t>。</w:t>
      </w:r>
    </w:p>
    <w:p>
      <w:pPr>
        <w:spacing w:line="400" w:lineRule="exact"/>
        <w:ind w:firstLine="420" w:firstLineChars="200"/>
        <w:rPr>
          <w:rFonts w:cs="仿宋_GB2312" w:asciiTheme="minorEastAsia" w:hAnsiTheme="minorEastAsia" w:eastAsiaTheme="minorEastAsia"/>
          <w:kern w:val="0"/>
          <w:szCs w:val="21"/>
          <w:highlight w:val="none"/>
        </w:rPr>
      </w:pPr>
      <w:r>
        <w:rPr>
          <w:rFonts w:cs="仿宋_GB2312" w:asciiTheme="minorEastAsia" w:hAnsiTheme="minorEastAsia" w:eastAsiaTheme="minorEastAsia"/>
          <w:kern w:val="0"/>
          <w:szCs w:val="21"/>
          <w:highlight w:val="none"/>
        </w:rPr>
        <w:t xml:space="preserve">5. </w:t>
      </w:r>
      <w:r>
        <w:rPr>
          <w:rFonts w:hint="eastAsia" w:cs="仿宋_GB2312" w:asciiTheme="minorEastAsia" w:hAnsiTheme="minorEastAsia" w:eastAsiaTheme="minorEastAsia"/>
          <w:kern w:val="0"/>
          <w:szCs w:val="21"/>
          <w:highlight w:val="none"/>
        </w:rPr>
        <w:t>有下列情况之一的，其比选文件一律无效：</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w:t>
      </w:r>
      <w:r>
        <w:rPr>
          <w:rFonts w:cs="ArialNarrow" w:asciiTheme="minorEastAsia" w:hAnsiTheme="minorEastAsia" w:eastAsiaTheme="minorEastAsia"/>
          <w:kern w:val="0"/>
          <w:szCs w:val="21"/>
          <w:highlight w:val="none"/>
        </w:rPr>
        <w:t>1</w:t>
      </w:r>
      <w:r>
        <w:rPr>
          <w:rFonts w:hint="eastAsia"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比选文件未按规定</w:t>
      </w:r>
      <w:r>
        <w:rPr>
          <w:rFonts w:hint="eastAsia" w:cs="仿宋_GB2312" w:asciiTheme="minorEastAsia" w:hAnsiTheme="minorEastAsia" w:eastAsiaTheme="minorEastAsia"/>
          <w:b/>
          <w:kern w:val="0"/>
          <w:szCs w:val="21"/>
          <w:highlight w:val="none"/>
        </w:rPr>
        <w:t>密封</w:t>
      </w:r>
      <w:r>
        <w:rPr>
          <w:rFonts w:hint="eastAsia" w:cs="仿宋_GB2312" w:asciiTheme="minorEastAsia" w:hAnsiTheme="minorEastAsia" w:eastAsiaTheme="minorEastAsia"/>
          <w:kern w:val="0"/>
          <w:szCs w:val="21"/>
          <w:highlight w:val="none"/>
        </w:rPr>
        <w:t>；</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w:t>
      </w:r>
      <w:r>
        <w:rPr>
          <w:rFonts w:cs="ArialNarrow" w:asciiTheme="minorEastAsia" w:hAnsiTheme="minorEastAsia" w:eastAsiaTheme="minorEastAsia"/>
          <w:kern w:val="0"/>
          <w:szCs w:val="21"/>
          <w:highlight w:val="none"/>
        </w:rPr>
        <w:t>2</w:t>
      </w:r>
      <w:r>
        <w:rPr>
          <w:rFonts w:hint="eastAsia"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比选文件未</w:t>
      </w:r>
      <w:r>
        <w:rPr>
          <w:rFonts w:hint="eastAsia" w:cs="仿宋_GB2312" w:asciiTheme="minorEastAsia" w:hAnsiTheme="minorEastAsia" w:eastAsiaTheme="minorEastAsia"/>
          <w:b/>
          <w:kern w:val="0"/>
          <w:szCs w:val="21"/>
          <w:highlight w:val="none"/>
        </w:rPr>
        <w:t>盖单位公章</w:t>
      </w:r>
      <w:r>
        <w:rPr>
          <w:rFonts w:hint="eastAsia" w:cs="仿宋_GB2312" w:asciiTheme="minorEastAsia" w:hAnsiTheme="minorEastAsia" w:eastAsiaTheme="minorEastAsia"/>
          <w:kern w:val="0"/>
          <w:szCs w:val="21"/>
          <w:highlight w:val="none"/>
        </w:rPr>
        <w:t>和无法定代表人、法定代表人授权的代理人</w:t>
      </w:r>
      <w:r>
        <w:rPr>
          <w:rFonts w:hint="eastAsia" w:cs="仿宋_GB2312" w:asciiTheme="minorEastAsia" w:hAnsiTheme="minorEastAsia" w:eastAsiaTheme="minorEastAsia"/>
          <w:b/>
          <w:kern w:val="0"/>
          <w:szCs w:val="21"/>
          <w:highlight w:val="none"/>
        </w:rPr>
        <w:t>签字或盖章</w:t>
      </w:r>
      <w:r>
        <w:rPr>
          <w:rFonts w:hint="eastAsia" w:cs="仿宋_GB2312" w:asciiTheme="minorEastAsia" w:hAnsiTheme="minorEastAsia" w:eastAsiaTheme="minorEastAsia"/>
          <w:kern w:val="0"/>
          <w:szCs w:val="21"/>
          <w:highlight w:val="none"/>
        </w:rPr>
        <w:t>的；</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w:t>
      </w:r>
      <w:r>
        <w:rPr>
          <w:rFonts w:cs="ArialNarrow" w:asciiTheme="minorEastAsia" w:hAnsiTheme="minorEastAsia" w:eastAsiaTheme="minorEastAsia"/>
          <w:kern w:val="0"/>
          <w:szCs w:val="21"/>
          <w:highlight w:val="none"/>
        </w:rPr>
        <w:t>3</w:t>
      </w:r>
      <w:r>
        <w:rPr>
          <w:rFonts w:hint="eastAsia"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比选文件未按比选邀请文件的规定要求填写，或内容不全、字迹模糊不清、难以辨认；</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w:t>
      </w:r>
      <w:r>
        <w:rPr>
          <w:rFonts w:cs="ArialNarrow" w:asciiTheme="minorEastAsia" w:hAnsiTheme="minorEastAsia" w:eastAsiaTheme="minorEastAsia"/>
          <w:kern w:val="0"/>
          <w:szCs w:val="21"/>
          <w:highlight w:val="none"/>
        </w:rPr>
        <w:t>4</w:t>
      </w:r>
      <w:r>
        <w:rPr>
          <w:rFonts w:hint="eastAsia"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比选文件未按规定的比选截止日期送达指定地点；</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（5）</w:t>
      </w:r>
      <w:r>
        <w:rPr>
          <w:rFonts w:hint="eastAsia" w:cs="仿宋_GB2312" w:asciiTheme="minorEastAsia" w:hAnsiTheme="minorEastAsia" w:eastAsiaTheme="minorEastAsia"/>
          <w:kern w:val="0"/>
          <w:szCs w:val="21"/>
          <w:highlight w:val="none"/>
        </w:rPr>
        <w:t>比选申请人未按规定（</w:t>
      </w:r>
      <w:r>
        <w:rPr>
          <w:rFonts w:hint="eastAsia" w:cs="仿宋_GB2312" w:asciiTheme="minorEastAsia" w:hAnsiTheme="minorEastAsia" w:eastAsiaTheme="minorEastAsia"/>
          <w:b/>
          <w:kern w:val="0"/>
          <w:szCs w:val="21"/>
          <w:highlight w:val="none"/>
        </w:rPr>
        <w:t>一份正本和</w:t>
      </w:r>
      <w:r>
        <w:rPr>
          <w:rFonts w:hint="eastAsia" w:cs="仿宋_GB2312" w:asciiTheme="minorEastAsia" w:hAnsiTheme="minorEastAsia" w:eastAsiaTheme="minorEastAsia"/>
          <w:b/>
          <w:kern w:val="0"/>
          <w:szCs w:val="21"/>
          <w:highlight w:val="none"/>
          <w:lang w:eastAsia="zh-CN"/>
        </w:rPr>
        <w:t>三</w:t>
      </w:r>
      <w:r>
        <w:rPr>
          <w:rFonts w:hint="eastAsia" w:cs="仿宋_GB2312" w:asciiTheme="minorEastAsia" w:hAnsiTheme="minorEastAsia" w:eastAsiaTheme="minorEastAsia"/>
          <w:b/>
          <w:kern w:val="0"/>
          <w:szCs w:val="21"/>
          <w:highlight w:val="none"/>
        </w:rPr>
        <w:t>份副本</w:t>
      </w:r>
      <w:r>
        <w:rPr>
          <w:rFonts w:hint="eastAsia" w:cs="仿宋_GB2312" w:asciiTheme="minorEastAsia" w:hAnsiTheme="minorEastAsia" w:eastAsiaTheme="minorEastAsia"/>
          <w:kern w:val="0"/>
          <w:szCs w:val="21"/>
          <w:highlight w:val="none"/>
        </w:rPr>
        <w:t>）准备比选文件的；</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（6）比选有效期不满足比选邀请文件要求的；</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（7</w:t>
      </w:r>
      <w:r>
        <w:rPr>
          <w:rFonts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比选申请人的比选价不止一个，出现选择报价的；</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（8）商务条款和技术条款中打</w:t>
      </w:r>
      <w:r>
        <w:rPr>
          <w:rFonts w:hint="eastAsia" w:cs="仿宋_GB2312" w:asciiTheme="minorEastAsia" w:hAnsiTheme="minorEastAsia" w:eastAsiaTheme="minorEastAsia"/>
          <w:b/>
          <w:kern w:val="0"/>
          <w:szCs w:val="21"/>
          <w:highlight w:val="none"/>
        </w:rPr>
        <w:t>“*</w:t>
      </w:r>
      <w:r>
        <w:rPr>
          <w:rFonts w:cs="仿宋_GB2312" w:asciiTheme="minorEastAsia" w:hAnsiTheme="minorEastAsia" w:eastAsiaTheme="minorEastAsia"/>
          <w:b/>
          <w:kern w:val="0"/>
          <w:szCs w:val="21"/>
          <w:highlight w:val="none"/>
        </w:rPr>
        <w:t>”</w:t>
      </w:r>
      <w:r>
        <w:rPr>
          <w:rFonts w:hint="eastAsia" w:cs="仿宋_GB2312" w:asciiTheme="minorEastAsia" w:hAnsiTheme="minorEastAsia" w:eastAsiaTheme="minorEastAsia"/>
          <w:b/>
          <w:kern w:val="0"/>
          <w:szCs w:val="21"/>
          <w:highlight w:val="none"/>
        </w:rPr>
        <w:t>的任何一项，如果发生负偏离将导致比选被否决；</w:t>
      </w:r>
    </w:p>
    <w:p>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（9）商务条款和技术条款中</w:t>
      </w:r>
      <w:r>
        <w:rPr>
          <w:rFonts w:hint="eastAsia" w:cs="仿宋_GB2312" w:asciiTheme="minorEastAsia" w:hAnsiTheme="minorEastAsia" w:eastAsiaTheme="minorEastAsia"/>
          <w:b/>
          <w:kern w:val="0"/>
          <w:szCs w:val="21"/>
          <w:highlight w:val="none"/>
        </w:rPr>
        <w:t>非*条款负偏离超过3项将导致比选被否决。</w:t>
      </w:r>
    </w:p>
    <w:p>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6.比选文件必须由法人代表或全权代表签署，比选文件中比选文件副本可提供复印件，比选文件须注明“</w:t>
      </w:r>
      <w:r>
        <w:rPr>
          <w:rFonts w:hint="eastAsia" w:cs="仿宋_GB2312" w:asciiTheme="minorEastAsia" w:hAnsiTheme="minorEastAsia" w:eastAsiaTheme="minorEastAsia"/>
          <w:b/>
          <w:kern w:val="0"/>
          <w:szCs w:val="21"/>
          <w:highlight w:val="none"/>
        </w:rPr>
        <w:t>正本</w:t>
      </w:r>
      <w:r>
        <w:rPr>
          <w:rFonts w:hint="eastAsia" w:cs="仿宋_GB2312" w:asciiTheme="minorEastAsia" w:hAnsiTheme="minorEastAsia" w:eastAsiaTheme="minorEastAsia"/>
          <w:kern w:val="0"/>
          <w:szCs w:val="21"/>
          <w:highlight w:val="none"/>
        </w:rPr>
        <w:t>”和“</w:t>
      </w:r>
      <w:r>
        <w:rPr>
          <w:rFonts w:hint="eastAsia" w:cs="仿宋_GB2312" w:asciiTheme="minorEastAsia" w:hAnsiTheme="minorEastAsia" w:eastAsiaTheme="minorEastAsia"/>
          <w:b/>
          <w:kern w:val="0"/>
          <w:szCs w:val="21"/>
          <w:highlight w:val="none"/>
        </w:rPr>
        <w:t>副本</w:t>
      </w:r>
      <w:r>
        <w:rPr>
          <w:rFonts w:hint="eastAsia" w:cs="仿宋_GB2312" w:asciiTheme="minorEastAsia" w:hAnsiTheme="minorEastAsia" w:eastAsiaTheme="minorEastAsia"/>
          <w:kern w:val="0"/>
          <w:szCs w:val="21"/>
          <w:highlight w:val="none"/>
        </w:rPr>
        <w:t>”字样；比选文件避免涂改，如有涂改，必须由同一签署人签字或盖章。</w:t>
      </w:r>
    </w:p>
    <w:p>
      <w:pPr>
        <w:numPr>
          <w:ilvl w:val="0"/>
          <w:numId w:val="5"/>
        </w:numPr>
        <w:tabs>
          <w:tab w:val="left" w:pos="540"/>
        </w:tabs>
        <w:spacing w:before="156" w:beforeLines="50" w:after="156" w:afterLines="50" w:line="36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比选文件的审查、评议</w:t>
      </w:r>
    </w:p>
    <w:p>
      <w:pPr>
        <w:spacing w:line="400" w:lineRule="exact"/>
        <w:ind w:firstLine="411" w:firstLineChars="196"/>
        <w:rPr>
          <w:rFonts w:cs="仿宋_GB2312"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w:t>
      </w:r>
      <w:r>
        <w:rPr>
          <w:rFonts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比选邀请人在比选后可随时请比选申请人对比选文件进行澄清解答，解答时比选申请人不得对比选文件中实质性内容和报价加以修改，除非比选邀请人同意。</w:t>
      </w:r>
    </w:p>
    <w:p>
      <w:pPr>
        <w:spacing w:line="400" w:lineRule="exact"/>
        <w:ind w:firstLine="411" w:firstLineChars="196"/>
        <w:rPr>
          <w:rFonts w:asciiTheme="minorEastAsia" w:hAnsiTheme="minorEastAsia" w:eastAsiaTheme="minorEastAsia"/>
          <w:b/>
          <w:sz w:val="24"/>
          <w:highlight w:val="none"/>
        </w:rPr>
      </w:pPr>
      <w:r>
        <w:rPr>
          <w:rFonts w:hint="eastAsia" w:cs="仿宋_GB2312" w:asciiTheme="minorEastAsia" w:hAnsiTheme="minorEastAsia" w:eastAsiaTheme="minorEastAsia"/>
          <w:kern w:val="0"/>
          <w:szCs w:val="21"/>
          <w:highlight w:val="none"/>
        </w:rPr>
        <w:t>2.比选邀请人在比选后请比选申请人对比选文件进行澄清解答时，该询问并不表示建议改变比选价，也不表示减少比选申请人任何责任。</w:t>
      </w:r>
    </w:p>
    <w:p>
      <w:pPr>
        <w:spacing w:line="400" w:lineRule="exact"/>
        <w:ind w:firstLine="411" w:firstLineChars="196"/>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3.比选工作由比选邀请人负责组建的比选评审小组负责，根据比选申请人的技术响应和商务响应的综合情况进行评议，此方法仅适用于成都凯天电子股份有限公司比选的评选工作。</w:t>
      </w:r>
    </w:p>
    <w:p>
      <w:pPr>
        <w:spacing w:line="400" w:lineRule="exact"/>
        <w:ind w:firstLine="411" w:firstLineChars="196"/>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4.比选原则是根据比选申请人的报价、履约能力、资质信誉、资金状况、是否满足比选货物的技术要求、质量保证、交货期、付款方式、售后服务情况等内容进行综合评审，公平公正地评选比选单位</w:t>
      </w:r>
      <w:r>
        <w:rPr>
          <w:rFonts w:hint="eastAsia" w:cs="宋体" w:asciiTheme="minorEastAsia" w:hAnsiTheme="minorEastAsia" w:eastAsiaTheme="minorEastAsia"/>
          <w:kern w:val="0"/>
          <w:szCs w:val="21"/>
          <w:highlight w:val="none"/>
          <w:lang w:eastAsia="zh-CN"/>
        </w:rPr>
        <w:t>，具体评审打分见下附表</w:t>
      </w:r>
      <w:r>
        <w:rPr>
          <w:rFonts w:hint="eastAsia" w:cs="宋体" w:asciiTheme="minorEastAsia" w:hAnsiTheme="minorEastAsia" w:eastAsiaTheme="minorEastAsia"/>
          <w:kern w:val="0"/>
          <w:szCs w:val="21"/>
          <w:highlight w:val="none"/>
        </w:rPr>
        <w:t>。</w:t>
      </w:r>
    </w:p>
    <w:p>
      <w:pPr>
        <w:spacing w:line="400" w:lineRule="exact"/>
        <w:ind w:firstLine="411" w:firstLineChars="196"/>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5</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比选组织单位保留与任何比选申请人作进一步比选的权利。</w:t>
      </w:r>
    </w:p>
    <w:p>
      <w:pPr>
        <w:spacing w:line="400" w:lineRule="exact"/>
        <w:ind w:firstLine="411" w:firstLineChars="196"/>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此次比选的解释权归成都凯天电子股份有限公司。</w:t>
      </w:r>
    </w:p>
    <w:p>
      <w:pPr>
        <w:spacing w:line="400" w:lineRule="exact"/>
        <w:ind w:firstLine="411" w:firstLineChars="196"/>
        <w:rPr>
          <w:rFonts w:hint="eastAsia" w:cs="宋体" w:asciiTheme="minorEastAsia" w:hAnsiTheme="minorEastAsia" w:eastAsiaTheme="minorEastAsia"/>
          <w:kern w:val="0"/>
          <w:szCs w:val="21"/>
          <w:highlight w:val="none"/>
          <w:lang w:val="en-US" w:eastAsia="zh-CN"/>
        </w:rPr>
      </w:pP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340"/>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852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评审办法（综合评估法）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分值构成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(总分 100 分)</w:t>
            </w:r>
          </w:p>
        </w:tc>
        <w:tc>
          <w:tcPr>
            <w:tcW w:w="6308"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技术部分：30分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投标报价：60分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商务部分：10分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技术评分标准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30</w:t>
            </w:r>
            <w:r>
              <w:rPr>
                <w:rFonts w:hint="eastAsia" w:asciiTheme="minorEastAsia" w:hAnsiTheme="minorEastAsia" w:eastAsiaTheme="minorEastAsia" w:cstheme="minorEastAsia"/>
                <w:kern w:val="0"/>
                <w:sz w:val="21"/>
                <w:szCs w:val="21"/>
                <w:highlight w:val="none"/>
              </w:rPr>
              <w:t>]</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基本分</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20分</w:t>
            </w:r>
            <w:r>
              <w:rPr>
                <w:rFonts w:hint="eastAsia" w:asciiTheme="minorEastAsia" w:hAnsiTheme="minorEastAsia" w:eastAsiaTheme="minorEastAsia" w:cstheme="minorEastAsia"/>
                <w:kern w:val="0"/>
                <w:sz w:val="21"/>
                <w:szCs w:val="21"/>
                <w:highlight w:val="none"/>
              </w:rPr>
              <w:t>]</w:t>
            </w:r>
          </w:p>
        </w:tc>
        <w:tc>
          <w:tcPr>
            <w:tcW w:w="39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非*号条款未响应、偏离：-0.5分×项数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加分[8分]</w:t>
            </w:r>
          </w:p>
        </w:tc>
        <w:tc>
          <w:tcPr>
            <w:tcW w:w="3968" w:type="dxa"/>
            <w:vAlign w:val="top"/>
          </w:tcPr>
          <w:p>
            <w:pPr>
              <w:spacing w:line="360" w:lineRule="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*号条款优于1分×项数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3968" w:type="dxa"/>
            <w:vAlign w:val="top"/>
          </w:tcPr>
          <w:p>
            <w:pPr>
              <w:spacing w:line="360" w:lineRule="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一般条款优于0.5分×项数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3968" w:type="dxa"/>
            <w:vAlign w:val="top"/>
          </w:tcPr>
          <w:p>
            <w:pPr>
              <w:spacing w:line="360" w:lineRule="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产品综合优加0-5分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技术完整性[2分]</w:t>
            </w:r>
          </w:p>
        </w:tc>
        <w:tc>
          <w:tcPr>
            <w:tcW w:w="39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按要求提供资料[1分]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396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同类型设备业绩清单评分：最多1分，次多0.5分，最少0.2分，未提供用户业绩清单0分。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商务评分标准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10</w:t>
            </w:r>
            <w:r>
              <w:rPr>
                <w:rFonts w:hint="eastAsia" w:asciiTheme="minorEastAsia" w:hAnsiTheme="minorEastAsia" w:eastAsiaTheme="minorEastAsia" w:cstheme="minorEastAsia"/>
                <w:kern w:val="0"/>
                <w:sz w:val="21"/>
                <w:szCs w:val="21"/>
                <w:highlight w:val="none"/>
              </w:rPr>
              <w:t>]</w:t>
            </w:r>
          </w:p>
        </w:tc>
        <w:tc>
          <w:tcPr>
            <w:tcW w:w="2340" w:type="dxa"/>
            <w:vAlign w:val="center"/>
          </w:tcPr>
          <w:p>
            <w:pPr>
              <w:widowControl/>
              <w:spacing w:line="240" w:lineRule="auto"/>
              <w:ind w:firstLine="28" w:firstLineChars="0"/>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付款方式[3分]</w:t>
            </w:r>
          </w:p>
        </w:tc>
        <w:tc>
          <w:tcPr>
            <w:tcW w:w="396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优于（2-3］，满足［2］，偏离［0］。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center"/>
          </w:tcPr>
          <w:p>
            <w:pPr>
              <w:widowControl/>
              <w:spacing w:line="240" w:lineRule="auto"/>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经营情况、信誉度、</w:t>
            </w:r>
            <w:r>
              <w:rPr>
                <w:rFonts w:hint="eastAsia" w:asciiTheme="minorEastAsia" w:hAnsiTheme="minorEastAsia" w:eastAsiaTheme="minorEastAsia" w:cstheme="minorEastAsia"/>
                <w:sz w:val="21"/>
                <w:szCs w:val="21"/>
                <w:highlight w:val="none"/>
              </w:rPr>
              <w:t>资质横向对比</w:t>
            </w:r>
            <w:r>
              <w:rPr>
                <w:rFonts w:hint="eastAsia" w:asciiTheme="minorEastAsia" w:hAnsiTheme="minorEastAsia" w:eastAsiaTheme="minorEastAsia" w:cstheme="minorEastAsia"/>
                <w:kern w:val="0"/>
                <w:sz w:val="21"/>
                <w:szCs w:val="21"/>
                <w:highlight w:val="none"/>
              </w:rPr>
              <w:t>[2分]</w:t>
            </w:r>
          </w:p>
        </w:tc>
        <w:tc>
          <w:tcPr>
            <w:tcW w:w="396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优(1，2］，良［1］，一般［0，1）。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center"/>
          </w:tcPr>
          <w:p>
            <w:pPr>
              <w:widowControl/>
              <w:spacing w:line="240" w:lineRule="auto"/>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交货期[2分]</w:t>
            </w:r>
          </w:p>
        </w:tc>
        <w:tc>
          <w:tcPr>
            <w:tcW w:w="396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优于(1，2］，满足［1］，偏离［0］。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center"/>
          </w:tcPr>
          <w:p>
            <w:pPr>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质保期</w:t>
            </w:r>
            <w:r>
              <w:rPr>
                <w:rFonts w:hint="eastAsia" w:asciiTheme="minorEastAsia" w:hAnsiTheme="minorEastAsia" w:eastAsiaTheme="minorEastAsia" w:cstheme="minorEastAsia"/>
                <w:kern w:val="0"/>
                <w:sz w:val="21"/>
                <w:szCs w:val="21"/>
                <w:highlight w:val="none"/>
              </w:rPr>
              <w:t>[1.5分]</w:t>
            </w:r>
          </w:p>
        </w:tc>
        <w:tc>
          <w:tcPr>
            <w:tcW w:w="396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优于(1，1.5］，满足［1］，偏离［0］。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center"/>
          </w:tcPr>
          <w:p>
            <w:pPr>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售后服务[1.5分]</w:t>
            </w:r>
          </w:p>
        </w:tc>
        <w:tc>
          <w:tcPr>
            <w:tcW w:w="396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优于(1，1.5］，满足［1］，偏离［0］。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2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投标报价评分标准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60</w:t>
            </w:r>
            <w:r>
              <w:rPr>
                <w:rFonts w:hint="eastAsia" w:asciiTheme="minorEastAsia" w:hAnsiTheme="minorEastAsia" w:eastAsiaTheme="minorEastAsia" w:cstheme="minorEastAsia"/>
                <w:kern w:val="0"/>
                <w:sz w:val="21"/>
                <w:szCs w:val="21"/>
                <w:highlight w:val="none"/>
              </w:rPr>
              <w:t>]</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投标报价</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60分</w:t>
            </w:r>
            <w:r>
              <w:rPr>
                <w:rFonts w:hint="eastAsia" w:asciiTheme="minorEastAsia" w:hAnsiTheme="minorEastAsia" w:eastAsiaTheme="minorEastAsia" w:cstheme="minorEastAsia"/>
                <w:kern w:val="0"/>
                <w:sz w:val="21"/>
                <w:szCs w:val="21"/>
                <w:highlight w:val="none"/>
              </w:rPr>
              <w:t>]</w:t>
            </w:r>
          </w:p>
        </w:tc>
        <w:tc>
          <w:tcPr>
            <w:tcW w:w="39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计算公式 Sp=60×Pmin//P</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Pmin=所有投标报价中最低有效报价；P=被评议投标人报价。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396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top"/>
          </w:tcPr>
          <w:p>
            <w:pPr>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备注：“(，）”表示不包含本数，“[，]”表示包含本数。</w:t>
            </w:r>
          </w:p>
        </w:tc>
      </w:tr>
    </w:tbl>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宋体" w:asciiTheme="minorEastAsia" w:hAnsiTheme="minorEastAsia" w:eastAsiaTheme="minorEastAsia"/>
          <w:kern w:val="0"/>
          <w:szCs w:val="21"/>
          <w:highlight w:val="none"/>
          <w:lang w:val="en-US" w:eastAsia="zh-CN"/>
        </w:rPr>
      </w:pPr>
    </w:p>
    <w:p>
      <w:pPr>
        <w:numPr>
          <w:ilvl w:val="0"/>
          <w:numId w:val="5"/>
        </w:numPr>
        <w:tabs>
          <w:tab w:val="left" w:pos="540"/>
        </w:tabs>
        <w:spacing w:before="156" w:beforeLines="50" w:after="156" w:afterLines="50" w:line="44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授予合同</w:t>
      </w:r>
    </w:p>
    <w:p>
      <w:pPr>
        <w:spacing w:line="400" w:lineRule="exact"/>
        <w:ind w:firstLine="411" w:firstLineChars="196"/>
        <w:rPr>
          <w:rFonts w:asciiTheme="minorEastAsia" w:hAnsiTheme="minorEastAsia" w:eastAsiaTheme="minorEastAsia"/>
          <w:b/>
          <w:sz w:val="24"/>
          <w:highlight w:val="none"/>
        </w:rPr>
      </w:pPr>
      <w:r>
        <w:rPr>
          <w:rFonts w:hint="eastAsia" w:asciiTheme="minorEastAsia" w:hAnsiTheme="minorEastAsia" w:eastAsiaTheme="minorEastAsia"/>
          <w:szCs w:val="21"/>
          <w:highlight w:val="none"/>
        </w:rPr>
        <w:t>1</w:t>
      </w:r>
      <w:r>
        <w:rPr>
          <w:rFonts w:cs="ArialNarrow" w:asciiTheme="minorEastAsia" w:hAnsiTheme="minorEastAsia" w:eastAsiaTheme="minorEastAsia"/>
          <w:kern w:val="0"/>
          <w:szCs w:val="21"/>
          <w:highlight w:val="none"/>
        </w:rPr>
        <w:t>.</w:t>
      </w:r>
      <w:r>
        <w:rPr>
          <w:rFonts w:hint="eastAsia" w:cs="ArialNarrow" w:asciiTheme="minorEastAsia" w:hAnsiTheme="minorEastAsia" w:eastAsiaTheme="minorEastAsia"/>
          <w:kern w:val="0"/>
          <w:szCs w:val="21"/>
          <w:highlight w:val="none"/>
        </w:rPr>
        <w:t>比选邀请人可以在比选以前拒绝任何或全部比选，而不负任何责任。对未中选方不承担任何责任及作任何解释，比选邀请人以书面形式通知中选人，并通知在规定时间内前来商签合同。</w:t>
      </w:r>
    </w:p>
    <w:p>
      <w:pPr>
        <w:spacing w:line="400" w:lineRule="exact"/>
        <w:ind w:firstLine="411" w:firstLineChars="196"/>
        <w:rPr>
          <w:rFonts w:asciiTheme="minorEastAsia" w:hAnsiTheme="minorEastAsia" w:eastAsiaTheme="minorEastAsia"/>
          <w:b/>
          <w:sz w:val="24"/>
          <w:highlight w:val="none"/>
        </w:rPr>
      </w:pPr>
      <w:r>
        <w:rPr>
          <w:rFonts w:hint="eastAsia" w:cs="ArialNarrow" w:asciiTheme="minorEastAsia" w:hAnsiTheme="minorEastAsia" w:eastAsiaTheme="minorEastAsia"/>
          <w:kern w:val="0"/>
          <w:szCs w:val="21"/>
          <w:highlight w:val="none"/>
        </w:rPr>
        <w:t>2.</w:t>
      </w:r>
      <w:r>
        <w:rPr>
          <w:rFonts w:hint="eastAsia" w:cs="仿宋_GB2312" w:asciiTheme="minorEastAsia" w:hAnsiTheme="minorEastAsia" w:eastAsiaTheme="minorEastAsia"/>
          <w:kern w:val="0"/>
          <w:szCs w:val="21"/>
          <w:highlight w:val="none"/>
        </w:rPr>
        <w:t>中选人必须在中选通知书规定的期限内与成都凯天电子股份有限公司签订合同，否则比选邀请人有权取消其中选资格。</w:t>
      </w:r>
    </w:p>
    <w:p>
      <w:pPr>
        <w:spacing w:line="400" w:lineRule="exact"/>
        <w:ind w:firstLine="411" w:firstLineChars="196"/>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3.中选人在签订合同时，坚持提出附加条件和不合理要求，或对合同条款提出原则性修改，比选邀请人有权取消其中选资格，由此产生的一切损失由原中选人负责。</w:t>
      </w:r>
    </w:p>
    <w:p>
      <w:pPr>
        <w:spacing w:line="400" w:lineRule="exact"/>
        <w:ind w:firstLine="411" w:firstLineChars="196"/>
        <w:rPr>
          <w:rFonts w:cs="仿宋_GB2312" w:asciiTheme="minorEastAsia" w:hAnsiTheme="minorEastAsia" w:eastAsiaTheme="minorEastAsia"/>
          <w:kern w:val="0"/>
          <w:szCs w:val="21"/>
          <w:highlight w:val="none"/>
        </w:rPr>
      </w:pPr>
    </w:p>
    <w:p>
      <w:pPr>
        <w:pStyle w:val="49"/>
        <w:numPr>
          <w:ilvl w:val="0"/>
          <w:numId w:val="4"/>
        </w:numPr>
        <w:spacing w:before="312" w:beforeLines="100" w:after="312" w:afterLines="100" w:line="360" w:lineRule="exact"/>
        <w:ind w:left="1183" w:hanging="1183" w:hangingChars="421"/>
        <w:jc w:val="center"/>
        <w:outlineLvl w:val="0"/>
        <w:rPr>
          <w:rFonts w:asciiTheme="minorEastAsia" w:hAnsiTheme="minorEastAsia" w:eastAsiaTheme="minorEastAsia"/>
          <w:b/>
          <w:szCs w:val="28"/>
          <w:highlight w:val="none"/>
        </w:rPr>
      </w:pPr>
      <w:r>
        <w:rPr>
          <w:rFonts w:asciiTheme="minorEastAsia" w:hAnsiTheme="minorEastAsia" w:eastAsiaTheme="minorEastAsia"/>
          <w:b/>
          <w:szCs w:val="28"/>
          <w:highlight w:val="none"/>
        </w:rPr>
        <w:t>货物需求及技术</w:t>
      </w:r>
      <w:r>
        <w:rPr>
          <w:rFonts w:hint="eastAsia" w:asciiTheme="minorEastAsia" w:hAnsiTheme="minorEastAsia" w:eastAsiaTheme="minorEastAsia"/>
          <w:b/>
          <w:szCs w:val="28"/>
          <w:highlight w:val="none"/>
        </w:rPr>
        <w:t>规格</w:t>
      </w:r>
      <w:r>
        <w:rPr>
          <w:rFonts w:asciiTheme="minorEastAsia" w:hAnsiTheme="minorEastAsia" w:eastAsiaTheme="minorEastAsia"/>
          <w:b/>
          <w:szCs w:val="28"/>
          <w:highlight w:val="none"/>
        </w:rPr>
        <w:t>一览表</w:t>
      </w:r>
    </w:p>
    <w:tbl>
      <w:tblPr>
        <w:tblStyle w:val="2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编号：CAIC2026-JZC52260003-004</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设备名称：</w:t>
            </w:r>
            <w:r>
              <w:rPr>
                <w:rFonts w:hint="eastAsia" w:ascii="宋体" w:hAnsi="宋体"/>
                <w:szCs w:val="21"/>
              </w:rPr>
              <w:t>验证</w:t>
            </w:r>
            <w:r>
              <w:rPr>
                <w:rFonts w:hint="eastAsia" w:ascii="宋体" w:hAnsi="宋体"/>
                <w:szCs w:val="21"/>
                <w:lang w:eastAsia="zh-CN"/>
              </w:rPr>
              <w:t>试验</w:t>
            </w:r>
            <w:r>
              <w:rPr>
                <w:rFonts w:hint="eastAsia" w:ascii="宋体" w:hAnsi="宋体"/>
                <w:szCs w:val="21"/>
              </w:rPr>
              <w:t>室数据管理平台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3</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数量：</w:t>
            </w:r>
            <w:r>
              <w:rPr>
                <w:rFonts w:hint="eastAsia" w:ascii="宋体" w:hAnsi="宋体"/>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4</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4.1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报价币种</w:t>
            </w: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4.2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报价方式</w:t>
            </w:r>
            <w:r>
              <w:rPr>
                <w:rFonts w:hint="eastAsia" w:ascii="宋体" w:hAnsi="宋体"/>
                <w:szCs w:val="21"/>
              </w:rPr>
              <w:t>：买方现场价（包含一切税费）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5</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rPr>
                <w:rFonts w:hint="eastAsia" w:ascii="宋体" w:hAnsi="宋体"/>
                <w:b/>
                <w:bCs/>
                <w:szCs w:val="21"/>
              </w:rPr>
              <w:t>交货期：</w:t>
            </w:r>
            <w:r>
              <w:rPr>
                <w:rFonts w:hint="eastAsia" w:ascii="宋体" w:hAnsi="宋体"/>
                <w:szCs w:val="21"/>
              </w:rPr>
              <w:t>合同生效起6个月完成验收（验收交付）</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6</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交货地</w:t>
            </w:r>
            <w:r>
              <w:rPr>
                <w:rFonts w:hint="eastAsia" w:ascii="宋体" w:hAnsi="宋体"/>
                <w:szCs w:val="21"/>
              </w:rPr>
              <w:t>：成都凯天电子股份有限公司（成都市青羊区）。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设备用途及基本要求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设备用途</w:t>
            </w:r>
            <w:r>
              <w:rPr>
                <w:rFonts w:hint="eastAsia" w:ascii="宋体" w:hAnsi="宋体"/>
                <w:szCs w:val="21"/>
              </w:rPr>
              <w:t>：验证</w:t>
            </w:r>
            <w:r>
              <w:rPr>
                <w:rFonts w:hint="eastAsia" w:ascii="宋体" w:hAnsi="宋体"/>
                <w:szCs w:val="21"/>
                <w:lang w:eastAsia="zh-CN"/>
              </w:rPr>
              <w:t>试验</w:t>
            </w:r>
            <w:r>
              <w:rPr>
                <w:rFonts w:hint="eastAsia" w:ascii="宋体" w:hAnsi="宋体"/>
                <w:szCs w:val="21"/>
              </w:rPr>
              <w:t>室数据管理平台用于集中整合</w:t>
            </w:r>
            <w:r>
              <w:rPr>
                <w:rFonts w:hint="eastAsia" w:ascii="宋体" w:hAnsi="宋体"/>
                <w:szCs w:val="21"/>
                <w:lang w:eastAsia="zh-CN"/>
              </w:rPr>
              <w:t>试验</w:t>
            </w:r>
            <w:r>
              <w:rPr>
                <w:rFonts w:hint="eastAsia" w:ascii="宋体" w:hAnsi="宋体"/>
                <w:szCs w:val="21"/>
              </w:rPr>
              <w:t>室</w:t>
            </w:r>
            <w:r>
              <w:rPr>
                <w:rFonts w:hint="eastAsia" w:ascii="宋体" w:hAnsi="宋体"/>
                <w:color w:val="000000"/>
                <w:szCs w:val="24"/>
              </w:rPr>
              <w:t>所有验证系统</w:t>
            </w:r>
            <w:r>
              <w:rPr>
                <w:rFonts w:hint="eastAsia" w:ascii="宋体" w:hAnsi="宋体"/>
                <w:szCs w:val="21"/>
              </w:rPr>
              <w:t>的验证数据，实现数据采集-存储-分析-归档全流程标准化管控，确保数据格式统一、关联溯源清晰，为新品科研校准、性能测试、可靠性验证等场景提供精准、高效的全局支撑，助力提升验证效率与数据准确性，强化验证数据深度分析，挖掘性能优化规律，为技术攻关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rPr>
                <w:rFonts w:hint="eastAsia" w:ascii="宋体" w:hAnsi="宋体"/>
                <w:b/>
                <w:bCs/>
                <w:szCs w:val="21"/>
              </w:rPr>
              <w:t>基本要求</w:t>
            </w:r>
            <w:r>
              <w:rPr>
                <w:rFonts w:hint="eastAsia" w:ascii="宋体" w:hAnsi="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架构与兼容性</w:t>
            </w:r>
            <w:r>
              <w:rPr>
                <w:rFonts w:hint="eastAsia" w:ascii="宋体" w:hAnsi="宋体"/>
                <w:szCs w:val="21"/>
                <w:lang w:eastAsia="zh-CN"/>
              </w:rPr>
              <w:t>：系</w:t>
            </w:r>
            <w:r>
              <w:rPr>
                <w:rFonts w:hint="eastAsia" w:ascii="宋体" w:hAnsi="宋体"/>
                <w:szCs w:val="21"/>
              </w:rPr>
              <w:t>统稳定、响应快速、具备良好兼容性与可扩展性，便与后续功能迭代与维护。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流程规范性：覆盖验证业务从资源管理、任务排程、试验执行到报告归档的全流程闭环管理，确保操作规范、数据真实可追溯。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7.2.3</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易用性与可靠性：用户界面友好直观，操作简易高效，运行稳定安全，可满足</w:t>
            </w:r>
            <w:r>
              <w:rPr>
                <w:rFonts w:hint="eastAsia" w:ascii="宋体" w:hAnsi="宋体"/>
                <w:szCs w:val="21"/>
                <w:lang w:eastAsia="zh-CN"/>
              </w:rPr>
              <w:t>试验</w:t>
            </w:r>
            <w:r>
              <w:rPr>
                <w:rFonts w:hint="eastAsia" w:ascii="宋体" w:hAnsi="宋体"/>
                <w:szCs w:val="21"/>
              </w:rPr>
              <w:t>室多次验证、重复试验、流程反复执行的实际业务需求。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7.2.4</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服务保障：提供及时到位的售后服务与技术支持，保障系统稳定运行和功能落地。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设备技术要求及主要规格参数：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rPr>
              <w:t>数据管理平台物理范围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8.1.1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物理范围：验证</w:t>
            </w:r>
            <w:r>
              <w:rPr>
                <w:rFonts w:hint="eastAsia" w:ascii="宋体" w:hAnsi="宋体"/>
                <w:szCs w:val="21"/>
                <w:lang w:eastAsia="zh-CN"/>
              </w:rPr>
              <w:t>试验</w:t>
            </w:r>
            <w:r>
              <w:rPr>
                <w:rFonts w:hint="eastAsia" w:ascii="宋体" w:hAnsi="宋体"/>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8.1.2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数据管理平台网络部署范围：</w:t>
            </w:r>
            <w:r>
              <w:rPr>
                <w:rFonts w:hint="eastAsia" w:asciiTheme="minorEastAsia" w:hAnsiTheme="minorEastAsia" w:eastAsiaTheme="minorEastAsia"/>
                <w:szCs w:val="21"/>
              </w:rPr>
              <w:t>本系统部署在工控网中。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rPr>
              <w:t>数据管理平台总述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8.2.1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功能概述：满足</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室对人员、设备、验证与信息化平台协同、高效的全流程验证模式需求。通过</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室数据管理平台将分散独立的各验证设备串联成一条高效、透明、可控的数字化验证链条，实现验证全过程（关键特性、长期稳定性、复杂环境）信息化管理，打造验证</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室运营管控平台。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8.2.2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szCs w:val="21"/>
              </w:rPr>
              <w:t>数据管理平台</w:t>
            </w:r>
            <w:r>
              <w:rPr>
                <w:rFonts w:hint="eastAsia" w:asciiTheme="minorEastAsia" w:hAnsiTheme="minorEastAsia" w:eastAsiaTheme="minorEastAsia"/>
                <w:szCs w:val="21"/>
              </w:rPr>
              <w:t>包含：</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室验证执行系统、数据采集系统、数字化配套硬件等。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8.3</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b/>
                <w:bCs/>
                <w:szCs w:val="21"/>
                <w:highlight w:val="none"/>
              </w:rPr>
            </w:pPr>
            <w:r>
              <w:rPr>
                <w:rFonts w:hint="eastAsia" w:asciiTheme="minorEastAsia" w:hAnsiTheme="minorEastAsia" w:eastAsiaTheme="minorEastAsia"/>
                <w:b/>
                <w:szCs w:val="21"/>
                <w:lang w:eastAsia="zh-CN"/>
              </w:rPr>
              <w:t>试验</w:t>
            </w:r>
            <w:r>
              <w:rPr>
                <w:rFonts w:hint="eastAsia" w:asciiTheme="minorEastAsia" w:hAnsiTheme="minorEastAsia" w:eastAsiaTheme="minorEastAsia"/>
                <w:b/>
                <w:szCs w:val="21"/>
              </w:rPr>
              <w:t>室验证执行系统技术要求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8.3.1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数量：1套。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8.3.2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系统组成：系统管理、资源管理、任务管理、数据大屏、数据统计、审批处置、产品运行数据挖掘与趋势预测。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8.3.3</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b/>
                <w:bCs/>
                <w:szCs w:val="21"/>
                <w:lang w:eastAsia="zh-CN"/>
              </w:rPr>
              <w:t>试</w:t>
            </w:r>
            <w:r>
              <w:rPr>
                <w:rFonts w:hint="eastAsia" w:asciiTheme="minorEastAsia" w:hAnsiTheme="minorEastAsia" w:eastAsiaTheme="minorEastAsia"/>
                <w:b/>
                <w:bCs/>
                <w:szCs w:val="21"/>
              </w:rPr>
              <w:t>验室验证执行系统通用要求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采用B/S架构，国产化操作系统。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rPr>
              <w:t>部署在工控网内，数据可通过光盘摆渡方式与</w:t>
            </w:r>
            <w:r>
              <w:rPr>
                <w:rFonts w:hint="eastAsia" w:ascii="宋体" w:hAnsi="宋体"/>
                <w:lang w:eastAsia="zh-CN"/>
              </w:rPr>
              <w:t>买方</w:t>
            </w:r>
            <w:r>
              <w:rPr>
                <w:rFonts w:hint="eastAsia" w:ascii="宋体" w:hAnsi="宋体"/>
              </w:rPr>
              <w:t>内网已有</w:t>
            </w:r>
            <w:r>
              <w:rPr>
                <w:rFonts w:ascii="宋体" w:hAnsi="宋体"/>
              </w:rPr>
              <w:t>PLM</w:t>
            </w:r>
            <w:r>
              <w:rPr>
                <w:rFonts w:hint="eastAsia" w:ascii="宋体" w:hAnsi="宋体"/>
              </w:rPr>
              <w:t>、OA系统等交互。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.3</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兼容火狐、Chrome、360、奇安信等主流浏览器，确保不同浏览器下系统显示一致，不出现错行、乱码等不兼容现象。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.4</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系统整体控制噪声小于60dB。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.5</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系统工作电源支持220V或380V。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.6</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系统总功率小于5kW，则设备自身需要使用漏电保护开关。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.7</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b/>
              </w:rPr>
              <w:t>二次</w:t>
            </w:r>
            <w:r>
              <w:rPr>
                <w:rFonts w:ascii="宋体" w:hAnsi="宋体"/>
                <w:b/>
              </w:rPr>
              <w:t>开发功能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lang w:eastAsia="zh-CN"/>
              </w:rPr>
              <w:t>8.3.3</w:t>
            </w:r>
            <w:r>
              <w:rPr>
                <w:rFonts w:hint="eastAsia" w:ascii="宋体" w:hAnsi="宋体"/>
                <w:color w:val="000000"/>
                <w:szCs w:val="21"/>
              </w:rPr>
              <w:t>.7.1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rPr>
              <w:t>提供二次开发功能，支持对系统</w:t>
            </w:r>
            <w:r>
              <w:rPr>
                <w:rFonts w:ascii="宋体" w:hAnsi="宋体"/>
              </w:rPr>
              <w:t>各</w:t>
            </w:r>
            <w:r>
              <w:rPr>
                <w:rFonts w:hint="eastAsia" w:ascii="宋体" w:hAnsi="宋体"/>
              </w:rPr>
              <w:t>软件</w:t>
            </w:r>
            <w:r>
              <w:rPr>
                <w:rFonts w:ascii="宋体" w:hAnsi="宋体"/>
              </w:rPr>
              <w:t>模块进行功能扩展</w:t>
            </w:r>
            <w:r>
              <w:rPr>
                <w:rFonts w:hint="eastAsia" w:ascii="宋体" w:hAnsi="宋体"/>
              </w:rPr>
              <w:t>和</w:t>
            </w:r>
            <w:r>
              <w:rPr>
                <w:rFonts w:ascii="宋体" w:hAnsi="宋体"/>
              </w:rPr>
              <w:t>维护</w:t>
            </w:r>
            <w:r>
              <w:rPr>
                <w:rFonts w:hint="eastAsia" w:ascii="宋体" w:hAnsi="宋体"/>
              </w:rPr>
              <w:t>，适应不断增强的软件功能和不断扩展的业务空间</w:t>
            </w:r>
            <w:r>
              <w:rPr>
                <w:rFonts w:ascii="宋体" w:hAnsi="宋体"/>
              </w:rPr>
              <w:t>，</w:t>
            </w:r>
            <w:r>
              <w:rPr>
                <w:rFonts w:hint="eastAsia" w:ascii="宋体" w:hAnsi="宋体"/>
              </w:rPr>
              <w:t>并提供接口开发方法、功能、结构描述。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w:t>
            </w:r>
            <w:r>
              <w:rPr>
                <w:rFonts w:hint="eastAsia" w:ascii="宋体" w:hAnsi="宋体"/>
                <w:color w:val="000000"/>
                <w:szCs w:val="21"/>
                <w:lang w:eastAsia="zh-CN"/>
              </w:rPr>
              <w:t>8.3.3</w:t>
            </w:r>
            <w:r>
              <w:rPr>
                <w:rFonts w:hint="eastAsia" w:ascii="宋体" w:hAnsi="宋体"/>
                <w:color w:val="000000"/>
                <w:szCs w:val="21"/>
              </w:rPr>
              <w:t>.7.2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rPr>
              <w:t>提供所有定制化开发的软件模块、功能组件等源代码，并开放平台及系统接口。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8.3.3</w:t>
            </w:r>
            <w:r>
              <w:rPr>
                <w:rFonts w:hint="eastAsia" w:ascii="宋体" w:hAnsi="宋体"/>
                <w:color w:val="000000"/>
                <w:szCs w:val="21"/>
              </w:rPr>
              <w:t>.</w:t>
            </w:r>
            <w:r>
              <w:rPr>
                <w:rFonts w:hint="eastAsia" w:ascii="宋体" w:hAnsi="宋体"/>
                <w:color w:val="000000"/>
                <w:szCs w:val="21"/>
                <w:lang w:val="en-US" w:eastAsia="zh-CN"/>
              </w:rPr>
              <w:t>8</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软件基本性能指标：至少支持300用户在线，100并发用户，登录平均响应时间</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w:t>
            </w:r>
            <w:r>
              <w:rPr>
                <w:rFonts w:hint="eastAsia" w:ascii="宋体" w:hAnsi="宋体"/>
                <w:color w:val="000000"/>
                <w:szCs w:val="21"/>
                <w:lang w:eastAsia="zh-CN"/>
              </w:rPr>
              <w:t>8.3.3</w:t>
            </w:r>
            <w:r>
              <w:rPr>
                <w:rFonts w:hint="eastAsia" w:ascii="宋体" w:hAnsi="宋体"/>
                <w:color w:val="000000"/>
                <w:szCs w:val="21"/>
              </w:rPr>
              <w:t>.</w:t>
            </w:r>
            <w:r>
              <w:rPr>
                <w:rFonts w:hint="eastAsia" w:ascii="宋体" w:hAnsi="宋体"/>
                <w:color w:val="000000"/>
                <w:szCs w:val="21"/>
                <w:lang w:val="en-US" w:eastAsia="zh-CN"/>
              </w:rPr>
              <w:t>9</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系统禁止许可证（Lisences）的授权形式，系统拓展点位数量不限。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highlight w:val="none"/>
                <w:lang w:eastAsia="zh-CN"/>
              </w:rPr>
              <w:t>8.3.3</w:t>
            </w:r>
            <w:r>
              <w:rPr>
                <w:rFonts w:hint="eastAsia" w:ascii="宋体" w:hAnsi="宋体"/>
                <w:color w:val="000000"/>
                <w:szCs w:val="21"/>
                <w:highlight w:val="none"/>
              </w:rPr>
              <w:t>.1</w:t>
            </w:r>
            <w:r>
              <w:rPr>
                <w:rFonts w:hint="eastAsia" w:ascii="宋体" w:hAnsi="宋体"/>
                <w:color w:val="000000"/>
                <w:szCs w:val="21"/>
                <w:highlight w:val="none"/>
                <w:lang w:val="en-US" w:eastAsia="zh-CN"/>
              </w:rPr>
              <w:t>0</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支持按照产品型号、验证工单号等要素条件的组合筛选及快速查询功能。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支持按照</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室验证需求，通过唯一标识符将试验样品的验证数据关联起来，形成完整的产品生命周期数据链。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rPr>
              <w:t>数据</w:t>
            </w:r>
            <w:r>
              <w:rPr>
                <w:rFonts w:ascii="宋体" w:hAnsi="宋体"/>
                <w:b/>
                <w:szCs w:val="21"/>
              </w:rPr>
              <w:t>存储</w:t>
            </w:r>
            <w:r>
              <w:rPr>
                <w:rFonts w:hint="eastAsia" w:ascii="宋体" w:hAnsi="宋体"/>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Theme="minorEastAsia" w:hAnsiTheme="minorEastAsia" w:eastAsiaTheme="minorEastAsia"/>
                <w:szCs w:val="21"/>
              </w:rPr>
              <w:t>优先选择列存数据库。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w:t>
            </w: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cs="宋体"/>
                <w:kern w:val="0"/>
                <w:szCs w:val="21"/>
              </w:rPr>
              <w:t>具备数据备份与归档功能，支持包括备份频率、归档周期、保留时间等参数设置功能。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cs="宋体"/>
                <w:kern w:val="0"/>
                <w:szCs w:val="21"/>
              </w:rPr>
              <w:t>具备数据库数据快速检索，以及数据恢复到库功能。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kern w:val="0"/>
                <w:szCs w:val="21"/>
                <w:highlight w:val="none"/>
              </w:rPr>
            </w:pPr>
            <w:r>
              <w:rPr>
                <w:rFonts w:hint="eastAsia" w:ascii="宋体" w:hAnsi="宋体" w:cs="宋体"/>
                <w:kern w:val="0"/>
                <w:szCs w:val="21"/>
              </w:rPr>
              <w:t>具备存储空间分配、数据索引和检索、数据压缩与解压缩功能。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szCs w:val="21"/>
                <w:highlight w:val="none"/>
                <w:lang w:eastAsia="zh-CN"/>
              </w:rPr>
            </w:pPr>
            <w:r>
              <w:rPr>
                <w:rFonts w:hint="eastAsia" w:ascii="宋体" w:hAnsi="宋体"/>
                <w:b/>
                <w:szCs w:val="21"/>
              </w:rPr>
              <w:t>软件用户</w:t>
            </w:r>
            <w:r>
              <w:rPr>
                <w:rFonts w:ascii="宋体" w:hAnsi="宋体"/>
                <w:b/>
                <w:szCs w:val="21"/>
              </w:rPr>
              <w:t>界面要求</w:t>
            </w:r>
            <w:r>
              <w:rPr>
                <w:rFonts w:hint="eastAsia" w:ascii="宋体" w:hAnsi="宋体"/>
                <w:b/>
                <w:szCs w:val="21"/>
              </w:rPr>
              <w:t>：</w:t>
            </w:r>
            <w:r>
              <w:rPr>
                <w:rFonts w:hint="eastAsia" w:ascii="宋体" w:hAnsi="宋体"/>
                <w:color w:val="000000"/>
                <w:szCs w:val="21"/>
              </w:rPr>
              <w:t>界面简洁清晰、层次分明、菜单分类合理，符合</w:t>
            </w:r>
            <w:r>
              <w:rPr>
                <w:rFonts w:hint="eastAsia" w:ascii="宋体" w:hAnsi="宋体"/>
                <w:color w:val="000000"/>
                <w:szCs w:val="21"/>
                <w:lang w:eastAsia="zh-CN"/>
              </w:rPr>
              <w:t>试验</w:t>
            </w:r>
            <w:r>
              <w:rPr>
                <w:rFonts w:hint="eastAsia" w:ascii="宋体" w:hAnsi="宋体"/>
                <w:color w:val="000000"/>
                <w:szCs w:val="21"/>
              </w:rPr>
              <w:t>室人员操作习惯。界面风格统一、色彩规范、关键数据、操作按钮及流程节点醒目易识别</w:t>
            </w:r>
            <w:r>
              <w:rPr>
                <w:rFonts w:hint="eastAsia" w:ascii="宋体" w:hAnsi="宋体"/>
                <w:color w:val="000000"/>
                <w:szCs w:val="21"/>
                <w:lang w:eastAsia="zh-CN"/>
              </w:rPr>
              <w:t>。</w:t>
            </w:r>
            <w:r>
              <w:rPr>
                <w:rFonts w:hint="eastAsia" w:ascii="宋体" w:hAnsi="宋体"/>
                <w:color w:val="000000"/>
                <w:szCs w:val="21"/>
              </w:rPr>
              <w:t>页面响应迅速、加载流畅、数据展示直观清晰</w:t>
            </w:r>
            <w:r>
              <w:rPr>
                <w:rFonts w:hint="eastAsia" w:ascii="宋体" w:hAnsi="宋体"/>
                <w:color w:val="000000"/>
                <w:szCs w:val="21"/>
                <w:lang w:eastAsia="zh-CN"/>
              </w:rPr>
              <w:t>。</w:t>
            </w:r>
            <w:r>
              <w:rPr>
                <w:rFonts w:hint="eastAsia" w:ascii="宋体" w:hAnsi="宋体"/>
                <w:color w:val="000000"/>
                <w:szCs w:val="21"/>
              </w:rPr>
              <w:t>操作逻辑简单易懂，提示信息规范明确</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8.3.</w:t>
            </w:r>
            <w:r>
              <w:rPr>
                <w:rFonts w:hint="eastAsia" w:ascii="宋体" w:hAnsi="宋体"/>
                <w:color w:val="000000"/>
                <w:szCs w:val="21"/>
                <w:lang w:val="en-US" w:eastAsia="zh-CN"/>
              </w:rPr>
              <w:t>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lang w:eastAsia="zh-CN"/>
              </w:rPr>
              <w:t>试验室</w:t>
            </w:r>
            <w:r>
              <w:rPr>
                <w:rFonts w:hint="eastAsia" w:ascii="宋体" w:hAnsi="宋体"/>
                <w:b/>
                <w:szCs w:val="21"/>
              </w:rPr>
              <w:t>验证执行系统功能要求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lang w:eastAsia="zh-CN"/>
              </w:rPr>
              <w:t>8.3.4</w:t>
            </w:r>
            <w:r>
              <w:rPr>
                <w:rFonts w:hint="eastAsia" w:ascii="宋体" w:hAnsi="宋体"/>
                <w:color w:val="000000"/>
                <w:szCs w:val="21"/>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rPr>
              <w:t>总体要求：</w:t>
            </w:r>
            <w:r>
              <w:rPr>
                <w:rFonts w:hint="eastAsia" w:asciiTheme="minorEastAsia" w:hAnsiTheme="minorEastAsia" w:eastAsiaTheme="minorEastAsia"/>
                <w:szCs w:val="21"/>
              </w:rPr>
              <w:t>实现</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验证业务全流程数字化管理、涵盖资源基础信息管理、验证任务创建与排程、试验过程执行与记录、试验报告自动生成与审批归档、数据可视化展示、多维度数据统计分析及验证数据深度挖掘等功能，构建覆盖验证全业务链的统一管理平台，确保试验过程规范、数据真实可追溯、业务流程闭环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w:t>
            </w:r>
            <w:r>
              <w:rPr>
                <w:rFonts w:hint="eastAsia" w:ascii="宋体" w:hAnsi="宋体"/>
                <w:szCs w:val="21"/>
              </w:rPr>
              <w:t>.</w:t>
            </w:r>
            <w:r>
              <w:rPr>
                <w:rFonts w:hint="eastAsia" w:ascii="宋体" w:hAnsi="宋体"/>
                <w:szCs w:val="21"/>
                <w:lang w:val="en-US" w:eastAsia="zh-CN"/>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资源管理模块</w:t>
            </w:r>
            <w:r>
              <w:rPr>
                <w:rFonts w:hint="eastAsia" w:ascii="宋体" w:hAnsi="宋体"/>
                <w:b/>
                <w:bCs/>
                <w:szCs w:val="21"/>
                <w:lang w:eastAsia="zh-CN"/>
              </w:rPr>
              <w:t>包括</w:t>
            </w:r>
            <w:r>
              <w:rPr>
                <w:rFonts w:hint="eastAsia" w:ascii="宋体" w:hAnsi="宋体"/>
                <w:b/>
                <w:bCs/>
                <w:szCs w:val="21"/>
              </w:rPr>
              <w:t>：</w:t>
            </w:r>
            <w:r>
              <w:rPr>
                <w:rFonts w:hint="eastAsia" w:ascii="宋体" w:hAnsi="宋体"/>
                <w:szCs w:val="21"/>
                <w:lang w:eastAsia="zh-CN"/>
              </w:rPr>
              <w:t>验证</w:t>
            </w:r>
            <w:r>
              <w:t>设备管理、试验巡视管理、试验人员管理、试验产品管理、模板管理、试验项目管理、试验标准管理、试验报告模板管理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8.3.4.2</w:t>
            </w:r>
            <w:r>
              <w:rPr>
                <w:rFonts w:hint="eastAsia" w:ascii="宋体" w:hAnsi="宋体"/>
                <w:szCs w:val="21"/>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rPr>
                <w:rFonts w:hint="eastAsia" w:ascii="宋体" w:hAnsi="宋体"/>
                <w:b/>
                <w:bCs/>
                <w:szCs w:val="21"/>
                <w:lang w:eastAsia="zh-CN"/>
              </w:rPr>
              <w:t>验证</w:t>
            </w:r>
            <w:r>
              <w:rPr>
                <w:rFonts w:hint="eastAsia" w:ascii="宋体" w:hAnsi="宋体"/>
                <w:b/>
                <w:bCs/>
                <w:szCs w:val="21"/>
              </w:rPr>
              <w:t>设备管理</w:t>
            </w:r>
            <w:r>
              <w:rPr>
                <w:rFonts w:hint="eastAsia" w:ascii="宋体" w:hAnsi="宋体"/>
                <w:b/>
                <w:bCs/>
                <w:szCs w:val="21"/>
                <w:lang w:eastAsia="zh-CN"/>
              </w:rPr>
              <w:t>：</w:t>
            </w:r>
            <w:r>
              <w:rPr>
                <w:rFonts w:hint="eastAsia"/>
                <w:lang w:eastAsia="zh-CN"/>
              </w:rPr>
              <w:t>主要实现对试验室验证设备的全生命周期管理、状态监控、运行记录、试验程序管控及</w:t>
            </w:r>
            <w:r>
              <w:rPr>
                <w:rFonts w:hint="eastAsia"/>
                <w:color w:val="auto"/>
                <w:lang w:eastAsia="zh-CN"/>
              </w:rPr>
              <w:t>可视化监控。</w:t>
            </w:r>
            <w:r>
              <w:rPr>
                <w:rFonts w:hint="eastAsia"/>
                <w:szCs w:val="22"/>
                <w:lang w:eastAsia="zh-CN"/>
              </w:rPr>
              <w:t>模块支持设备信息新增、设备信息列表集中展示，并可按设备状态、设备类型进行多维度筛选查询，实现设备资源的快速检索与统一管控。模块下设任务与状态、运行记录、试验程序管理、</w:t>
            </w:r>
            <w:r>
              <w:rPr>
                <w:rFonts w:hint="eastAsia"/>
                <w:color w:val="auto"/>
                <w:szCs w:val="22"/>
                <w:lang w:eastAsia="zh-CN"/>
              </w:rPr>
              <w:t>视频曲线监控</w:t>
            </w:r>
            <w:r>
              <w:rPr>
                <w:rFonts w:hint="eastAsia"/>
                <w:szCs w:val="22"/>
                <w:lang w:eastAsia="zh-CN"/>
              </w:rPr>
              <w:t>四个子模块，同时具备完善的设备基础信息、设备操作手册管理功能。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Cs w:val="21"/>
                <w:highlight w:val="none"/>
                <w:lang w:eastAsia="zh-CN"/>
              </w:rPr>
            </w:pPr>
            <w:r>
              <w:rPr>
                <w:rFonts w:hint="eastAsia"/>
                <w:color w:val="auto"/>
                <w:szCs w:val="22"/>
                <w:lang w:eastAsia="zh-CN"/>
              </w:rPr>
              <w:t>任务与状态：用于集中展示设备基础信息，并实现设备运行状态、告警配置、业务记录的一体化管控。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Cs w:val="21"/>
                <w:highlight w:val="none"/>
                <w:lang w:eastAsia="zh-CN"/>
              </w:rPr>
            </w:pPr>
            <w:r>
              <w:rPr>
                <w:rFonts w:hint="eastAsia"/>
                <w:color w:val="auto"/>
                <w:szCs w:val="22"/>
                <w:lang w:eastAsia="zh-CN"/>
              </w:rPr>
              <w:t>运行记录：聚焦设备日常运维管理，实现设备点检、巡视、故障情况的标准化记录与统计分析。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bCs/>
                <w:szCs w:val="21"/>
                <w:highlight w:val="none"/>
                <w:lang w:eastAsia="zh-CN"/>
              </w:rPr>
            </w:pPr>
            <w:r>
              <w:rPr>
                <w:rFonts w:hint="eastAsia"/>
                <w:color w:val="auto"/>
                <w:szCs w:val="22"/>
                <w:lang w:eastAsia="zh-CN"/>
              </w:rPr>
              <w:t>试验程序管理：用于试验室验证试验程序的统一创建、管理与展示，</w:t>
            </w:r>
            <w:r>
              <w:rPr>
                <w:rFonts w:hint="eastAsia"/>
                <w:szCs w:val="22"/>
              </w:rPr>
              <w:t>具备</w:t>
            </w:r>
            <w:r>
              <w:rPr>
                <w:szCs w:val="22"/>
              </w:rPr>
              <w:t>程序</w:t>
            </w:r>
            <w:r>
              <w:rPr>
                <w:rFonts w:hint="eastAsia"/>
                <w:szCs w:val="22"/>
              </w:rPr>
              <w:t>版本管理</w:t>
            </w:r>
            <w:r>
              <w:rPr>
                <w:szCs w:val="22"/>
              </w:rPr>
              <w:t>、</w:t>
            </w:r>
            <w:r>
              <w:rPr>
                <w:rFonts w:hint="eastAsia"/>
                <w:szCs w:val="22"/>
              </w:rPr>
              <w:t>程序</w:t>
            </w:r>
            <w:r>
              <w:rPr>
                <w:szCs w:val="22"/>
              </w:rPr>
              <w:t>库</w:t>
            </w:r>
            <w:r>
              <w:rPr>
                <w:rFonts w:hint="eastAsia"/>
                <w:szCs w:val="22"/>
              </w:rPr>
              <w:t>管理（含</w:t>
            </w:r>
            <w:r>
              <w:rPr>
                <w:szCs w:val="22"/>
              </w:rPr>
              <w:t>入库审批</w:t>
            </w:r>
            <w:r>
              <w:rPr>
                <w:rFonts w:hint="eastAsia"/>
                <w:szCs w:val="22"/>
              </w:rPr>
              <w:t>流程</w:t>
            </w:r>
            <w:r>
              <w:rPr>
                <w:szCs w:val="22"/>
              </w:rPr>
              <w:t>）、</w:t>
            </w:r>
            <w:r>
              <w:rPr>
                <w:rFonts w:hint="eastAsia"/>
                <w:szCs w:val="22"/>
              </w:rPr>
              <w:t>程序</w:t>
            </w:r>
            <w:r>
              <w:rPr>
                <w:szCs w:val="22"/>
              </w:rPr>
              <w:t>上传、</w:t>
            </w:r>
            <w:r>
              <w:rPr>
                <w:rFonts w:hint="eastAsia"/>
                <w:szCs w:val="22"/>
              </w:rPr>
              <w:t>程序</w:t>
            </w:r>
            <w:r>
              <w:rPr>
                <w:szCs w:val="22"/>
              </w:rPr>
              <w:t>下载等功能</w:t>
            </w:r>
            <w:r>
              <w:rPr>
                <w:rFonts w:hint="eastAsia"/>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Cs w:val="21"/>
                <w:highlight w:val="none"/>
                <w:lang w:eastAsia="zh-CN"/>
              </w:rPr>
            </w:pPr>
            <w:r>
              <w:rPr>
                <w:rFonts w:hint="eastAsia"/>
                <w:color w:val="auto"/>
                <w:szCs w:val="22"/>
                <w:lang w:eastAsia="zh-CN"/>
              </w:rPr>
              <w:t>视频曲线监控：为设备运行实时监控模块，通过数据采集与可视化展示，对每台验证设备的运行状态、参数变化及工作工况进行在线监测，直观反映设备运行情况，为试验过程监管、异常及时处置提供可视化支撑，提升设备运行管理的实时性与直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.5</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szCs w:val="22"/>
                <w:highlight w:val="none"/>
                <w:lang w:eastAsia="zh-CN"/>
              </w:rPr>
            </w:pPr>
            <w:r>
              <w:rPr>
                <w:rFonts w:hint="eastAsia"/>
                <w:color w:val="000000"/>
                <w:szCs w:val="21"/>
                <w:lang w:val="en-US" w:eastAsia="zh-CN"/>
              </w:rPr>
              <w:t>将每台验证设备对应的操作手册以附件形式关联至对应设备档案中。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Cs w:val="21"/>
                <w:highlight w:val="none"/>
                <w:lang w:eastAsia="zh-CN"/>
              </w:rPr>
            </w:pPr>
            <w:r>
              <w:rPr>
                <w:rFonts w:hint="eastAsia"/>
                <w:b/>
                <w:bCs/>
                <w:color w:val="auto"/>
                <w:szCs w:val="22"/>
                <w:lang w:eastAsia="zh-CN"/>
              </w:rPr>
              <w:t>试验巡检管理：</w:t>
            </w:r>
            <w:r>
              <w:rPr>
                <w:rFonts w:hint="eastAsia"/>
                <w:color w:val="auto"/>
                <w:szCs w:val="22"/>
                <w:lang w:eastAsia="zh-CN"/>
              </w:rPr>
              <w:t>用于规范试验现场巡检工作、实现巡检过程标准化与可追溯化的重要功能模块。模块围绕巡检点位管理、巡检模板配置、巡检时间规划及巡检信息查询等核心业务场景进行设计，实现巡检工作全流程线上化管理，保障试验室试验环境、设备状态及现场安全巡检工作有序开展、有据可查。可根据买方要求，自动生成巡检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2"/>
                <w:highlight w:val="none"/>
              </w:rPr>
            </w:pPr>
            <w:r>
              <w:rPr>
                <w:rFonts w:hint="eastAsia"/>
                <w:b/>
                <w:bCs/>
                <w:szCs w:val="22"/>
              </w:rPr>
              <w:t>试验人员管理：</w:t>
            </w:r>
            <w:r>
              <w:rPr>
                <w:rFonts w:hint="eastAsia"/>
                <w:color w:val="auto"/>
                <w:szCs w:val="22"/>
                <w:lang w:val="en-US" w:eastAsia="zh-CN"/>
              </w:rPr>
              <w:t>实现对试验室试验人员信息的统一管理、人员排班规范化配置以及验证任务排程状态的可视化展示。模块围绕人员基础信息管理与日常排班管理两大核心业务构建，确保人员信息完整、排班规则清晰、任务执行责任明确，为试验室试验任务有序开展提供人员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2"/>
                <w:highlight w:val="none"/>
              </w:rPr>
            </w:pPr>
            <w:r>
              <w:rPr>
                <w:rFonts w:hint="eastAsia"/>
                <w:b/>
                <w:bCs/>
                <w:szCs w:val="22"/>
              </w:rPr>
              <w:t>试验产品管理：</w:t>
            </w:r>
            <w:r>
              <w:rPr>
                <w:rFonts w:hint="eastAsia"/>
                <w:color w:val="auto"/>
                <w:szCs w:val="22"/>
                <w:lang w:val="en-US" w:eastAsia="zh-CN"/>
              </w:rPr>
              <w:t>主要实现对试验产品基础信息的标准化建档、统一维护、精准查询与集中展示，确保试验产品信息规范、完整、可追溯，为后续验证任务创建、试验执行及数据归档提供统一的产品基础数据支撑。</w:t>
            </w:r>
            <w:r>
              <w:rPr>
                <w:szCs w:val="22"/>
              </w:rPr>
              <w:t>试验产品</w:t>
            </w:r>
            <w:r>
              <w:rPr>
                <w:rFonts w:hint="eastAsia"/>
                <w:szCs w:val="22"/>
              </w:rPr>
              <w:t>基础</w:t>
            </w:r>
            <w:r>
              <w:rPr>
                <w:szCs w:val="22"/>
              </w:rPr>
              <w:t>信息</w:t>
            </w:r>
            <w:r>
              <w:rPr>
                <w:rFonts w:hint="eastAsia"/>
                <w:szCs w:val="22"/>
              </w:rPr>
              <w:t>维护支持系统</w:t>
            </w:r>
            <w:r>
              <w:rPr>
                <w:szCs w:val="22"/>
              </w:rPr>
              <w:t>内创建与外部导入</w:t>
            </w:r>
            <w:r>
              <w:rPr>
                <w:rFonts w:hint="eastAsia"/>
                <w:szCs w:val="22"/>
              </w:rPr>
              <w:t>两种</w:t>
            </w:r>
            <w:r>
              <w:rPr>
                <w:szCs w:val="22"/>
              </w:rPr>
              <w:t>方式</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
                <w:szCs w:val="21"/>
                <w:highlight w:val="none"/>
              </w:rPr>
            </w:pPr>
            <w:r>
              <w:rPr>
                <w:rFonts w:hint="eastAsia" w:ascii="宋体" w:hAnsi="宋体"/>
                <w:b/>
                <w:szCs w:val="21"/>
              </w:rPr>
              <w:t>试验模板管理：</w:t>
            </w:r>
            <w:r>
              <w:rPr>
                <w:rFonts w:hint="eastAsia"/>
                <w:color w:val="auto"/>
                <w:szCs w:val="22"/>
                <w:lang w:val="en-US" w:eastAsia="zh-CN"/>
              </w:rPr>
              <w:t>实现试验过程标准化、记录规范化的核心支撑模块，用于统一管理试验过程中各类记录模板，确保试验记录格式统一、内容规范、归档完整。模块基于原有模板体系进行精简优化，包含试验过程记录表与性能测试表两类核心模板，聚焦试验室验证业务实际需求，实现模板全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5</w:t>
            </w:r>
            <w:r>
              <w:rPr>
                <w:rFonts w:hint="eastAsia" w:ascii="宋体" w:hAnsi="宋体"/>
                <w:szCs w:val="21"/>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
                <w:szCs w:val="21"/>
                <w:highlight w:val="none"/>
              </w:rPr>
            </w:pPr>
            <w:r>
              <w:rPr>
                <w:rFonts w:hint="eastAsia" w:ascii="宋体" w:hAnsi="宋体"/>
                <w:b w:val="0"/>
                <w:bCs/>
                <w:szCs w:val="21"/>
              </w:rPr>
              <w:t>试验过程记录表：</w:t>
            </w:r>
            <w:r>
              <w:rPr>
                <w:rFonts w:hint="eastAsia"/>
                <w:szCs w:val="22"/>
              </w:rPr>
              <w:t>记录试验前、</w:t>
            </w:r>
            <w:r>
              <w:rPr>
                <w:rFonts w:hint="eastAsia"/>
                <w:szCs w:val="22"/>
                <w:lang w:eastAsia="zh-CN"/>
              </w:rPr>
              <w:t>试验前复核、</w:t>
            </w:r>
            <w:r>
              <w:rPr>
                <w:rFonts w:hint="eastAsia"/>
                <w:szCs w:val="22"/>
              </w:rPr>
              <w:t>试验中、试验后</w:t>
            </w:r>
            <w:r>
              <w:rPr>
                <w:rFonts w:hint="eastAsia"/>
                <w:szCs w:val="22"/>
                <w:lang w:eastAsia="zh-CN"/>
              </w:rPr>
              <w:t>、试验后复核</w:t>
            </w:r>
            <w:r>
              <w:rPr>
                <w:rFonts w:hint="eastAsia"/>
                <w:szCs w:val="22"/>
              </w:rPr>
              <w:t>全流程信息。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5</w:t>
            </w:r>
            <w:r>
              <w:rPr>
                <w:rFonts w:hint="eastAsia" w:ascii="宋体" w:hAnsi="宋体"/>
                <w:szCs w:val="21"/>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val="0"/>
                <w:bCs w:val="0"/>
                <w:szCs w:val="21"/>
              </w:rPr>
              <w:t>性能测试表：</w:t>
            </w:r>
            <w:r>
              <w:rPr>
                <w:rFonts w:hint="eastAsia" w:ascii="宋体" w:hAnsi="宋体"/>
                <w:szCs w:val="21"/>
              </w:rPr>
              <w:t>由产品主管发起验证申请时提供，</w:t>
            </w:r>
            <w:r>
              <w:rPr>
                <w:rFonts w:hint="eastAsia"/>
                <w:szCs w:val="22"/>
              </w:rPr>
              <w:t>提供后统一归档至此模块。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试验项目管理</w:t>
            </w:r>
            <w:r>
              <w:rPr>
                <w:rFonts w:hint="eastAsia" w:ascii="宋体" w:hAnsi="宋体"/>
                <w:szCs w:val="21"/>
              </w:rPr>
              <w:t>：</w:t>
            </w:r>
            <w:r>
              <w:rPr>
                <w:rFonts w:hint="eastAsia"/>
                <w:color w:val="auto"/>
                <w:szCs w:val="22"/>
                <w:lang w:val="en-US" w:eastAsia="zh-CN"/>
              </w:rPr>
              <w:t>实现对各类验证试验项目的标准化建档、分类管理、信息维护与快速查询，为试验任务规划、排程执行及过程管控提供统一的项目基础数据支撑。模块支持试验项目信息新增、多维度查询、项目分类扩展及模板关联配置，实现试验项目全流程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rPr>
                <w:rFonts w:hint="eastAsia" w:ascii="宋体" w:hAnsi="宋体"/>
                <w:b/>
                <w:bCs/>
                <w:szCs w:val="21"/>
              </w:rPr>
              <w:t>试验标准管理</w:t>
            </w:r>
            <w:r>
              <w:rPr>
                <w:rFonts w:hint="eastAsia" w:ascii="宋体" w:hAnsi="宋体"/>
                <w:b/>
                <w:bCs/>
                <w:szCs w:val="21"/>
                <w:lang w:eastAsia="zh-CN"/>
              </w:rPr>
              <w:t>：</w:t>
            </w:r>
            <w:r>
              <w:rPr>
                <w:lang w:val="en-US"/>
              </w:rPr>
              <w:t>实现对各类试验标准文件的统一建档、规范管理、查询检索与集中展示，确保试验执行依据合规、标准统一、版本可控，为验证试验开展、试验过程管控及报告编制提供权威、准确的标准支撑。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8</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b/>
                <w:szCs w:val="21"/>
                <w:highlight w:val="none"/>
              </w:rPr>
            </w:pPr>
            <w:r>
              <w:rPr>
                <w:rFonts w:hint="eastAsia"/>
                <w:b/>
                <w:bCs/>
                <w:szCs w:val="22"/>
                <w:lang w:val="en-US" w:eastAsia="zh-CN"/>
              </w:rPr>
              <w:t>试验报告模板管理：</w:t>
            </w:r>
            <w:r>
              <w:rPr>
                <w:szCs w:val="22"/>
                <w:lang w:val="en-US"/>
              </w:rPr>
              <w:t>用于试验报告模板的统一创建、集中管理与可视化展示，确保试验报告格式规范、内容统一、归档有序，为试验报告编制、审核及归档提供标准化模板支撑。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w:t>
            </w:r>
            <w:r>
              <w:rPr>
                <w:rFonts w:hint="eastAsia" w:ascii="宋体" w:hAnsi="宋体"/>
                <w:szCs w:val="21"/>
                <w:lang w:val="en-US" w:eastAsia="zh-CN"/>
              </w:rPr>
              <w:t>3</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szCs w:val="21"/>
                <w:highlight w:val="none"/>
              </w:rPr>
            </w:pPr>
            <w:r>
              <w:rPr>
                <w:rFonts w:hint="eastAsia" w:ascii="宋体" w:hAnsi="宋体"/>
                <w:b/>
                <w:bCs/>
                <w:szCs w:val="21"/>
              </w:rPr>
              <w:t>任务管理模块：</w:t>
            </w:r>
            <w:r>
              <w:rPr>
                <w:lang w:val="en-US"/>
              </w:rPr>
              <w:t>主要负责验证任务的创建、规划、</w:t>
            </w:r>
            <w:r>
              <w:rPr>
                <w:rFonts w:hint="eastAsia"/>
                <w:lang w:val="en-US" w:eastAsia="zh-CN"/>
              </w:rPr>
              <w:t>排程</w:t>
            </w:r>
            <w:r>
              <w:rPr>
                <w:lang w:val="en-US"/>
              </w:rPr>
              <w:t>、执行、完成与报告编制等全流程管理</w:t>
            </w:r>
            <w:r>
              <w:rPr>
                <w:rFonts w:hint="eastAsia"/>
                <w:lang w:val="en-US" w:eastAsia="zh-CN"/>
              </w:rPr>
              <w:t>，</w:t>
            </w:r>
            <w:r>
              <w:rPr>
                <w:szCs w:val="22"/>
                <w:lang w:val="en-US"/>
              </w:rPr>
              <w:t>形成任务创建、项目规划及任务排程、任务排程确认、任务执行、试验完成五大核心步骤，实现验证任务全流程简洁高效、权责清晰、闭环可控，进一步提升任务管理规范化与执行效率。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.1</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szCs w:val="21"/>
                <w:highlight w:val="none"/>
                <w:lang w:eastAsia="zh-CN"/>
              </w:rPr>
            </w:pPr>
            <w:r>
              <w:rPr>
                <w:rFonts w:hint="eastAsia" w:ascii="宋体" w:hAnsi="宋体"/>
                <w:b/>
                <w:bCs/>
                <w:szCs w:val="21"/>
              </w:rPr>
              <w:t>任务创建</w:t>
            </w:r>
            <w:r>
              <w:rPr>
                <w:rFonts w:hint="eastAsia" w:ascii="宋体" w:hAnsi="宋体"/>
                <w:b/>
                <w:bCs/>
                <w:szCs w:val="21"/>
                <w:lang w:eastAsia="zh-CN"/>
              </w:rPr>
              <w:t>：</w:t>
            </w:r>
            <w:r>
              <w:rPr>
                <w:lang w:val="en-US"/>
              </w:rPr>
              <w:t>任务创建由计划调度员负责，支持 OA导入或平台手动创建两种方式</w:t>
            </w:r>
            <w:r>
              <w:rPr>
                <w:rFonts w:hint="eastAsia"/>
                <w:lang w:val="en-US" w:eastAsia="zh-CN"/>
              </w:rPr>
              <w:t>，</w:t>
            </w:r>
            <w:r>
              <w:rPr>
                <w:lang w:val="en-US"/>
              </w:rPr>
              <w:t>系统对任务表单进行结构化优化，分为基本信息、大纲信息、产品信息三部分。</w:t>
            </w:r>
            <w:r>
              <w:rPr>
                <w:rFonts w:hint="eastAsia" w:eastAsia="宋体"/>
                <w:sz w:val="21"/>
                <w:lang w:val="en-US" w:eastAsia="zh-CN"/>
              </w:rPr>
              <w:t>原则上所有验证</w:t>
            </w:r>
            <w:r>
              <w:rPr>
                <w:rFonts w:hint="eastAsia"/>
                <w:sz w:val="21"/>
                <w:lang w:val="en-US" w:eastAsia="zh-CN"/>
              </w:rPr>
              <w:t>任务</w:t>
            </w:r>
            <w:r>
              <w:rPr>
                <w:rFonts w:hint="eastAsia" w:eastAsia="宋体"/>
                <w:sz w:val="21"/>
                <w:lang w:val="en-US" w:eastAsia="zh-CN"/>
              </w:rPr>
              <w:t>均来源于</w:t>
            </w:r>
            <w:r>
              <w:rPr>
                <w:rFonts w:hint="eastAsia"/>
                <w:sz w:val="21"/>
                <w:lang w:val="en-US" w:eastAsia="zh-CN"/>
              </w:rPr>
              <w:t>买方OA</w:t>
            </w:r>
            <w:r>
              <w:rPr>
                <w:rFonts w:hint="eastAsia" w:eastAsia="宋体"/>
                <w:sz w:val="21"/>
                <w:lang w:val="en-US" w:eastAsia="zh-CN"/>
              </w:rPr>
              <w:t>系统导入，但系统保留验证工程师在系统中手动创建验证</w:t>
            </w:r>
            <w:r>
              <w:rPr>
                <w:rFonts w:hint="eastAsia"/>
                <w:sz w:val="21"/>
                <w:lang w:val="en-US" w:eastAsia="zh-CN"/>
              </w:rPr>
              <w:t>任务</w:t>
            </w:r>
            <w:r>
              <w:rPr>
                <w:rFonts w:hint="eastAsia" w:eastAsia="宋体"/>
                <w:sz w:val="21"/>
                <w:lang w:val="en-US" w:eastAsia="zh-CN"/>
              </w:rPr>
              <w:t>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b/>
                <w:bCs/>
              </w:rPr>
              <w:t>项目规划及任务排程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.2.1</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szCs w:val="21"/>
                <w:highlight w:val="none"/>
              </w:rPr>
            </w:pPr>
            <w:r>
              <w:t>项目规划：</w:t>
            </w:r>
            <w:r>
              <w:rPr>
                <w:szCs w:val="22"/>
                <w:lang w:val="en-US"/>
              </w:rPr>
              <w:t>项目规划模块由验证工程师负责操作，是验证任务执行前的核心配置环节，主要用于明确试验执行要素、规范试验实施依据、统一任务基础信息，确保后续试验</w:t>
            </w:r>
            <w:r>
              <w:rPr>
                <w:rFonts w:hint="eastAsia"/>
                <w:szCs w:val="22"/>
                <w:lang w:val="en-US" w:eastAsia="zh-CN"/>
              </w:rPr>
              <w:t>排程</w:t>
            </w:r>
            <w:r>
              <w:rPr>
                <w:szCs w:val="22"/>
                <w:lang w:val="en-US"/>
              </w:rPr>
              <w:t>、执行、记录及报告生成有据可依、标准统一。模块通过信息自动关联、字段优化精简及时间精度提升，实现项目规划高效、准确、规范。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.2.2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szCs w:val="21"/>
                <w:highlight w:val="none"/>
                <w:lang w:eastAsia="zh-CN"/>
              </w:rPr>
            </w:pPr>
            <w:r>
              <w:t>任务排程：</w:t>
            </w:r>
            <w:r>
              <w:rPr>
                <w:rFonts w:hint="eastAsia"/>
                <w:lang w:eastAsia="zh-CN"/>
              </w:rPr>
              <w:t>需综合考虑试验室人员排班情况、验证设备运行状态、试验项目标准执行时长等多维度约束条件，实现基于人员在岗、设备可用、试验周期的智能化、合理化、规范化排程，确保任务排程科学有序、资源匹配精准、执行计划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Arial"/>
                <w:szCs w:val="21"/>
                <w:highlight w:val="none"/>
              </w:rPr>
            </w:pPr>
            <w:r>
              <w:rPr>
                <w:b/>
                <w:bCs/>
              </w:rPr>
              <w:t>任务排程确认</w:t>
            </w:r>
            <w:r>
              <w:rPr>
                <w:rFonts w:hint="eastAsia"/>
                <w:b/>
                <w:bCs/>
              </w:rPr>
              <w:t>：</w:t>
            </w:r>
            <w:r>
              <w:t>由</w:t>
            </w:r>
            <w:r>
              <w:rPr>
                <w:rFonts w:hint="eastAsia"/>
                <w:lang w:eastAsia="zh-CN"/>
              </w:rPr>
              <w:t>主管领导</w:t>
            </w:r>
            <w:r>
              <w:t>确认验证工程师提交的排程结果。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.4</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szCs w:val="21"/>
                <w:highlight w:val="none"/>
                <w:lang w:eastAsia="zh-CN"/>
              </w:rPr>
            </w:pPr>
            <w:r>
              <w:rPr>
                <w:b/>
                <w:bCs/>
              </w:rPr>
              <w:t>任务执行</w:t>
            </w:r>
            <w:r>
              <w:rPr>
                <w:rFonts w:hint="eastAsia"/>
                <w:b/>
                <w:bCs/>
                <w:lang w:eastAsia="zh-CN"/>
              </w:rPr>
              <w:t>：</w:t>
            </w:r>
            <w:r>
              <w:rPr>
                <w:rFonts w:hint="eastAsia"/>
                <w:sz w:val="21"/>
                <w:szCs w:val="21"/>
                <w:lang w:val="en-US" w:eastAsia="zh-CN"/>
              </w:rPr>
              <w:t>实现样品接收、试验过程管控、性能测试及结果复核等全流程规范化管理。为贴合试验室实际作业模式，本模块采用线下纸质记录+事后线上录入的管理模式，确保试验过程真实可追溯、操作便捷高效、数据规范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.4.1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t>样品接收管理：</w:t>
            </w:r>
            <w:r>
              <w:rPr>
                <w:rFonts w:hint="eastAsia"/>
                <w:sz w:val="21"/>
                <w:szCs w:val="21"/>
                <w:lang w:val="en-US" w:eastAsia="zh-CN"/>
              </w:rPr>
              <w:t>由验证工程师负责开展。试验样品送达试验室后，验证工程师依据任务信息对样品（型.号、数量、状态、标识）、测试设备等信息进行人工核对与核验，确认样品信息准确无误、符合试验要求后，在系统中完成样品确认操作，同步更新任务执行状态，为后续试验开展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w:t>
            </w:r>
            <w:r>
              <w:rPr>
                <w:rFonts w:hint="eastAsia" w:ascii="宋体" w:hAnsi="宋体"/>
                <w:szCs w:val="21"/>
              </w:rPr>
              <w:t>.4.2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t>试验过程执行</w:t>
            </w:r>
            <w:r>
              <w:rPr>
                <w:rFonts w:hint="eastAsia"/>
              </w:rPr>
              <w:t>：</w:t>
            </w:r>
            <w:r>
              <w:t>采用线下纸质记录+事后线上录入模式</w:t>
            </w:r>
            <w:r>
              <w:rPr>
                <w:rFonts w:hint="eastAsia"/>
                <w:lang w:eastAsia="zh-CN"/>
              </w:rPr>
              <w:t>，具备</w:t>
            </w:r>
            <w:r>
              <w:t>设备启动/停止功能以自动记录运行时长</w:t>
            </w:r>
            <w:r>
              <w:rPr>
                <w:rFonts w:hint="eastAsia"/>
                <w:lang w:eastAsia="zh-CN"/>
              </w:rPr>
              <w:t>。</w:t>
            </w:r>
            <w:r>
              <w:t>试验过程记录表涵盖全阶段内容</w:t>
            </w:r>
            <w:r>
              <w:rPr>
                <w:rFonts w:hint="eastAsia"/>
                <w:lang w:eastAsia="zh-CN"/>
              </w:rPr>
              <w:t>（试验前、试验前复核、试验中、试验后、试验后复核）。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w:t>
            </w:r>
            <w:r>
              <w:rPr>
                <w:rFonts w:hint="eastAsia" w:ascii="宋体" w:hAnsi="宋体"/>
                <w:szCs w:val="21"/>
              </w:rPr>
              <w:t>.4.3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szCs w:val="21"/>
                <w:highlight w:val="none"/>
                <w:lang w:eastAsia="zh-CN"/>
              </w:rPr>
            </w:pPr>
            <w:r>
              <w:t>性能测试管理：</w:t>
            </w:r>
            <w:r>
              <w:rPr>
                <w:rFonts w:hint="eastAsia"/>
                <w:lang w:eastAsia="zh-CN"/>
              </w:rPr>
              <w:t>模块涵盖性能测试与测试复核两大功能环节。测试人员需先通过纸质形式填写性能记录表，记录测试数据与结果，待测试完成后再统一录入系统，实现测试过程可追溯，测试结果可复核。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highlight w:val="none"/>
                <w:lang w:eastAsia="zh-CN"/>
              </w:rPr>
            </w:pPr>
            <w:r>
              <w:rPr>
                <w:rFonts w:hint="eastAsia"/>
                <w:b/>
                <w:bCs/>
                <w:lang w:eastAsia="zh-CN"/>
              </w:rPr>
              <w:t>试验中断管理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5.1</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highlight w:val="none"/>
              </w:rPr>
            </w:pPr>
            <w:r>
              <w:rPr>
                <w:rFonts w:hint="eastAsia"/>
                <w:sz w:val="21"/>
                <w:szCs w:val="21"/>
                <w:lang w:val="en-US" w:eastAsia="zh-CN"/>
              </w:rPr>
              <w:t>若试验过程中出现产品异常、设备故障等情况，验证工程师可在系统审批处置模块中发起试验中断申请，实现试验异常上报、审批、处置、记录全流程线上管理，保障试验过程安全、可控、可追溯。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5.2</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highlight w:val="none"/>
              </w:rPr>
            </w:pPr>
            <w:r>
              <w:rPr>
                <w:rFonts w:hint="eastAsia"/>
                <w:szCs w:val="22"/>
                <w:lang w:val="en-US" w:eastAsia="zh-CN"/>
              </w:rPr>
              <w:t>设备故障处置规则：</w:t>
            </w:r>
            <w:r>
              <w:rPr>
                <w:rFonts w:hint="eastAsia"/>
                <w:sz w:val="21"/>
                <w:szCs w:val="21"/>
                <w:lang w:val="en-US" w:eastAsia="zh-CN"/>
              </w:rPr>
              <w:t>试验过程中发现设备故障时，需执行试验中断。设备故障分为三种处置场景：第一种，设备故障恢复后，可选择继续试验或重新开始试验。第二种，更换能实现相同试验环境的设备后，可选择继续试验或重新开始试验。第三种，当前设备故障后，验证工程师发起试验变更，调整试验执行顺序与对应设备，先执行其他试验，待该项目条件满足后再执行此试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5.3</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highlight w:val="none"/>
              </w:rPr>
            </w:pPr>
            <w:r>
              <w:rPr>
                <w:rFonts w:hint="eastAsia"/>
                <w:sz w:val="21"/>
                <w:szCs w:val="21"/>
                <w:lang w:val="en-US" w:eastAsia="zh-CN"/>
              </w:rPr>
              <w:t>试验中断后，若选择重新开始，第一次执行完成的数据作为历史数据留存，当前正常执行的数据（需与历史数据区分）纳入报告。若选择继续试验，则不存在历史数据，以暂停前、恢复后的全部数据作为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5.4</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宋体"/>
                <w:highlight w:val="none"/>
                <w:lang w:eastAsia="zh-CN"/>
              </w:rPr>
            </w:pPr>
            <w:r>
              <w:rPr>
                <w:rFonts w:hint="eastAsia"/>
                <w:lang w:eastAsia="zh-CN"/>
              </w:rPr>
              <w:t>产品故障处置规则：</w:t>
            </w:r>
            <w:r>
              <w:rPr>
                <w:rFonts w:hint="eastAsia"/>
                <w:sz w:val="21"/>
                <w:szCs w:val="21"/>
                <w:lang w:val="en-US" w:eastAsia="zh-CN"/>
              </w:rPr>
              <w:t>试验过程中发现产品故障时，需要进行试验中断。故障恢复后可，可选择继续执行该项目或重新执行该项目。若选择重新执行，则可从之前执行过的试验项目开始全部重新执行。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5.5</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highlight w:val="none"/>
              </w:rPr>
            </w:pPr>
            <w:r>
              <w:rPr>
                <w:rFonts w:hint="eastAsia"/>
                <w:sz w:val="21"/>
                <w:szCs w:val="21"/>
                <w:lang w:val="en-US" w:eastAsia="zh-CN"/>
              </w:rPr>
              <w:t>已执行过的数据作为历史数据留存，本次正常执行的数据纳入报告（含历史数据）。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5.6</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 w:val="21"/>
                <w:szCs w:val="21"/>
                <w:highlight w:val="none"/>
                <w:lang w:val="en-US" w:eastAsia="zh-CN"/>
              </w:rPr>
            </w:pPr>
            <w:r>
              <w:rPr>
                <w:rFonts w:hint="eastAsia"/>
                <w:szCs w:val="22"/>
                <w:lang w:val="en-US" w:eastAsia="zh-CN"/>
              </w:rPr>
              <w:t>试验任务暂停</w:t>
            </w:r>
            <w:r>
              <w:rPr>
                <w:rFonts w:hint="eastAsia"/>
                <w:sz w:val="21"/>
                <w:szCs w:val="21"/>
                <w:lang w:val="en-US" w:eastAsia="zh-CN"/>
              </w:rPr>
              <w:t>：试验过程中可对整个试验任务进行暂停，任务暂停后，解除对所有资源的占用；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5.7</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 w:val="21"/>
                <w:szCs w:val="21"/>
                <w:highlight w:val="none"/>
                <w:lang w:val="en-US" w:eastAsia="zh-CN"/>
              </w:rPr>
            </w:pPr>
            <w:r>
              <w:rPr>
                <w:rFonts w:hint="eastAsia"/>
                <w:sz w:val="21"/>
                <w:szCs w:val="21"/>
                <w:lang w:val="en-US" w:eastAsia="zh-CN"/>
              </w:rPr>
              <w:t>恢复后，前面的已执行的项目保留，并支持修改人员、设备等信息；未执行项目可以实现整体顺延方式，并需要人进行判定是否接受任务重叠，若接受，则正常顺延，若不接受，需要单项调整设备及人员。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b/>
                <w:bCs/>
              </w:rPr>
              <w:t>试验完成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8.3.4.3.6</w:t>
            </w:r>
            <w:r>
              <w:rPr>
                <w:rFonts w:hint="eastAsia" w:ascii="宋体" w:hAnsi="宋体"/>
                <w:szCs w:val="21"/>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t>试验报告自动生成：调用资源管理模块的报告模板，一键生成初稿，关联试验数据、产品信息、设备信息等。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8.3.4.3.6</w:t>
            </w:r>
            <w:r>
              <w:rPr>
                <w:rFonts w:hint="eastAsia" w:ascii="宋体" w:hAnsi="宋体"/>
                <w:szCs w:val="21"/>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t>试验报告编制与归档审批：验证工程师完善初稿后提交至审批处置模块，完成审核、复核、批准及归档。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8.3.4.3.6</w:t>
            </w:r>
            <w:r>
              <w:rPr>
                <w:rFonts w:hint="eastAsia" w:ascii="宋体" w:hAnsi="宋体"/>
                <w:szCs w:val="21"/>
              </w:rPr>
              <w:t>.3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t>试验样机归档通知：报告提交审批后，系统触发通知，</w:t>
            </w:r>
            <w:r>
              <w:rPr>
                <w:rFonts w:hint="eastAsia"/>
                <w:lang w:eastAsia="zh-CN"/>
              </w:rPr>
              <w:t>由计划调度员</w:t>
            </w:r>
            <w:r>
              <w:t>告知产品主管取回样机</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w:t>
            </w:r>
            <w:r>
              <w:rPr>
                <w:rFonts w:hint="eastAsia" w:ascii="宋体" w:hAnsi="宋体"/>
                <w:szCs w:val="21"/>
                <w:lang w:val="en-US" w:eastAsia="zh-CN"/>
              </w:rPr>
              <w:t>4</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szCs w:val="21"/>
                <w:highlight w:val="none"/>
                <w:lang w:eastAsia="zh-CN"/>
              </w:rPr>
            </w:pPr>
            <w:r>
              <w:rPr>
                <w:b/>
                <w:bCs/>
              </w:rPr>
              <w:t>数据大屏模块</w:t>
            </w:r>
            <w:r>
              <w:rPr>
                <w:rFonts w:hint="eastAsia"/>
                <w:b/>
                <w:bCs/>
                <w:lang w:eastAsia="zh-CN"/>
              </w:rPr>
              <w:t>：</w:t>
            </w:r>
            <w:r>
              <w:rPr>
                <w:rFonts w:hint="eastAsia"/>
                <w:szCs w:val="22"/>
                <w:lang w:eastAsia="zh-CN"/>
              </w:rPr>
              <w:t>通过多屏联动、动态数据刷新、分类统计呈现等方式，实现对试验室验证业务运行状态、设备资源使用情况、项目执行进度及重点任务的集中监控。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8.3.4.4.1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eastAsia="宋体"/>
                <w:highlight w:val="none"/>
                <w:lang w:eastAsia="zh-CN"/>
              </w:rPr>
            </w:pPr>
            <w:r>
              <w:rPr>
                <w:rFonts w:hint="eastAsia"/>
                <w:lang w:eastAsia="zh-CN"/>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8.3.4.4.1</w:t>
            </w:r>
            <w:r>
              <w:rPr>
                <w:rFonts w:hint="eastAsia" w:ascii="宋体" w:hAnsi="宋体"/>
                <w:szCs w:val="21"/>
                <w:lang w:val="en-US" w:eastAsia="zh-CN"/>
              </w:rPr>
              <w:t>.1</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highlight w:val="none"/>
                <w:lang w:eastAsia="zh-CN"/>
              </w:rPr>
            </w:pPr>
            <w:r>
              <w:rPr>
                <w:rFonts w:hint="eastAsia"/>
                <w:szCs w:val="22"/>
                <w:lang w:val="en-US" w:eastAsia="zh-CN"/>
              </w:rPr>
              <w:t>实时性：关键数据自动刷新，确保展示信息与业务状态一致。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8.3.4.4.1</w:t>
            </w:r>
            <w:r>
              <w:rPr>
                <w:rFonts w:hint="eastAsia" w:ascii="宋体" w:hAnsi="宋体"/>
                <w:szCs w:val="21"/>
                <w:lang w:val="en-US" w:eastAsia="zh-CN"/>
              </w:rPr>
              <w:t>.2</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highlight w:val="none"/>
                <w:lang w:eastAsia="zh-CN"/>
              </w:rPr>
            </w:pPr>
            <w:r>
              <w:rPr>
                <w:rFonts w:hint="eastAsia"/>
                <w:szCs w:val="22"/>
                <w:lang w:val="en-US" w:eastAsia="zh-CN"/>
              </w:rPr>
              <w:t>可视化：采用图表、颜色区分、列表可视化等方式，使数据更易理解。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8.3.4.4.1</w:t>
            </w:r>
            <w:r>
              <w:rPr>
                <w:rFonts w:hint="eastAsia" w:ascii="宋体" w:hAnsi="宋体"/>
                <w:szCs w:val="21"/>
                <w:lang w:val="en-US" w:eastAsia="zh-CN"/>
              </w:rPr>
              <w:t>.3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highlight w:val="none"/>
                <w:lang w:eastAsia="zh-CN"/>
              </w:rPr>
            </w:pPr>
            <w:r>
              <w:rPr>
                <w:rFonts w:hint="eastAsia"/>
                <w:szCs w:val="22"/>
                <w:lang w:val="en-US" w:eastAsia="zh-CN"/>
              </w:rPr>
              <w:t>追溯性：支持点击查看详细任务、设备或人员信息，实现数据深度查询。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8.3.4.4.1</w:t>
            </w:r>
            <w:r>
              <w:rPr>
                <w:rFonts w:hint="eastAsia" w:ascii="宋体" w:hAnsi="宋体"/>
                <w:szCs w:val="21"/>
                <w:lang w:val="en-US" w:eastAsia="zh-CN"/>
              </w:rPr>
              <w:t>.4</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highlight w:val="none"/>
                <w:lang w:eastAsia="zh-CN"/>
              </w:rPr>
            </w:pPr>
            <w:r>
              <w:rPr>
                <w:rFonts w:hint="eastAsia"/>
                <w:szCs w:val="22"/>
                <w:lang w:val="en-US" w:eastAsia="zh-CN"/>
              </w:rPr>
              <w:t>统一管理：多屏联动，信息互补，全面覆盖试验室业务监控需求。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w:t>
            </w:r>
            <w:r>
              <w:rPr>
                <w:rFonts w:hint="eastAsia" w:ascii="宋体" w:hAnsi="宋体"/>
                <w:szCs w:val="21"/>
              </w:rPr>
              <w:t>.</w:t>
            </w:r>
            <w:r>
              <w:rPr>
                <w:rFonts w:hint="eastAsia" w:ascii="宋体" w:hAnsi="宋体"/>
                <w:szCs w:val="21"/>
                <w:lang w:val="en-US" w:eastAsia="zh-CN"/>
              </w:rPr>
              <w:t>5</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szCs w:val="21"/>
                <w:highlight w:val="none"/>
              </w:rPr>
            </w:pPr>
            <w:r>
              <w:rPr>
                <w:b/>
                <w:bCs/>
              </w:rPr>
              <w:t>数据统计模块</w:t>
            </w:r>
            <w:r>
              <w:rPr>
                <w:rFonts w:hint="eastAsia"/>
                <w:b/>
                <w:bCs/>
              </w:rPr>
              <w:t>：</w:t>
            </w:r>
            <w:r>
              <w:rPr>
                <w:rFonts w:hint="eastAsia"/>
                <w:szCs w:val="22"/>
                <w:lang w:val="en-US" w:eastAsia="zh-CN"/>
              </w:rPr>
              <w:t>主要围绕验证任务、成本结算、试验报告、设备资源及试验人员等关键维度进行多维度统计、分析与可视化展示。模块通过数据汇总、智能统计、多维查询及导出功能，实现试验室验证业务运行情况、资源使用效率及成本管控的全面量化分析，为管理决策提供数据支撑，模块包含：</w:t>
            </w:r>
            <w:r>
              <w:rPr>
                <w:rFonts w:hint="eastAsia"/>
                <w:b w:val="0"/>
                <w:bCs w:val="0"/>
                <w:szCs w:val="22"/>
                <w:lang w:val="en-US" w:eastAsia="zh-CN"/>
              </w:rPr>
              <w:t>任务统计、成本结算统计、试验报告统计、设备统计、人员统计五大核心功能。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8.3.4.5</w:t>
            </w:r>
            <w:r>
              <w:rPr>
                <w:rFonts w:hint="eastAsia" w:ascii="宋体" w:hAnsi="宋体"/>
                <w:szCs w:val="21"/>
                <w:lang w:val="en-US" w:eastAsia="zh-CN"/>
              </w:rPr>
              <w:t>.1</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宋体"/>
                <w:b/>
                <w:bCs/>
                <w:highlight w:val="none"/>
                <w:lang w:eastAsia="zh-CN"/>
              </w:rPr>
            </w:pPr>
            <w:r>
              <w:rPr>
                <w:rFonts w:hint="eastAsia"/>
                <w:b w:val="0"/>
                <w:bCs w:val="0"/>
                <w:lang w:eastAsia="zh-CN"/>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8.3.4.5</w:t>
            </w:r>
            <w:r>
              <w:rPr>
                <w:rFonts w:hint="eastAsia" w:ascii="宋体" w:hAnsi="宋体"/>
                <w:szCs w:val="21"/>
                <w:lang w:val="en-US" w:eastAsia="zh-CN"/>
              </w:rPr>
              <w:t>.1.1</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val="en-US" w:eastAsia="zh-CN"/>
              </w:rPr>
              <w:t>数据全面化：覆盖任务、成本、报告、设备、人员五大核心统计维度。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8.3.4.5</w:t>
            </w:r>
            <w:r>
              <w:rPr>
                <w:rFonts w:hint="eastAsia" w:ascii="宋体" w:hAnsi="宋体"/>
                <w:szCs w:val="21"/>
                <w:lang w:val="en-US" w:eastAsia="zh-CN"/>
              </w:rPr>
              <w:t>.1.2</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val="en-US" w:eastAsia="zh-CN"/>
              </w:rPr>
              <w:t>查询便捷化：提供多条件组合查询，支持数据导出与外部引用。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8.3.4.5</w:t>
            </w:r>
            <w:r>
              <w:rPr>
                <w:rFonts w:hint="eastAsia" w:ascii="宋体" w:hAnsi="宋体"/>
                <w:szCs w:val="21"/>
                <w:lang w:val="en-US" w:eastAsia="zh-CN"/>
              </w:rPr>
              <w:t>.1.3</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val="en-US" w:eastAsia="zh-CN"/>
              </w:rPr>
              <w:t>决策支撑化：通过数据统计与分析，呈现业务运行态势与资源使用效率。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8.3.4.5</w:t>
            </w:r>
            <w:r>
              <w:rPr>
                <w:rFonts w:hint="eastAsia" w:ascii="宋体" w:hAnsi="宋体"/>
                <w:szCs w:val="21"/>
                <w:lang w:val="en-US" w:eastAsia="zh-CN"/>
              </w:rPr>
              <w:t>.1.4</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val="en-US" w:eastAsia="zh-CN"/>
              </w:rPr>
              <w:t>管理透明化：实现试验业务、设备资源、人员成本的量化管理与数据追溯。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b/>
                <w:bCs/>
              </w:rPr>
              <w:t>系统管理模块</w:t>
            </w:r>
            <w:r>
              <w:rPr>
                <w:rFonts w:hint="eastAsia"/>
                <w:b/>
                <w:bCs/>
              </w:rPr>
              <w:t>：</w:t>
            </w:r>
            <w:r>
              <w:rPr>
                <w:rFonts w:hint="eastAsia"/>
                <w:lang w:eastAsia="zh-CN"/>
              </w:rPr>
              <w:t>负责平台整体架构配置、权限体系管控、用户信息维护及系统基础参数设置，为平台稳定运行、权限安全、业务规范化提供底层保障。模块包含部门管理、菜单管理、角色管理、用户管理、系统设置五大核心功能，实现平台组织架构、权限体系、菜单结构、用户信息及展示配置的统一管理与灵活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8.3.4.6</w:t>
            </w:r>
            <w:r>
              <w:rPr>
                <w:rFonts w:hint="eastAsia" w:ascii="宋体" w:hAnsi="宋体"/>
                <w:szCs w:val="21"/>
                <w:lang w:val="en-US" w:eastAsia="zh-CN"/>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highlight w:val="none"/>
                <w:lang w:eastAsia="zh-CN"/>
              </w:rPr>
            </w:pPr>
            <w:r>
              <w:rPr>
                <w:rFonts w:hint="eastAsia"/>
                <w:b w:val="0"/>
                <w:bCs w:val="0"/>
                <w:lang w:eastAsia="zh-CN"/>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bCs/>
                <w:highlight w:val="none"/>
              </w:rPr>
            </w:pPr>
            <w:r>
              <w:rPr>
                <w:rFonts w:hint="eastAsia"/>
                <w:szCs w:val="22"/>
                <w:lang w:eastAsia="zh-CN"/>
              </w:rPr>
              <w:t>构建标准化、层级化的组织架构，实现部门管理规范化。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.1.2</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建立统一、灵活、可扩展的菜单体系，适配业务功能迭代。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.1.3</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形成权责清晰、分级管控的角色权限体系，保障平台安全运行。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.1.4</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实现用户信息统一管理、精准赋权，确保操作可追溯、责任可落实。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.1.5</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Cs w:val="22"/>
                <w:highlight w:val="none"/>
                <w:lang w:eastAsia="zh-CN"/>
              </w:rPr>
            </w:pPr>
            <w:r>
              <w:rPr>
                <w:rFonts w:hint="eastAsia"/>
                <w:szCs w:val="22"/>
                <w:lang w:eastAsia="zh-CN"/>
              </w:rPr>
              <w:t>支持重点任务与大屏展示个性化配置，提升平台管理效能与可视化水平。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8.3.4.7</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szCs w:val="21"/>
                <w:highlight w:val="none"/>
              </w:rPr>
            </w:pPr>
            <w:r>
              <w:rPr>
                <w:b/>
                <w:bCs/>
              </w:rPr>
              <w:t>审批处置模块</w:t>
            </w:r>
            <w:r>
              <w:rPr>
                <w:rFonts w:hint="eastAsia"/>
                <w:b/>
                <w:bCs/>
              </w:rPr>
              <w:t>：</w:t>
            </w:r>
            <w:r>
              <w:rPr>
                <w:rFonts w:hint="eastAsia"/>
                <w:lang w:eastAsia="zh-CN"/>
              </w:rPr>
              <w:t>主要负责试验业务流程中的异常中断、模板升版、返工处理及试验报告审批等核心环节的线上化与规范化管理。模块通过流程追溯、权限审批、节点管控等功能，确保试验室验证业务在执行过程中出现异常、版本变更或质量管控时，能够有序、合规、可追溯地完成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8.3.4.7</w:t>
            </w:r>
            <w:r>
              <w:rPr>
                <w:rFonts w:hint="eastAsia" w:ascii="宋体" w:hAnsi="宋体"/>
                <w:szCs w:val="21"/>
                <w:lang w:val="en-US" w:eastAsia="zh-CN"/>
              </w:rPr>
              <w:t>.1</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宋体"/>
                <w:b/>
                <w:bCs/>
                <w:highlight w:val="none"/>
                <w:lang w:eastAsia="zh-CN"/>
              </w:rPr>
            </w:pPr>
            <w:r>
              <w:rPr>
                <w:rFonts w:hint="eastAsia"/>
                <w:b w:val="0"/>
                <w:bCs w:val="0"/>
                <w:lang w:eastAsia="zh-CN"/>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.1.1</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规范流程：统一中断、升版、返工、报告审批流程，实现处置标准化。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.1.2</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全程可追溯：所有处置动作、审批记录、变更内容均留痕可查。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.1.3</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保障质量：通过审批与复核机制，确保试验过程与报告质量合规。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.1.4</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提升效率：线上化流程协同，减少人工沟通，加快处置与审批速度。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.1.5</w:t>
            </w:r>
          </w:p>
        </w:tc>
        <w:tc>
          <w:tcPr>
            <w:tcW w:w="7654"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支持管控：为试验室质量管理、流程优化及合规审计提供数据基础。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8.3.4.8</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b/>
                <w:bCs/>
              </w:rPr>
              <w:t>产品运行数据挖掘与趋势分析模块</w:t>
            </w:r>
            <w:r>
              <w:rPr>
                <w:rFonts w:hint="eastAsia"/>
                <w:b/>
                <w:bCs/>
              </w:rPr>
              <w:t>：</w:t>
            </w:r>
            <w:r>
              <w:t>包含分析算法库管理、验证数据对比分析、验证数据专业化分析三个子模块。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分析算法库管理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.1.1</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分析算法管理：系统构建一个完善的验证分析算法库管理模块，具备全面的算法管理功能，涵盖分类、查询、添加、删除及更新等操作，确保算法资源的有效管理与利用。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.1.2</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算法分类管理：系统支持通过树状方式，对系统内已有的各类算法进行分类管理，包括分类树管理、分类属性管理、分类数据检索等功能。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.1.3</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分析算法调用：系统支持接口调用系统分析算法，支持并行计算和分布式计算，支持实时分析功能。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.1.4</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算法结构集成：系统支持算法注册与集成功能、算法管理、算法调用于执行等功能，预留如大数据模型嵌入接口。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.2</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.2.1</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多组数据对比：系统支持参数选择、参数时间同步、时间平移、纵向缩放等管理功能，支持对多组验证数据进行对比，包括同一批次的纵向（例如不同版本）和横向（如常温、振动、高低温）验证数据的比对，以及不同批次的数据对比，同时根据对比结果提供曲线图展示功能，提供全面、深入的数据分析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.2.2</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历史数据对比：系统支持</w:t>
            </w:r>
            <w:r>
              <w:rPr>
                <w:rFonts w:ascii="宋体" w:hAnsi="宋体"/>
                <w:szCs w:val="21"/>
              </w:rPr>
              <w:t>用户</w:t>
            </w:r>
            <w:r>
              <w:rPr>
                <w:rFonts w:hint="eastAsia" w:ascii="宋体" w:hAnsi="宋体"/>
                <w:szCs w:val="21"/>
              </w:rPr>
              <w:t>自行</w:t>
            </w:r>
            <w:r>
              <w:rPr>
                <w:rFonts w:ascii="宋体" w:hAnsi="宋体"/>
                <w:szCs w:val="21"/>
              </w:rPr>
              <w:t>增加特征参数或统计信息</w:t>
            </w:r>
            <w:r>
              <w:rPr>
                <w:rFonts w:hint="eastAsia" w:ascii="宋体" w:hAnsi="宋体"/>
                <w:szCs w:val="21"/>
              </w:rPr>
              <w:t>，提供连续时间上的曲线显示，同时将信息存储至数据库中，可作为参数选择后展示。系统能够针对同一验证项目、验证特性和验证任务，进行历次验证的统计、结果比对、数据比对以及趋势分析等工作，根据对比结果提供曲线图展示功能，有助于揭示验证数据的变化规律和趋势，为后续的改进和优化提供有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rPr>
              <w:t>*</w:t>
            </w:r>
            <w:r>
              <w:rPr>
                <w:rFonts w:hint="eastAsia" w:ascii="宋体" w:hAnsi="宋体"/>
                <w:color w:val="000000"/>
                <w:szCs w:val="21"/>
                <w:lang w:eastAsia="zh-CN"/>
              </w:rPr>
              <w:t>8.3.4.8</w:t>
            </w:r>
            <w:r>
              <w:rPr>
                <w:rFonts w:hint="eastAsia" w:ascii="宋体" w:hAnsi="宋体"/>
                <w:szCs w:val="21"/>
              </w:rPr>
              <w:t>.2.3</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数据分析图形化：</w:t>
            </w:r>
            <w:r>
              <w:rPr>
                <w:rFonts w:ascii="宋体" w:hAnsi="宋体"/>
                <w:szCs w:val="21"/>
              </w:rPr>
              <w:t>系统的</w:t>
            </w:r>
            <w:r>
              <w:rPr>
                <w:rFonts w:hint="eastAsia" w:ascii="宋体" w:hAnsi="宋体"/>
                <w:szCs w:val="21"/>
              </w:rPr>
              <w:t>验证</w:t>
            </w:r>
            <w:r>
              <w:rPr>
                <w:rFonts w:ascii="宋体" w:hAnsi="宋体"/>
                <w:szCs w:val="21"/>
              </w:rPr>
              <w:t>数据分析模块提供多种常用的图形绘制功能，包括柱状图、饼图、区域图、云图等，</w:t>
            </w:r>
            <w:r>
              <w:rPr>
                <w:rFonts w:hint="eastAsia" w:ascii="宋体" w:hAnsi="宋体"/>
                <w:szCs w:val="21"/>
              </w:rPr>
              <w:t>支持数据量</w:t>
            </w:r>
            <w:r>
              <w:rPr>
                <w:rFonts w:hint="eastAsia" w:ascii="宋体" w:hAnsi="宋体"/>
                <w:szCs w:val="21"/>
                <w:lang w:eastAsia="zh-CN"/>
              </w:rPr>
              <w:t>≥</w:t>
            </w:r>
            <w:r>
              <w:rPr>
                <w:rFonts w:hint="eastAsia" w:ascii="宋体" w:hAnsi="宋体"/>
                <w:szCs w:val="21"/>
              </w:rPr>
              <w:t>100万时自动缩放、避免故障点被隐藏、放大固定区域功能，用户可使用不同类型的图以及选择筛选条件适配相应的数据分析需求，根据不同分析图的特点展示试验数据的分析结果，</w:t>
            </w:r>
            <w:r>
              <w:rPr>
                <w:rFonts w:ascii="宋体" w:hAnsi="宋体"/>
                <w:szCs w:val="21"/>
              </w:rPr>
              <w:t>直观清晰地展示和分析</w:t>
            </w:r>
            <w:r>
              <w:rPr>
                <w:rFonts w:hint="eastAsia" w:ascii="宋体" w:hAnsi="宋体"/>
                <w:szCs w:val="21"/>
              </w:rPr>
              <w:t>验证</w:t>
            </w:r>
            <w:r>
              <w:rPr>
                <w:rFonts w:ascii="宋体" w:hAnsi="宋体"/>
                <w:szCs w:val="21"/>
              </w:rPr>
              <w:t>数据</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.2.4</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自定义算法集成：系统具备集成用户自定义算法的能力，支持调用算法库中的算法来对验证数据进行分析，并且能够将分析结果以图形化的形式进行展示，增强了数据分析的灵活性和可视化效果。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.3</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数据专业化分析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.3.1</w:t>
            </w:r>
          </w:p>
        </w:tc>
        <w:tc>
          <w:tcPr>
            <w:tcW w:w="7654" w:type="dxa"/>
            <w:vAlign w:val="top"/>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数据推测预测分析：系统支持依据验证数据及验证场景进行关联，能够提供特征参数工况趋势的监控与回归预测（开放算法管理功能，后续用户可自行更改调整），</w:t>
            </w:r>
            <w:r>
              <w:rPr>
                <w:rFonts w:ascii="宋体" w:hAnsi="宋体"/>
                <w:szCs w:val="21"/>
              </w:rPr>
              <w:t>以实现更加精准和全面的数据</w:t>
            </w:r>
            <w:r>
              <w:rPr>
                <w:rFonts w:hint="eastAsia" w:ascii="宋体" w:hAnsi="宋体"/>
                <w:szCs w:val="21"/>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color w:val="000000"/>
                <w:szCs w:val="21"/>
                <w:lang w:eastAsia="zh-CN"/>
              </w:rPr>
              <w:t>8.3.4</w:t>
            </w:r>
            <w:r>
              <w:rPr>
                <w:rFonts w:hint="eastAsia" w:ascii="宋体" w:hAnsi="宋体"/>
                <w:color w:val="000000"/>
                <w:szCs w:val="21"/>
              </w:rPr>
              <w:t>.</w:t>
            </w:r>
            <w:r>
              <w:rPr>
                <w:rFonts w:hint="eastAsia" w:ascii="宋体" w:hAnsi="宋体"/>
                <w:color w:val="000000"/>
                <w:szCs w:val="21"/>
                <w:lang w:val="en-US" w:eastAsia="zh-CN"/>
              </w:rPr>
              <w:t>9</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信息</w:t>
            </w:r>
            <w:r>
              <w:rPr>
                <w:rFonts w:ascii="宋体" w:hAnsi="宋体"/>
                <w:b/>
                <w:szCs w:val="21"/>
              </w:rPr>
              <w:t>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cs="Arial"/>
                <w:szCs w:val="21"/>
                <w:highlight w:val="none"/>
                <w:lang w:eastAsia="zh-CN"/>
              </w:rPr>
            </w:pPr>
            <w:r>
              <w:rPr>
                <w:rFonts w:hint="eastAsia" w:ascii="宋体" w:hAnsi="宋体"/>
                <w:b/>
                <w:bCs/>
                <w:szCs w:val="21"/>
              </w:rPr>
              <w:t>与</w:t>
            </w:r>
            <w:r>
              <w:rPr>
                <w:rFonts w:hint="eastAsia" w:ascii="宋体" w:hAnsi="宋体"/>
                <w:b/>
                <w:bCs/>
                <w:szCs w:val="21"/>
                <w:lang w:eastAsia="zh-CN"/>
              </w:rPr>
              <w:t>买方</w:t>
            </w:r>
            <w:r>
              <w:rPr>
                <w:rFonts w:hint="eastAsia"/>
                <w:b/>
                <w:bCs/>
              </w:rPr>
              <w:t>试验检测过程控制管理平台</w:t>
            </w:r>
            <w:r>
              <w:rPr>
                <w:rFonts w:hint="eastAsia" w:ascii="宋体" w:hAnsi="宋体"/>
                <w:b/>
                <w:bCs/>
                <w:szCs w:val="21"/>
              </w:rPr>
              <w:t>集成</w:t>
            </w:r>
            <w:r>
              <w:rPr>
                <w:rFonts w:hint="eastAsia" w:ascii="宋体" w:hAnsi="宋体"/>
                <w:b/>
                <w:bCs/>
                <w:szCs w:val="21"/>
                <w:lang w:eastAsia="zh-CN"/>
              </w:rPr>
              <w:t>：</w:t>
            </w:r>
            <w:r>
              <w:rPr>
                <w:rFonts w:hint="eastAsia" w:ascii="宋体" w:hAnsi="宋体"/>
                <w:szCs w:val="21"/>
              </w:rPr>
              <w:t>系统预留与需方已有试验检测过程控制管理平台对接接口，用于二次开发和统一管控。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szCs w:val="21"/>
                <w:highlight w:val="none"/>
                <w:lang w:eastAsia="zh-CN"/>
              </w:rPr>
            </w:pPr>
            <w:r>
              <w:rPr>
                <w:rFonts w:hint="eastAsia" w:ascii="宋体" w:hAnsi="宋体"/>
                <w:b/>
                <w:bCs/>
                <w:szCs w:val="21"/>
              </w:rPr>
              <w:t>与</w:t>
            </w:r>
            <w:r>
              <w:rPr>
                <w:rFonts w:hint="eastAsia" w:ascii="宋体" w:hAnsi="宋体"/>
                <w:b/>
                <w:bCs/>
                <w:szCs w:val="21"/>
                <w:lang w:eastAsia="zh-CN"/>
              </w:rPr>
              <w:t>买方</w:t>
            </w:r>
            <w:r>
              <w:rPr>
                <w:rFonts w:hint="eastAsia"/>
                <w:b/>
                <w:bCs/>
              </w:rPr>
              <w:t>大数据嵌入接口</w:t>
            </w:r>
            <w:r>
              <w:rPr>
                <w:rFonts w:hint="eastAsia" w:ascii="宋体" w:hAnsi="宋体"/>
                <w:b/>
                <w:bCs/>
                <w:szCs w:val="21"/>
              </w:rPr>
              <w:t>集成</w:t>
            </w:r>
            <w:r>
              <w:rPr>
                <w:rFonts w:hint="eastAsia" w:ascii="宋体" w:hAnsi="宋体"/>
                <w:b/>
                <w:bCs/>
                <w:szCs w:val="21"/>
                <w:lang w:eastAsia="zh-CN"/>
              </w:rPr>
              <w:t>：</w:t>
            </w:r>
            <w:r>
              <w:rPr>
                <w:rFonts w:hint="eastAsia" w:ascii="宋体" w:hAnsi="宋体"/>
                <w:szCs w:val="21"/>
              </w:rPr>
              <w:t>系统预留大数据模型嵌入接口，用于大数据模型算法嵌入及开发。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rFonts w:hint="eastAsia" w:ascii="宋体" w:hAnsi="宋体"/>
                <w:b/>
                <w:bCs/>
                <w:szCs w:val="21"/>
              </w:rPr>
              <w:t>与数据采集系统集成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3</w:t>
            </w:r>
            <w:r>
              <w:rPr>
                <w:rFonts w:hint="eastAsia" w:ascii="宋体" w:hAnsi="宋体"/>
                <w:color w:val="000000"/>
                <w:szCs w:val="21"/>
              </w:rPr>
              <w:t>.1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lang w:eastAsia="zh-CN"/>
              </w:rPr>
              <w:t>试验</w:t>
            </w:r>
            <w:r>
              <w:rPr>
                <w:rFonts w:hint="eastAsia" w:ascii="宋体" w:hAnsi="宋体"/>
                <w:szCs w:val="21"/>
              </w:rPr>
              <w:t>室验证执行系统接口开发：接收来源于数据采集系统的验证过程数据。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3</w:t>
            </w:r>
            <w:r>
              <w:rPr>
                <w:rFonts w:hint="eastAsia" w:ascii="宋体" w:hAnsi="宋体"/>
                <w:color w:val="000000"/>
                <w:szCs w:val="21"/>
              </w:rPr>
              <w:t>.2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数据采集系统集成</w:t>
            </w:r>
            <w:r>
              <w:rPr>
                <w:rFonts w:hint="eastAsia" w:ascii="宋体" w:hAnsi="宋体"/>
                <w:szCs w:val="21"/>
                <w:lang w:eastAsia="zh-CN"/>
              </w:rPr>
              <w:t>：</w:t>
            </w:r>
            <w:r>
              <w:rPr>
                <w:rFonts w:hint="eastAsia" w:ascii="宋体" w:hAnsi="宋体"/>
                <w:szCs w:val="21"/>
              </w:rPr>
              <w:t>上传验证过程数据。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rPr>
              <w:t>8.4</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数据采集系统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1"/>
                <w:highlight w:val="none"/>
              </w:rPr>
            </w:pPr>
            <w:r>
              <w:rPr>
                <w:rFonts w:hint="eastAsia" w:ascii="宋体" w:hAnsi="宋体"/>
                <w:color w:val="000000"/>
                <w:szCs w:val="21"/>
              </w:rPr>
              <w:t>8.4.</w:t>
            </w:r>
            <w:r>
              <w:rPr>
                <w:rFonts w:hint="eastAsia" w:ascii="宋体" w:hAnsi="宋体"/>
                <w:color w:val="000000"/>
                <w:szCs w:val="21"/>
                <w:lang w:val="en-US" w:eastAsia="zh-CN"/>
              </w:rPr>
              <w:t>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b/>
                <w:szCs w:val="21"/>
                <w:highlight w:val="none"/>
                <w:lang w:eastAsia="zh-CN"/>
              </w:rPr>
            </w:pPr>
            <w:r>
              <w:rPr>
                <w:rFonts w:hint="eastAsia" w:ascii="宋体" w:hAnsi="宋体"/>
                <w:b/>
                <w:szCs w:val="21"/>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8.4.</w:t>
            </w:r>
            <w:r>
              <w:rPr>
                <w:rFonts w:hint="eastAsia" w:ascii="宋体" w:hAnsi="宋体"/>
                <w:color w:val="000000"/>
                <w:szCs w:val="21"/>
                <w:lang w:val="en-US" w:eastAsia="zh-CN"/>
              </w:rPr>
              <w:t>1.1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对验证设备数据全面采集，被采集的设备均为买方提供的现有设备。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8.4.</w:t>
            </w:r>
            <w:r>
              <w:rPr>
                <w:rFonts w:hint="eastAsia" w:ascii="宋体" w:hAnsi="宋体"/>
                <w:color w:val="000000"/>
                <w:szCs w:val="21"/>
                <w:lang w:val="en-US" w:eastAsia="zh-CN"/>
              </w:rPr>
              <w:t>1.2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支持自动采集、单次导入、批次导入、人工录入等多种采集模式。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rPr>
              <w:t>*</w:t>
            </w:r>
            <w:r>
              <w:rPr>
                <w:rFonts w:hint="eastAsia" w:ascii="宋体" w:hAnsi="宋体"/>
                <w:color w:val="000000"/>
                <w:szCs w:val="21"/>
              </w:rPr>
              <w:t>8.4.</w:t>
            </w:r>
            <w:r>
              <w:rPr>
                <w:rFonts w:hint="eastAsia" w:ascii="宋体" w:hAnsi="宋体"/>
                <w:color w:val="000000"/>
                <w:szCs w:val="21"/>
                <w:lang w:val="en-US" w:eastAsia="zh-CN"/>
              </w:rPr>
              <w:t>1.3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支持采集频率配置功能，支持</w:t>
            </w:r>
            <w:r>
              <w:rPr>
                <w:rFonts w:hint="eastAsia" w:ascii="宋体" w:hAnsi="宋体"/>
                <w:szCs w:val="21"/>
                <w:lang w:eastAsia="zh-CN"/>
              </w:rPr>
              <w:t>≥</w:t>
            </w:r>
            <w:r>
              <w:rPr>
                <w:rFonts w:hint="eastAsia" w:ascii="宋体" w:hAnsi="宋体"/>
                <w:szCs w:val="21"/>
              </w:rPr>
              <w:t>100Hz的采集频率。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8.4.</w:t>
            </w:r>
            <w:r>
              <w:rPr>
                <w:rFonts w:hint="eastAsia" w:ascii="宋体" w:hAnsi="宋体"/>
                <w:color w:val="000000"/>
                <w:szCs w:val="21"/>
                <w:lang w:val="en-US" w:eastAsia="zh-CN"/>
              </w:rPr>
              <w:t>1.4</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支持结构化数据（</w:t>
            </w:r>
            <w:r>
              <w:rPr>
                <w:rFonts w:hint="eastAsia"/>
                <w:szCs w:val="21"/>
              </w:rPr>
              <w:t>不限于CSV、TXT等格式</w:t>
            </w:r>
            <w:r>
              <w:rPr>
                <w:rFonts w:hint="eastAsia" w:ascii="宋体" w:hAnsi="宋体"/>
                <w:szCs w:val="21"/>
              </w:rPr>
              <w:t>）、半结构化数据（不限于JSON、XML、HTML等格式）、</w:t>
            </w:r>
            <w:r>
              <w:rPr>
                <w:rFonts w:hint="eastAsia"/>
                <w:szCs w:val="21"/>
              </w:rPr>
              <w:t>非结构化数据（不限于文本数据、图片等）</w:t>
            </w:r>
            <w:r>
              <w:rPr>
                <w:rFonts w:hint="eastAsia" w:ascii="宋体" w:hAnsi="宋体"/>
                <w:szCs w:val="21"/>
              </w:rPr>
              <w:t>的存储、查看</w:t>
            </w:r>
            <w:r>
              <w:rPr>
                <w:rFonts w:ascii="宋体" w:hAnsi="宋体"/>
                <w:szCs w:val="21"/>
              </w:rPr>
              <w:t>与</w:t>
            </w:r>
            <w:r>
              <w:rPr>
                <w:rFonts w:hint="eastAsia" w:ascii="宋体" w:hAnsi="宋体"/>
                <w:szCs w:val="21"/>
              </w:rPr>
              <w:t>归档管理。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8.4.</w:t>
            </w:r>
            <w:r>
              <w:rPr>
                <w:rFonts w:hint="eastAsia" w:ascii="宋体" w:hAnsi="宋体"/>
                <w:color w:val="000000"/>
                <w:szCs w:val="21"/>
                <w:lang w:val="en-US" w:eastAsia="zh-CN"/>
              </w:rPr>
              <w:t>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rFonts w:hint="eastAsia" w:ascii="宋体" w:hAnsi="宋体"/>
                <w:b/>
                <w:bCs/>
                <w:szCs w:val="21"/>
              </w:rPr>
              <w:t>设备接口</w:t>
            </w:r>
            <w:r>
              <w:rPr>
                <w:rFonts w:ascii="宋体" w:hAnsi="宋体"/>
                <w:b/>
                <w:bCs/>
                <w:szCs w:val="21"/>
              </w:rPr>
              <w:t>验证程序：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1"/>
                <w:highlight w:val="none"/>
                <w:lang w:val="en-US"/>
              </w:rPr>
            </w:pPr>
            <w:r>
              <w:rPr>
                <w:rFonts w:hint="eastAsia" w:ascii="宋体" w:hAnsi="宋体"/>
                <w:color w:val="000000"/>
                <w:szCs w:val="21"/>
              </w:rPr>
              <w:t>8.4.</w:t>
            </w:r>
            <w:r>
              <w:rPr>
                <w:rFonts w:hint="eastAsia" w:ascii="宋体" w:hAnsi="宋体"/>
                <w:color w:val="000000"/>
                <w:szCs w:val="21"/>
                <w:lang w:val="en-US" w:eastAsia="zh-CN"/>
              </w:rPr>
              <w:t>2.1</w:t>
            </w:r>
          </w:p>
        </w:tc>
        <w:tc>
          <w:tcPr>
            <w:tcW w:w="7654"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szCs w:val="21"/>
                <w:highlight w:val="none"/>
              </w:rPr>
            </w:pPr>
            <w:r>
              <w:rPr>
                <w:rFonts w:hint="eastAsia" w:ascii="宋体" w:hAnsi="宋体"/>
                <w:szCs w:val="21"/>
              </w:rPr>
              <w:t>支持</w:t>
            </w:r>
            <w:r>
              <w:rPr>
                <w:rFonts w:ascii="宋体" w:hAnsi="宋体"/>
                <w:szCs w:val="21"/>
              </w:rPr>
              <w:t>连接</w:t>
            </w:r>
            <w:r>
              <w:rPr>
                <w:rFonts w:hint="eastAsia" w:ascii="宋体" w:hAnsi="宋体"/>
                <w:szCs w:val="21"/>
              </w:rPr>
              <w:t>不同</w:t>
            </w:r>
            <w:r>
              <w:rPr>
                <w:rFonts w:ascii="宋体" w:hAnsi="宋体"/>
                <w:szCs w:val="21"/>
              </w:rPr>
              <w:t>类型的设备和系统，</w:t>
            </w:r>
            <w:r>
              <w:rPr>
                <w:rFonts w:hint="eastAsia" w:ascii="宋体" w:hAnsi="宋体"/>
                <w:szCs w:val="21"/>
              </w:rPr>
              <w:t>包括</w:t>
            </w:r>
            <w:r>
              <w:rPr>
                <w:rFonts w:ascii="宋体" w:hAnsi="宋体"/>
                <w:szCs w:val="21"/>
              </w:rPr>
              <w:t>传感器、仪器仪表、</w:t>
            </w:r>
            <w:r>
              <w:rPr>
                <w:rFonts w:hint="eastAsia" w:ascii="宋体" w:hAnsi="宋体"/>
                <w:szCs w:val="21"/>
              </w:rPr>
              <w:t>PLC等。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1"/>
                <w:highlight w:val="none"/>
                <w:lang w:val="en-US"/>
              </w:rPr>
            </w:pPr>
            <w:r>
              <w:rPr>
                <w:rFonts w:hint="eastAsia" w:ascii="宋体" w:hAnsi="宋体"/>
                <w:color w:val="000000"/>
                <w:szCs w:val="21"/>
              </w:rPr>
              <w:t>8.4.</w:t>
            </w:r>
            <w:r>
              <w:rPr>
                <w:rFonts w:hint="eastAsia" w:ascii="宋体" w:hAnsi="宋体"/>
                <w:color w:val="000000"/>
                <w:szCs w:val="21"/>
                <w:lang w:val="en-US" w:eastAsia="zh-CN"/>
              </w:rPr>
              <w:t>2.2</w:t>
            </w:r>
          </w:p>
        </w:tc>
        <w:tc>
          <w:tcPr>
            <w:tcW w:w="7654"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szCs w:val="21"/>
                <w:highlight w:val="none"/>
              </w:rPr>
            </w:pPr>
            <w:r>
              <w:rPr>
                <w:rFonts w:ascii="宋体" w:hAnsi="宋体"/>
                <w:szCs w:val="21"/>
              </w:rPr>
              <w:t>支持</w:t>
            </w:r>
            <w:r>
              <w:rPr>
                <w:rFonts w:hint="eastAsia" w:ascii="宋体" w:hAnsi="宋体"/>
                <w:szCs w:val="21"/>
              </w:rPr>
              <w:t>各类常用工控协议，程序</w:t>
            </w:r>
            <w:r>
              <w:rPr>
                <w:rFonts w:ascii="宋体" w:hAnsi="宋体"/>
                <w:szCs w:val="21"/>
              </w:rPr>
              <w:t>可独立运行</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1"/>
                <w:highlight w:val="none"/>
                <w:lang w:val="en-US"/>
              </w:rPr>
            </w:pPr>
            <w:r>
              <w:rPr>
                <w:rFonts w:hint="eastAsia" w:ascii="宋体" w:hAnsi="宋体"/>
                <w:color w:val="000000"/>
                <w:szCs w:val="21"/>
              </w:rPr>
              <w:t>8.4.</w:t>
            </w:r>
            <w:r>
              <w:rPr>
                <w:rFonts w:hint="eastAsia" w:ascii="宋体" w:hAnsi="宋体"/>
                <w:color w:val="000000"/>
                <w:szCs w:val="21"/>
                <w:lang w:val="en-US" w:eastAsia="zh-CN"/>
              </w:rPr>
              <w:t>2.3</w:t>
            </w:r>
          </w:p>
        </w:tc>
        <w:tc>
          <w:tcPr>
            <w:tcW w:w="7654"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szCs w:val="21"/>
                <w:highlight w:val="none"/>
              </w:rPr>
            </w:pPr>
            <w:r>
              <w:rPr>
                <w:rFonts w:hint="eastAsia" w:ascii="宋体" w:hAnsi="宋体"/>
                <w:szCs w:val="21"/>
              </w:rPr>
              <w:t>支持</w:t>
            </w:r>
            <w:r>
              <w:rPr>
                <w:rFonts w:ascii="宋体" w:hAnsi="宋体"/>
                <w:szCs w:val="21"/>
              </w:rPr>
              <w:t>从多个设备和系统中采集数据</w:t>
            </w:r>
            <w:r>
              <w:rPr>
                <w:rFonts w:hint="eastAsia" w:ascii="宋体" w:hAnsi="宋体"/>
                <w:szCs w:val="21"/>
              </w:rPr>
              <w:t>，满足</w:t>
            </w:r>
            <w:r>
              <w:rPr>
                <w:rFonts w:ascii="宋体" w:hAnsi="宋体"/>
                <w:szCs w:val="21"/>
              </w:rPr>
              <w:t>数据集成和分析需求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rPr>
              <w:t>8.4.3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w:t>
            </w:r>
            <w:r>
              <w:rPr>
                <w:rFonts w:ascii="宋体" w:hAnsi="宋体"/>
                <w:szCs w:val="21"/>
              </w:rPr>
              <w:t>系统集成涉及的</w:t>
            </w:r>
            <w:r>
              <w:rPr>
                <w:rFonts w:hint="eastAsia" w:ascii="宋体" w:hAnsi="宋体"/>
                <w:szCs w:val="21"/>
              </w:rPr>
              <w:t>所有</w:t>
            </w:r>
            <w:r>
              <w:rPr>
                <w:rFonts w:ascii="宋体" w:hAnsi="宋体"/>
                <w:szCs w:val="21"/>
              </w:rPr>
              <w:t>接口开发</w:t>
            </w:r>
            <w:r>
              <w:rPr>
                <w:rFonts w:hint="eastAsia" w:ascii="宋体" w:hAnsi="宋体"/>
                <w:szCs w:val="21"/>
              </w:rPr>
              <w:t>与</w:t>
            </w:r>
            <w:r>
              <w:rPr>
                <w:rFonts w:ascii="宋体" w:hAnsi="宋体"/>
                <w:szCs w:val="21"/>
              </w:rPr>
              <w:t>采集硬件由</w:t>
            </w:r>
            <w:r>
              <w:rPr>
                <w:rFonts w:hint="eastAsia" w:ascii="宋体" w:hAnsi="宋体"/>
                <w:szCs w:val="21"/>
              </w:rPr>
              <w:t>卖方</w:t>
            </w:r>
            <w:r>
              <w:rPr>
                <w:rFonts w:ascii="宋体" w:hAnsi="宋体"/>
                <w:szCs w:val="21"/>
              </w:rPr>
              <w:t>负责，不应产生其他任何费用。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rPr>
              <w:t>8.4.4</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lang w:eastAsia="zh-CN"/>
              </w:rPr>
              <w:t>试验</w:t>
            </w:r>
            <w:r>
              <w:rPr>
                <w:rFonts w:hint="eastAsia" w:ascii="宋体" w:hAnsi="宋体"/>
                <w:szCs w:val="21"/>
              </w:rPr>
              <w:t>室设备</w:t>
            </w:r>
            <w:r>
              <w:rPr>
                <w:rFonts w:ascii="宋体" w:hAnsi="宋体"/>
                <w:szCs w:val="21"/>
              </w:rPr>
              <w:t>工位</w:t>
            </w:r>
            <w:r>
              <w:rPr>
                <w:rFonts w:hint="eastAsia" w:ascii="宋体" w:hAnsi="宋体"/>
                <w:szCs w:val="21"/>
                <w:lang w:eastAsia="zh-CN"/>
              </w:rPr>
              <w:t>共</w:t>
            </w:r>
            <w:r>
              <w:rPr>
                <w:rFonts w:hint="eastAsia" w:ascii="宋体" w:hAnsi="宋体"/>
                <w:szCs w:val="21"/>
                <w:lang w:val="en-US" w:eastAsia="zh-CN"/>
              </w:rPr>
              <w:t>13</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rPr>
              <w:t>8.4.5</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szCs w:val="21"/>
              </w:rPr>
            </w:pPr>
            <w:r>
              <w:rPr>
                <w:rFonts w:ascii="宋体" w:hAnsi="宋体"/>
                <w:szCs w:val="21"/>
              </w:rPr>
              <w:t>已有</w:t>
            </w:r>
            <w:r>
              <w:rPr>
                <w:rFonts w:hint="eastAsia" w:ascii="宋体" w:hAnsi="宋体"/>
                <w:szCs w:val="21"/>
              </w:rPr>
              <w:t>设备清单如下：</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XXX验证平台1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XXX验证平台2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XXX验证平台3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XXX验证平台4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XXX验证平台5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XXX验证平台6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XXX验证平台7 1套</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XXX验证平台8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XXX验证平台9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XXX验证平台10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XXX验证平台11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XXX验证平台12 1台</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ind w:left="880" w:leftChars="0" w:firstLine="210" w:firstLineChars="100"/>
              <w:textAlignment w:val="auto"/>
              <w:rPr>
                <w:rFonts w:ascii="宋体" w:hAnsi="宋体"/>
                <w:szCs w:val="21"/>
                <w:highlight w:val="none"/>
              </w:rPr>
            </w:pPr>
            <w:r>
              <w:rPr>
                <w:rFonts w:hint="eastAsia" w:ascii="宋体" w:hAnsi="宋体"/>
                <w:szCs w:val="21"/>
              </w:rPr>
              <w:t>XXX验证平台13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rPr>
              <w:t>8.5</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rFonts w:hint="eastAsia" w:ascii="宋体" w:hAnsi="宋体"/>
                <w:b/>
                <w:szCs w:val="21"/>
              </w:rPr>
              <w:t>数据采集要求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color w:val="000000"/>
                <w:szCs w:val="21"/>
              </w:rPr>
              <w:t>8.5.1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b/>
                <w:szCs w:val="21"/>
                <w:highlight w:val="none"/>
                <w:lang w:eastAsia="zh-CN"/>
              </w:rPr>
            </w:pPr>
            <w:r>
              <w:rPr>
                <w:rFonts w:hint="eastAsia" w:ascii="宋体" w:hAnsi="宋体"/>
                <w:b/>
                <w:szCs w:val="21"/>
              </w:rPr>
              <w:t>设备工位专用数据采集要求</w:t>
            </w:r>
            <w:r>
              <w:rPr>
                <w:rFonts w:hint="eastAsia" w:ascii="宋体" w:hAnsi="宋体"/>
                <w:b/>
                <w:szCs w:val="21"/>
                <w:lang w:eastAsia="zh-CN"/>
              </w:rPr>
              <w:t>：</w:t>
            </w:r>
            <w:r>
              <w:rPr>
                <w:rFonts w:hint="eastAsia" w:ascii="宋体" w:hAnsi="宋体"/>
                <w:szCs w:val="21"/>
              </w:rPr>
              <w:t>支持自动数据采集和手动数据导入功能。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color w:val="000000"/>
                <w:szCs w:val="21"/>
              </w:rPr>
              <w:t>8.5.</w:t>
            </w:r>
            <w:r>
              <w:rPr>
                <w:rFonts w:hint="eastAsia" w:ascii="宋体" w:hAnsi="宋体"/>
                <w:color w:val="000000"/>
                <w:szCs w:val="21"/>
                <w:lang w:val="en-US" w:eastAsia="zh-CN"/>
              </w:rPr>
              <w:t>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b/>
                <w:szCs w:val="21"/>
                <w:highlight w:val="none"/>
                <w:lang w:eastAsia="zh-CN"/>
              </w:rPr>
            </w:pPr>
            <w:r>
              <w:rPr>
                <w:rFonts w:hint="eastAsia" w:ascii="宋体" w:hAnsi="宋体"/>
                <w:b/>
                <w:szCs w:val="21"/>
                <w:lang w:eastAsia="zh-CN"/>
              </w:rPr>
              <w:t>需采集数据的验证设备信息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w:t>
            </w:r>
            <w:r>
              <w:rPr>
                <w:rFonts w:hint="eastAsia" w:ascii="宋体" w:hAnsi="宋体"/>
                <w:color w:val="000000" w:themeColor="text1"/>
                <w:szCs w:val="21"/>
                <w14:textFill>
                  <w14:solidFill>
                    <w14:schemeClr w14:val="tx1"/>
                  </w14:solidFill>
                </w14:textFill>
              </w:rPr>
              <w:t>压力、温度、脉冲曲线。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w:t>
            </w:r>
            <w:r>
              <w:rPr>
                <w:rFonts w:hint="eastAsia" w:ascii="宋体" w:hAnsi="宋体"/>
                <w:color w:val="000000" w:themeColor="text1"/>
                <w:szCs w:val="21"/>
                <w14:textFill>
                  <w14:solidFill>
                    <w14:schemeClr w14:val="tx1"/>
                  </w14:solidFill>
                </w14:textFill>
              </w:rPr>
              <w:t>以太网、USB。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.2.1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.2.2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.2.3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.3.1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.3.2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设备接口形式：手工导入。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.3.3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.4</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rFonts w:hint="eastAsia" w:ascii="宋体" w:hAnsi="宋体"/>
                <w:b/>
                <w:szCs w:val="21"/>
              </w:rPr>
              <w:t>XXX验证平台4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.4.1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8.5.2</w:t>
            </w:r>
            <w:r>
              <w:rPr>
                <w:rFonts w:hint="eastAsia" w:ascii="宋体" w:hAnsi="宋体"/>
                <w:color w:val="000000"/>
                <w:szCs w:val="21"/>
                <w:lang w:val="en-US" w:eastAsia="zh-CN"/>
              </w:rPr>
              <w:t>.4</w:t>
            </w:r>
            <w:r>
              <w:rPr>
                <w:rFonts w:hint="eastAsia" w:ascii="宋体" w:hAnsi="宋体"/>
                <w:szCs w:val="21"/>
                <w:lang w:val="en-US" w:eastAsia="zh-CN"/>
              </w:rPr>
              <w:t>.2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8.5.2</w:t>
            </w:r>
            <w:r>
              <w:rPr>
                <w:rFonts w:hint="eastAsia" w:ascii="宋体" w:hAnsi="宋体"/>
                <w:color w:val="000000"/>
                <w:szCs w:val="21"/>
                <w:lang w:val="en-US" w:eastAsia="zh-CN"/>
              </w:rPr>
              <w:t>.4</w:t>
            </w:r>
            <w:r>
              <w:rPr>
                <w:rFonts w:hint="eastAsia" w:ascii="宋体" w:hAnsi="宋体"/>
                <w:szCs w:val="21"/>
                <w:lang w:val="en-US" w:eastAsia="zh-CN"/>
              </w:rPr>
              <w:t>.3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.5</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.5.1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.5.2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设备接口形式：手工导入。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.5.3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.6</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.6.1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设备自动采集：温度应变数据/曲线图。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.6.2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.6.3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.7</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.7.1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设备自动采集：手动转换为TXT、JPG格式。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.7.2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.7.3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.8</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.8.1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设备自动采集：JPG。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.8.2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.8.3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.9</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.9.1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color w:val="auto"/>
                <w:szCs w:val="21"/>
              </w:rPr>
              <w:t>设备自动采集：</w:t>
            </w:r>
            <w:r>
              <w:rPr>
                <w:rFonts w:hint="eastAsia" w:ascii="宋体" w:hAnsi="宋体"/>
                <w:szCs w:val="21"/>
                <w:lang w:eastAsia="zh-CN"/>
              </w:rPr>
              <w:t>力、应变、频率等参数信息。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.9.2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设备接口形式：RS485、以太网、USB3.0。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.9.3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.10</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.10.1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color w:val="auto"/>
                <w:szCs w:val="21"/>
              </w:rPr>
              <w:t>设备自动采集：</w:t>
            </w:r>
            <w:r>
              <w:rPr>
                <w:rFonts w:hint="eastAsia" w:ascii="宋体" w:hAnsi="宋体"/>
                <w:szCs w:val="21"/>
                <w:lang w:eastAsia="zh-CN"/>
              </w:rPr>
              <w:t>力、应变、频率等参数信息。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.10.2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设备接口形式：RS232、RS485、以太网、Modbus协议。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.10.3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szCs w:val="21"/>
              </w:rPr>
            </w:pPr>
            <w:r>
              <w:rPr>
                <w:rFonts w:hint="eastAsia" w:ascii="宋体" w:hAnsi="宋体"/>
                <w:szCs w:val="21"/>
              </w:rPr>
              <w:t>设备自动采集：</w:t>
            </w:r>
          </w:p>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rPr>
              <w:t>测</w:t>
            </w:r>
            <w:r>
              <w:rPr>
                <w:rFonts w:hint="eastAsia" w:ascii="宋体" w:hAnsi="宋体"/>
                <w:szCs w:val="21"/>
              </w:rPr>
              <w:t>试时间、进出口温度、各校准点温度、实时状态监控、报警信息等参数信息。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设备接口形式：TCP/IP、RS232或RS485。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color w:val="auto"/>
                <w:szCs w:val="21"/>
              </w:rPr>
              <w:t>设备自动采集：</w:t>
            </w:r>
            <w:r>
              <w:rPr>
                <w:rFonts w:hint="eastAsia" w:ascii="宋体" w:hAnsi="宋体"/>
                <w:szCs w:val="21"/>
                <w:lang w:eastAsia="zh-CN"/>
              </w:rPr>
              <w:t>力、应变、频率等参数信息。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设备接口形式：RS232、RS485、以太网、Modbus协议。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.13.1</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szCs w:val="21"/>
              </w:rPr>
            </w:pPr>
            <w:r>
              <w:rPr>
                <w:rFonts w:hint="eastAsia" w:ascii="宋体" w:hAnsi="宋体"/>
                <w:szCs w:val="21"/>
              </w:rPr>
              <w:t>设备自动采集：</w:t>
            </w:r>
          </w:p>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szCs w:val="21"/>
                <w:highlight w:val="none"/>
                <w:lang w:eastAsia="zh-CN"/>
              </w:rPr>
            </w:pPr>
            <w:r>
              <w:rPr>
                <w:rFonts w:hint="eastAsia" w:ascii="宋体" w:hAnsi="宋体"/>
                <w:szCs w:val="21"/>
              </w:rPr>
              <w:t>测试时间、温度信息</w:t>
            </w:r>
            <w:r>
              <w:rPr>
                <w:rFonts w:hint="eastAsia" w:ascii="宋体" w:hAnsi="宋体"/>
                <w:szCs w:val="21"/>
                <w:lang w:eastAsia="zh-CN"/>
              </w:rPr>
              <w:t>、</w:t>
            </w:r>
            <w:r>
              <w:rPr>
                <w:rFonts w:hint="eastAsia" w:ascii="宋体" w:hAnsi="宋体"/>
                <w:szCs w:val="21"/>
              </w:rPr>
              <w:t>振动相关信息</w:t>
            </w:r>
            <w:r>
              <w:rPr>
                <w:rFonts w:hint="eastAsia" w:ascii="宋体" w:hAnsi="宋体"/>
                <w:szCs w:val="21"/>
                <w:lang w:eastAsia="zh-CN"/>
              </w:rPr>
              <w:t>、</w:t>
            </w:r>
            <w:r>
              <w:rPr>
                <w:rFonts w:hint="eastAsia" w:ascii="宋体" w:hAnsi="宋体"/>
                <w:szCs w:val="21"/>
              </w:rPr>
              <w:t>流量、进出口温度、冷却介质压力</w:t>
            </w:r>
            <w:r>
              <w:rPr>
                <w:rFonts w:hint="eastAsia" w:ascii="宋体" w:hAnsi="宋体"/>
                <w:szCs w:val="21"/>
                <w:lang w:eastAsia="zh-CN"/>
              </w:rPr>
              <w:t>、</w:t>
            </w:r>
            <w:r>
              <w:rPr>
                <w:rFonts w:hint="eastAsia" w:ascii="宋体" w:hAnsi="宋体"/>
                <w:szCs w:val="21"/>
              </w:rPr>
              <w:t>交变压力波形、设备状态信息、报警记录等</w:t>
            </w:r>
            <w:r>
              <w:rPr>
                <w:rFonts w:hint="eastAsia" w:ascii="宋体" w:hAnsi="宋体"/>
                <w:szCs w:val="21"/>
                <w:lang w:eastAsia="zh-CN"/>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.13.2</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设备接口形式：TCP/IP、 RS232或RS485。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.13.3</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Theme="minorEastAsia" w:hAnsiTheme="minorEastAsia" w:eastAsiaTheme="minorEastAsia"/>
                <w:b/>
                <w:szCs w:val="21"/>
              </w:rPr>
              <w:t>数字化配套硬件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Theme="minorEastAsia" w:hAnsiTheme="minorEastAsia" w:eastAsiaTheme="minorEastAsia"/>
                <w:szCs w:val="21"/>
              </w:rPr>
              <w:t>范围：显示大屏、</w:t>
            </w:r>
            <w:r>
              <w:rPr>
                <w:rFonts w:hint="eastAsia" w:ascii="宋体" w:hAnsi="宋体"/>
                <w:color w:val="000000"/>
                <w:szCs w:val="24"/>
              </w:rPr>
              <w:t>数据采集</w:t>
            </w:r>
            <w:r>
              <w:rPr>
                <w:rFonts w:hint="eastAsia" w:ascii="宋体" w:hAnsi="宋体"/>
                <w:color w:val="000000"/>
                <w:szCs w:val="24"/>
                <w:lang w:eastAsia="zh-CN"/>
              </w:rPr>
              <w:t>与</w:t>
            </w:r>
            <w:r>
              <w:rPr>
                <w:rFonts w:hint="eastAsia" w:ascii="宋体" w:hAnsi="宋体"/>
                <w:color w:val="000000"/>
                <w:szCs w:val="24"/>
              </w:rPr>
              <w:t>存储服务器、应用服务器</w:t>
            </w:r>
            <w:r>
              <w:rPr>
                <w:rFonts w:hint="eastAsia" w:asciiTheme="minorEastAsia" w:hAnsiTheme="minorEastAsia" w:eastAsiaTheme="minorEastAsia"/>
                <w:szCs w:val="21"/>
              </w:rPr>
              <w:t>、控制终端、</w:t>
            </w:r>
            <w:r>
              <w:rPr>
                <w:rFonts w:hint="eastAsia" w:asciiTheme="minorEastAsia" w:hAnsiTheme="minorEastAsia" w:eastAsiaTheme="minorEastAsia"/>
                <w:szCs w:val="21"/>
                <w:lang w:eastAsia="zh-CN"/>
              </w:rPr>
              <w:t>全自动光盘打印刻录一体机、黑白激光打印机、交换机、</w:t>
            </w:r>
            <w:r>
              <w:rPr>
                <w:rFonts w:hint="eastAsia" w:asciiTheme="minorEastAsia" w:hAnsiTheme="minorEastAsia" w:eastAsiaTheme="minorEastAsia"/>
                <w:szCs w:val="21"/>
              </w:rPr>
              <w:t>摄像头、网络敷设、机柜、工位桌。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Theme="minorEastAsia" w:hAnsiTheme="minorEastAsia" w:eastAsiaTheme="minorEastAsia"/>
                <w:b/>
                <w:bCs/>
                <w:szCs w:val="21"/>
              </w:rPr>
              <w:t>显示大屏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数量：6台</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屏幕尺寸：</w:t>
            </w:r>
            <w:r>
              <w:rPr>
                <w:rFonts w:hint="eastAsia" w:ascii="宋体" w:hAnsi="宋体"/>
                <w:color w:val="000000"/>
                <w:szCs w:val="24"/>
              </w:rPr>
              <w:t>2个100英寸、4个75英寸</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8.6.2.3</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Cs w:val="21"/>
                <w:highlight w:val="none"/>
                <w:lang w:eastAsia="zh-CN"/>
              </w:rPr>
            </w:pPr>
            <w:r>
              <w:rPr>
                <w:rFonts w:hint="eastAsia"/>
                <w:szCs w:val="21"/>
              </w:rPr>
              <w:t>分辨率：</w:t>
            </w:r>
            <w:r>
              <w:rPr>
                <w:szCs w:val="21"/>
              </w:rPr>
              <w:t>超高清4K</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8.6.2.4</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Cs w:val="21"/>
                <w:highlight w:val="none"/>
                <w:lang w:eastAsia="zh-CN"/>
              </w:rPr>
            </w:pPr>
            <w:r>
              <w:rPr>
                <w:rFonts w:hint="eastAsia"/>
                <w:szCs w:val="21"/>
              </w:rPr>
              <w:t>信号源接口：</w:t>
            </w:r>
            <w:r>
              <w:rPr>
                <w:szCs w:val="21"/>
              </w:rPr>
              <w:t>HDMI/DVI/VGA/DP</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8.6.2.</w:t>
            </w:r>
            <w:r>
              <w:rPr>
                <w:rFonts w:hint="eastAsia" w:ascii="宋体" w:hAnsi="宋体"/>
                <w:szCs w:val="21"/>
                <w:lang w:val="en-US" w:eastAsia="zh-CN"/>
              </w:rPr>
              <w:t>5</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Cs w:val="21"/>
                <w:highlight w:val="none"/>
                <w:lang w:eastAsia="zh-CN"/>
              </w:rPr>
            </w:pPr>
            <w:r>
              <w:rPr>
                <w:rFonts w:hint="eastAsia"/>
                <w:szCs w:val="21"/>
                <w:lang w:eastAsia="zh-CN"/>
              </w:rPr>
              <w:t>配套要求：每台大屏均配置</w:t>
            </w:r>
            <w:r>
              <w:rPr>
                <w:rFonts w:hint="eastAsia"/>
                <w:b w:val="0"/>
                <w:bCs w:val="0"/>
                <w:szCs w:val="21"/>
                <w:lang w:eastAsia="zh-CN"/>
              </w:rPr>
              <w:t>专用立式落地支架</w:t>
            </w:r>
            <w:r>
              <w:rPr>
                <w:rFonts w:hint="eastAsia"/>
                <w:szCs w:val="21"/>
                <w:lang w:eastAsia="zh-CN"/>
              </w:rPr>
              <w:t>，支架满足对应尺寸显示屏的承重、结构稳固、安装可靠。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8.6.2.</w:t>
            </w:r>
            <w:r>
              <w:rPr>
                <w:rFonts w:hint="eastAsia" w:ascii="宋体" w:hAnsi="宋体"/>
                <w:szCs w:val="21"/>
                <w:lang w:val="en-US" w:eastAsia="zh-CN"/>
              </w:rPr>
              <w:t>6</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1"/>
                <w:highlight w:val="none"/>
              </w:rPr>
            </w:pPr>
            <w:r>
              <w:rPr>
                <w:rFonts w:hint="eastAsia"/>
                <w:szCs w:val="21"/>
              </w:rPr>
              <w:t>其他：采用网线连接，不带WIFI、5G功能。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4"/>
                <w:highlight w:val="none"/>
              </w:rPr>
            </w:pPr>
            <w:r>
              <w:rPr>
                <w:rFonts w:hint="eastAsia" w:ascii="宋体" w:hAnsi="宋体"/>
                <w:b/>
                <w:bCs/>
                <w:color w:val="000000"/>
                <w:szCs w:val="24"/>
              </w:rPr>
              <w:t>数据</w:t>
            </w:r>
            <w:r>
              <w:rPr>
                <w:rFonts w:hint="eastAsia" w:ascii="宋体" w:hAnsi="宋体"/>
                <w:b/>
                <w:bCs/>
                <w:color w:val="000000"/>
                <w:szCs w:val="24"/>
                <w:lang w:eastAsia="zh-CN"/>
              </w:rPr>
              <w:t>采集与</w:t>
            </w:r>
            <w:r>
              <w:rPr>
                <w:rFonts w:hint="eastAsia" w:ascii="宋体" w:hAnsi="宋体"/>
                <w:b/>
                <w:bCs/>
                <w:color w:val="000000"/>
                <w:szCs w:val="24"/>
              </w:rPr>
              <w:t>存储服务器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Theme="minorEastAsia"/>
                <w:szCs w:val="24"/>
                <w:highlight w:val="none"/>
                <w:lang w:eastAsia="zh-CN"/>
              </w:rPr>
            </w:pPr>
            <w:r>
              <w:rPr>
                <w:rFonts w:hint="eastAsia" w:ascii="宋体" w:hAnsi="宋体"/>
                <w:color w:val="000000"/>
                <w:szCs w:val="24"/>
              </w:rPr>
              <w:t>数量：1台，用于数据</w:t>
            </w:r>
            <w:r>
              <w:rPr>
                <w:rFonts w:hint="eastAsia" w:ascii="宋体" w:hAnsi="宋体"/>
                <w:color w:val="000000"/>
                <w:szCs w:val="24"/>
                <w:lang w:eastAsia="zh-CN"/>
              </w:rPr>
              <w:t>采集与</w:t>
            </w:r>
            <w:r>
              <w:rPr>
                <w:rFonts w:hint="eastAsia" w:ascii="宋体" w:hAnsi="宋体"/>
                <w:color w:val="000000"/>
                <w:szCs w:val="24"/>
              </w:rPr>
              <w:t>存储</w:t>
            </w:r>
            <w:r>
              <w:rPr>
                <w:rFonts w:hint="eastAsia" w:asciiTheme="minorEastAsia" w:hAnsiTheme="minorEastAsia" w:eastAsiaTheme="minorEastAsia"/>
                <w:szCs w:val="21"/>
              </w:rPr>
              <w:t>，国产品牌，满足国产化要求</w:t>
            </w:r>
            <w:r>
              <w:rPr>
                <w:rFonts w:hint="eastAsia" w:ascii="宋体" w:hAnsi="宋体" w:eastAsiaTheme="minorEastAsia"/>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000000"/>
                <w:szCs w:val="24"/>
                <w:highlight w:val="none"/>
                <w:lang w:eastAsia="zh-CN"/>
              </w:rPr>
            </w:pPr>
            <w:r>
              <w:rPr>
                <w:rFonts w:hint="eastAsia" w:ascii="宋体" w:hAnsi="宋体"/>
                <w:color w:val="000000"/>
                <w:szCs w:val="24"/>
                <w:lang w:val="en-US" w:eastAsia="zh-CN"/>
              </w:rPr>
              <w:t>CPU</w:t>
            </w:r>
            <w:r>
              <w:rPr>
                <w:rFonts w:hint="eastAsia" w:ascii="宋体" w:hAnsi="宋体"/>
                <w:color w:val="000000"/>
                <w:szCs w:val="24"/>
              </w:rPr>
              <w:t>：国产化</w:t>
            </w:r>
            <w:r>
              <w:rPr>
                <w:rFonts w:hint="eastAsia" w:ascii="宋体" w:hAnsi="宋体"/>
                <w:color w:val="000000"/>
                <w:szCs w:val="24"/>
                <w:lang w:eastAsia="zh-CN"/>
              </w:rPr>
              <w:t>处理器</w:t>
            </w:r>
            <w:r>
              <w:rPr>
                <w:rFonts w:hint="eastAsia" w:ascii="宋体" w:hAnsi="宋体"/>
                <w:color w:val="000000"/>
                <w:szCs w:val="24"/>
              </w:rPr>
              <w:t>，处理器≥2颗，单颗≥32核，主频≥2.</w:t>
            </w:r>
            <w:r>
              <w:rPr>
                <w:rFonts w:hint="eastAsia" w:ascii="宋体" w:hAnsi="宋体"/>
                <w:color w:val="000000"/>
                <w:szCs w:val="24"/>
                <w:lang w:val="en-US" w:eastAsia="zh-CN"/>
              </w:rPr>
              <w:t>5</w:t>
            </w:r>
            <w:r>
              <w:rPr>
                <w:rFonts w:hint="eastAsia" w:ascii="宋体" w:hAnsi="宋体"/>
                <w:color w:val="000000"/>
                <w:szCs w:val="24"/>
              </w:rPr>
              <w:t>GHz</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4"/>
                <w:highlight w:val="none"/>
                <w:lang w:eastAsia="zh-CN"/>
              </w:rPr>
            </w:pPr>
            <w:r>
              <w:rPr>
                <w:rFonts w:hint="eastAsia" w:ascii="宋体" w:hAnsi="宋体"/>
                <w:szCs w:val="24"/>
              </w:rPr>
              <w:t>内存：</w:t>
            </w:r>
            <w:r>
              <w:rPr>
                <w:rFonts w:hint="eastAsia" w:ascii="宋体" w:hAnsi="宋体"/>
                <w:color w:val="000000"/>
                <w:szCs w:val="24"/>
              </w:rPr>
              <w:t>≥</w:t>
            </w:r>
            <w:r>
              <w:rPr>
                <w:rFonts w:hint="eastAsia" w:ascii="宋体" w:hAnsi="宋体"/>
                <w:color w:val="000000"/>
                <w:szCs w:val="24"/>
                <w:lang w:val="en-US" w:eastAsia="zh-CN"/>
              </w:rPr>
              <w:t>2*32</w:t>
            </w:r>
            <w:r>
              <w:rPr>
                <w:rFonts w:hint="eastAsia" w:ascii="宋体" w:hAnsi="宋体"/>
                <w:color w:val="000000"/>
                <w:szCs w:val="24"/>
              </w:rPr>
              <w:t>GB</w:t>
            </w:r>
            <w:r>
              <w:rPr>
                <w:rFonts w:hint="eastAsia" w:ascii="宋体" w:hAnsi="宋体"/>
                <w:color w:val="000000"/>
                <w:szCs w:val="24"/>
                <w:lang w:val="en-US" w:eastAsia="zh-CN"/>
              </w:rPr>
              <w:t xml:space="preserve"> </w:t>
            </w:r>
            <w:r>
              <w:rPr>
                <w:rFonts w:hint="eastAsia" w:ascii="宋体" w:hAnsi="宋体"/>
                <w:color w:val="000000"/>
                <w:szCs w:val="24"/>
              </w:rPr>
              <w:t>DDR4</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4"/>
                <w:highlight w:val="none"/>
              </w:rPr>
            </w:pPr>
            <w:r>
              <w:rPr>
                <w:rFonts w:hint="eastAsia" w:ascii="宋体" w:hAnsi="宋体"/>
                <w:szCs w:val="24"/>
              </w:rPr>
              <w:t>硬盘：</w:t>
            </w:r>
            <w:r>
              <w:rPr>
                <w:rFonts w:hint="eastAsia" w:ascii="宋体" w:hAnsi="宋体"/>
                <w:color w:val="000000"/>
                <w:szCs w:val="24"/>
              </w:rPr>
              <w:t>≥</w:t>
            </w:r>
            <w:r>
              <w:rPr>
                <w:rFonts w:hint="eastAsia" w:ascii="宋体" w:hAnsi="宋体"/>
                <w:color w:val="000000"/>
                <w:szCs w:val="24"/>
                <w:lang w:val="en-US" w:eastAsia="zh-CN"/>
              </w:rPr>
              <w:t>8*16TB SATA硬盘，硬盘转速</w:t>
            </w:r>
            <w:r>
              <w:rPr>
                <w:rFonts w:hint="eastAsia" w:ascii="宋体" w:hAnsi="宋体"/>
                <w:color w:val="000000"/>
                <w:szCs w:val="24"/>
              </w:rPr>
              <w:t>≥</w:t>
            </w:r>
            <w:r>
              <w:rPr>
                <w:rFonts w:hint="eastAsia" w:ascii="宋体" w:hAnsi="宋体"/>
                <w:color w:val="000000"/>
                <w:szCs w:val="24"/>
                <w:lang w:val="en-US" w:eastAsia="zh-CN"/>
              </w:rPr>
              <w:t>7200转/分钟，接口类型为SATA接口</w:t>
            </w:r>
            <w:r>
              <w:rPr>
                <w:rFonts w:hint="eastAsia" w:ascii="宋体" w:hAnsi="宋体"/>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4"/>
                <w:highlight w:val="none"/>
                <w:lang w:eastAsia="zh-CN"/>
              </w:rPr>
            </w:pPr>
            <w:r>
              <w:rPr>
                <w:rFonts w:hint="eastAsia" w:ascii="宋体" w:hAnsi="宋体"/>
                <w:szCs w:val="24"/>
              </w:rPr>
              <w:t>RAID控制器：</w:t>
            </w:r>
            <w:r>
              <w:rPr>
                <w:rFonts w:hint="eastAsia" w:ascii="宋体" w:hAnsi="宋体"/>
                <w:szCs w:val="24"/>
                <w:lang w:eastAsia="zh-CN"/>
              </w:rPr>
              <w:t>支持</w:t>
            </w:r>
            <w:r>
              <w:rPr>
                <w:rFonts w:hint="eastAsia" w:ascii="宋体" w:hAnsi="宋体"/>
                <w:szCs w:val="24"/>
                <w:lang w:val="en-US" w:eastAsia="zh-CN"/>
              </w:rPr>
              <w:t>RAID0RAID0/1/10/5/6级别阵列功能</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8.6.3.6</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电源模块：</w:t>
            </w:r>
            <w:r>
              <w:rPr>
                <w:rFonts w:hint="eastAsia" w:asciiTheme="minorEastAsia" w:hAnsiTheme="minorEastAsia" w:eastAsiaTheme="minorEastAsia"/>
                <w:szCs w:val="21"/>
                <w:lang w:eastAsia="zh-CN"/>
              </w:rPr>
              <w:t>配置≥</w:t>
            </w:r>
            <w:r>
              <w:rPr>
                <w:rFonts w:hint="eastAsia" w:asciiTheme="minorEastAsia" w:hAnsiTheme="minorEastAsia" w:eastAsiaTheme="minorEastAsia"/>
                <w:szCs w:val="21"/>
                <w:lang w:val="en-US" w:eastAsia="zh-CN"/>
              </w:rPr>
              <w:t>2*900W交流冗余电源，</w:t>
            </w:r>
            <w:r>
              <w:rPr>
                <w:rFonts w:hint="eastAsia" w:asciiTheme="minorEastAsia" w:hAnsiTheme="minorEastAsia" w:eastAsiaTheme="minorEastAsia"/>
                <w:szCs w:val="21"/>
              </w:rPr>
              <w:t>支持热插拔</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8.6.3.7</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操作系统：正版国产操作系统</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8.6.3.8</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数据库：正版国产数据库</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8.6.3.</w:t>
            </w:r>
            <w:r>
              <w:rPr>
                <w:rFonts w:hint="eastAsia" w:ascii="宋体" w:hAnsi="宋体"/>
                <w:szCs w:val="21"/>
                <w:lang w:val="en-US" w:eastAsia="zh-CN"/>
              </w:rPr>
              <w:t>9</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国产化及保密要求：支持国产化通用操作系统安装运行，适配国产化通用操作系统、数据库、中间件</w:t>
            </w:r>
            <w:r>
              <w:rPr>
                <w:rFonts w:hint="eastAsia" w:ascii="宋体" w:hAnsi="宋体"/>
                <w:szCs w:val="21"/>
                <w:lang w:eastAsia="zh-CN"/>
              </w:rPr>
              <w:t>。</w:t>
            </w:r>
            <w:r>
              <w:rPr>
                <w:rFonts w:hint="eastAsia" w:ascii="宋体" w:hAnsi="宋体"/>
                <w:szCs w:val="21"/>
              </w:rPr>
              <w:t>拆除WIFI、蓝牙等无线模块。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w:t>
            </w:r>
            <w:r>
              <w:rPr>
                <w:rFonts w:hint="eastAsia" w:ascii="宋体" w:hAnsi="宋体"/>
                <w:szCs w:val="21"/>
                <w:lang w:val="en-US" w:eastAsia="zh-CN"/>
              </w:rPr>
              <w:t>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4"/>
                <w:highlight w:val="none"/>
              </w:rPr>
            </w:pPr>
            <w:r>
              <w:rPr>
                <w:rFonts w:hint="eastAsia" w:ascii="宋体" w:hAnsi="宋体"/>
                <w:b/>
                <w:bCs/>
                <w:color w:val="000000"/>
                <w:szCs w:val="24"/>
              </w:rPr>
              <w:t>应用服务器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Theme="minorEastAsia"/>
                <w:color w:val="000000"/>
                <w:szCs w:val="24"/>
                <w:highlight w:val="none"/>
                <w:lang w:eastAsia="zh-CN"/>
              </w:rPr>
            </w:pPr>
            <w:r>
              <w:rPr>
                <w:rFonts w:hint="eastAsia" w:asciiTheme="minorEastAsia" w:hAnsiTheme="minorEastAsia" w:eastAsiaTheme="minorEastAsia"/>
                <w:szCs w:val="21"/>
              </w:rPr>
              <w:t>数量：1台，用于应用和接入大数据，国产品牌，满足国产化要求</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CPU：国产化处理器，≥2颗，单颗≥32核，主频≥2.5GHz</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内存：配置≥4*32GB DDR4</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系统盘：≥2块固态硬盘960GB SSD</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其他盘：≥4块机械硬盘8TB HDD</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网卡：≥4个千兆自适应网络接口，≥2个10GE光口</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显卡：2*64G</w:t>
            </w:r>
            <w:r>
              <w:rPr>
                <w:rFonts w:hint="eastAsia" w:ascii="宋体" w:hAnsi="宋体"/>
                <w:szCs w:val="24"/>
                <w:lang w:eastAsia="zh-CN"/>
              </w:rPr>
              <w:t>，</w:t>
            </w:r>
            <w:r>
              <w:rPr>
                <w:rFonts w:hint="eastAsia" w:asciiTheme="minorEastAsia" w:hAnsiTheme="minorEastAsia" w:eastAsiaTheme="minorEastAsia"/>
                <w:szCs w:val="21"/>
              </w:rPr>
              <w:t>满足国产化要求。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4.8</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配置Raid卡，支持RAID 0/1/5/6/50/60</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4.9</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电源：双电源，热插拔高效，冗余电源模块</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4.10</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国产服务器操作系统</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4.11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国产化及保密要求：支持国产化通用操作系统安装运行，适配国产化通用操作系统、数据库、中间件</w:t>
            </w:r>
            <w:r>
              <w:rPr>
                <w:rFonts w:hint="eastAsia" w:ascii="宋体" w:hAnsi="宋体"/>
                <w:szCs w:val="21"/>
                <w:lang w:eastAsia="zh-CN"/>
              </w:rPr>
              <w:t>。</w:t>
            </w:r>
            <w:r>
              <w:rPr>
                <w:rFonts w:hint="eastAsia" w:ascii="宋体" w:hAnsi="宋体"/>
                <w:szCs w:val="21"/>
              </w:rPr>
              <w:t>拆除WIFI、蓝牙等无线模块。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w:t>
            </w:r>
            <w:r>
              <w:rPr>
                <w:rFonts w:hint="eastAsia" w:ascii="宋体" w:hAnsi="宋体"/>
                <w:szCs w:val="21"/>
                <w:lang w:val="en-US" w:eastAsia="zh-CN"/>
              </w:rPr>
              <w:t>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color w:val="111111"/>
                <w:szCs w:val="21"/>
                <w:highlight w:val="none"/>
                <w:shd w:val="clear" w:color="auto" w:fill="FFFFFF"/>
              </w:rPr>
            </w:pPr>
            <w:r>
              <w:rPr>
                <w:rFonts w:hint="eastAsia" w:asciiTheme="minorEastAsia" w:hAnsiTheme="minorEastAsia" w:eastAsiaTheme="minorEastAsia"/>
                <w:b/>
                <w:bCs/>
                <w:szCs w:val="21"/>
              </w:rPr>
              <w:t>控制终端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数量：2台</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5.2</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CPU：</w:t>
            </w:r>
            <w:r>
              <w:rPr>
                <w:rFonts w:hint="eastAsia" w:ascii="宋体" w:hAnsi="宋体"/>
                <w:color w:val="000000"/>
                <w:szCs w:val="24"/>
              </w:rPr>
              <w:t>优先使用兆芯KX-6</w:t>
            </w:r>
            <w:r>
              <w:rPr>
                <w:rFonts w:hint="eastAsia" w:ascii="宋体" w:hAnsi="宋体"/>
                <w:color w:val="000000"/>
                <w:szCs w:val="24"/>
                <w:lang w:val="en-US" w:eastAsia="zh-CN"/>
              </w:rPr>
              <w:t>780A</w:t>
            </w:r>
            <w:r>
              <w:rPr>
                <w:rFonts w:hint="eastAsia" w:ascii="宋体" w:hAnsi="宋体"/>
                <w:color w:val="000000"/>
                <w:szCs w:val="24"/>
              </w:rPr>
              <w:t>同档次及以上品牌国产化CPU处理器，核心数≥</w:t>
            </w:r>
            <w:r>
              <w:rPr>
                <w:rFonts w:hint="eastAsia" w:ascii="宋体" w:hAnsi="宋体"/>
                <w:color w:val="000000"/>
                <w:szCs w:val="24"/>
                <w:lang w:val="en-US" w:eastAsia="zh-CN"/>
              </w:rPr>
              <w:t>8</w:t>
            </w:r>
            <w:r>
              <w:rPr>
                <w:rFonts w:hint="eastAsia" w:ascii="宋体" w:hAnsi="宋体"/>
                <w:color w:val="000000"/>
                <w:szCs w:val="24"/>
              </w:rPr>
              <w:t>核</w:t>
            </w:r>
            <w:r>
              <w:rPr>
                <w:rFonts w:hint="eastAsia" w:ascii="宋体" w:hAnsi="宋体"/>
                <w:color w:val="000000"/>
                <w:szCs w:val="24"/>
                <w:lang w:eastAsia="zh-CN"/>
              </w:rPr>
              <w:t>，主频</w:t>
            </w:r>
            <w:r>
              <w:rPr>
                <w:rFonts w:hint="eastAsia" w:ascii="宋体" w:hAnsi="宋体"/>
                <w:color w:val="000000"/>
                <w:szCs w:val="24"/>
              </w:rPr>
              <w:t>≥</w:t>
            </w:r>
            <w:r>
              <w:rPr>
                <w:rFonts w:hint="eastAsia" w:ascii="宋体" w:hAnsi="宋体"/>
                <w:color w:val="000000"/>
                <w:szCs w:val="24"/>
                <w:lang w:val="en-US" w:eastAsia="zh-CN"/>
              </w:rPr>
              <w:t>2.7GHz</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5.3</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内存：16GB DDR4以上</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5.4</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硬盘：</w:t>
            </w:r>
            <w:r>
              <w:rPr>
                <w:rFonts w:hint="eastAsia"/>
                <w:szCs w:val="21"/>
                <w:lang w:eastAsia="zh-CN"/>
              </w:rPr>
              <w:t>≥</w:t>
            </w:r>
            <w:r>
              <w:rPr>
                <w:rFonts w:hint="eastAsia"/>
                <w:szCs w:val="21"/>
                <w:lang w:val="en-US" w:eastAsia="zh-CN"/>
              </w:rPr>
              <w:t>2</w:t>
            </w:r>
            <w:r>
              <w:rPr>
                <w:rFonts w:hint="eastAsia"/>
                <w:b w:val="0"/>
                <w:bCs w:val="0"/>
                <w:szCs w:val="21"/>
                <w:lang w:val="en-US" w:eastAsia="zh-CN"/>
              </w:rPr>
              <w:t>TB SATA</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5.5</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显卡：</w:t>
            </w:r>
            <w:r>
              <w:rPr>
                <w:rFonts w:hint="eastAsia" w:ascii="宋体" w:hAnsi="宋体"/>
                <w:color w:val="000000"/>
                <w:szCs w:val="24"/>
              </w:rPr>
              <w:t>≥</w:t>
            </w:r>
            <w:r>
              <w:rPr>
                <w:rFonts w:hint="eastAsia" w:ascii="宋体" w:hAnsi="宋体"/>
                <w:color w:val="000000"/>
                <w:szCs w:val="24"/>
                <w:lang w:val="en-US" w:eastAsia="zh-CN"/>
              </w:rPr>
              <w:t>1</w:t>
            </w:r>
            <w:r>
              <w:rPr>
                <w:rFonts w:hint="eastAsia"/>
                <w:b w:val="0"/>
                <w:bCs w:val="0"/>
                <w:szCs w:val="21"/>
                <w:lang w:val="en-US" w:eastAsia="zh-CN"/>
              </w:rPr>
              <w:t>GB</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5.6</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显示器：</w:t>
            </w:r>
            <w:r>
              <w:rPr>
                <w:rFonts w:hint="eastAsia"/>
                <w:szCs w:val="21"/>
                <w:lang w:eastAsia="zh-CN"/>
              </w:rPr>
              <w:t>≥</w:t>
            </w:r>
            <w:r>
              <w:rPr>
                <w:rFonts w:hint="eastAsia"/>
                <w:szCs w:val="21"/>
                <w:lang w:val="en-US" w:eastAsia="zh-CN"/>
              </w:rPr>
              <w:t>32英寸</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5.7</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szCs w:val="21"/>
              </w:rPr>
              <w:t>其他：采用网线连接，不带WIFI、5G功能。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rPr>
              <w:t>8.6.</w:t>
            </w:r>
            <w:r>
              <w:rPr>
                <w:rFonts w:hint="eastAsia" w:ascii="宋体" w:hAnsi="宋体"/>
                <w:szCs w:val="21"/>
                <w:lang w:val="en-US" w:eastAsia="zh-CN"/>
              </w:rPr>
              <w:t>5.8</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Cs w:val="21"/>
                <w:highlight w:val="none"/>
              </w:rPr>
            </w:pPr>
            <w:r>
              <w:rPr>
                <w:rFonts w:hint="eastAsia" w:ascii="宋体" w:hAnsi="宋体"/>
                <w:szCs w:val="21"/>
              </w:rPr>
              <w:t>国产化及保密要求：支持国产化通用操作系统安装运行，适配国产化通用操作系统、数据库、中间件</w:t>
            </w:r>
            <w:r>
              <w:rPr>
                <w:rFonts w:hint="eastAsia" w:ascii="宋体" w:hAnsi="宋体"/>
                <w:szCs w:val="21"/>
                <w:lang w:eastAsia="zh-CN"/>
              </w:rPr>
              <w:t>。</w:t>
            </w:r>
            <w:r>
              <w:rPr>
                <w:rFonts w:hint="eastAsia" w:ascii="宋体" w:hAnsi="宋体"/>
                <w:szCs w:val="21"/>
              </w:rPr>
              <w:t>拆除WIFI、蓝牙等无线模块。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w:t>
            </w:r>
            <w:r>
              <w:rPr>
                <w:rFonts w:hint="eastAsia" w:ascii="宋体" w:hAnsi="宋体"/>
                <w:szCs w:val="21"/>
                <w:lang w:val="en-US" w:eastAsia="zh-CN"/>
              </w:rPr>
              <w:t>6</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szCs w:val="21"/>
                <w:highlight w:val="none"/>
              </w:rPr>
            </w:pPr>
            <w:r>
              <w:rPr>
                <w:rFonts w:hint="eastAsia" w:ascii="宋体" w:hAnsi="宋体"/>
                <w:b/>
                <w:szCs w:val="21"/>
              </w:rPr>
              <w:t>全自动光盘打印刻录机一体机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数量：1台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刻录规格：支持DVD、CD、BD等格式光盘。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接口：USB3.0数据传输。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可管理光盘数≥50，单倍刻录速度≥1.9MB/s。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打印技术：支持全自动彩色喷墨打印，盘面打印清晰度高。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取盘技术：支持机械手自动取盘、放盘、送盘、出盘等流程。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支持盘面自定义打印，如名称、时间、编号等。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8.6.6.8</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提供B/S或C/S架构打印刻录系统，支持国产操作系统。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8.6.6.9</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提供各类SDK开发包，可快速进行开发对接。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8.6.6.10</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支持第三方应用调用API接口方式提交刻录任务。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8.6.6.11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刻录机身份验证：支持刷卡或账号密码登录。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8.6.6.12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硬件设备均不能有WIFI、蓝牙、红外等无线功能模块，所安装设备系统无病毒木马。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szCs w:val="21"/>
                <w:highlight w:val="none"/>
                <w:lang w:eastAsia="zh-CN"/>
              </w:rPr>
            </w:pPr>
            <w:r>
              <w:rPr>
                <w:rFonts w:hint="eastAsia" w:ascii="宋体" w:hAnsi="宋体" w:cs="Times New Roman"/>
                <w:b/>
                <w:bCs/>
                <w:color w:val="000000"/>
                <w:kern w:val="2"/>
                <w:sz w:val="21"/>
                <w:szCs w:val="24"/>
                <w:lang w:val="en-US" w:eastAsia="zh-CN" w:bidi="ar-SA"/>
              </w:rPr>
              <w:t>黑白激光打印机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内存：</w:t>
            </w:r>
            <w:r>
              <w:rPr>
                <w:rFonts w:hint="eastAsia" w:ascii="宋体" w:hAnsi="宋体"/>
                <w:color w:val="000000"/>
                <w:szCs w:val="24"/>
              </w:rPr>
              <w:t>≥</w:t>
            </w:r>
            <w:r>
              <w:rPr>
                <w:rFonts w:hint="eastAsia" w:ascii="宋体" w:hAnsi="宋体"/>
                <w:color w:val="000000"/>
                <w:szCs w:val="24"/>
                <w:lang w:val="en-US" w:eastAsia="zh-CN"/>
              </w:rPr>
              <w:t>512MB。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单面打印速度：</w:t>
            </w:r>
            <w:r>
              <w:rPr>
                <w:rFonts w:hint="eastAsia" w:ascii="宋体" w:hAnsi="宋体"/>
                <w:color w:val="000000"/>
                <w:szCs w:val="24"/>
              </w:rPr>
              <w:t>≥</w:t>
            </w:r>
            <w:r>
              <w:rPr>
                <w:rFonts w:hint="eastAsia" w:ascii="宋体" w:hAnsi="宋体"/>
                <w:color w:val="000000"/>
                <w:szCs w:val="24"/>
                <w:lang w:val="en-US" w:eastAsia="zh-CN"/>
              </w:rPr>
              <w:t>35页/分钟。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双面打印速度：</w:t>
            </w:r>
            <w:r>
              <w:rPr>
                <w:rFonts w:hint="eastAsia" w:ascii="宋体" w:hAnsi="宋体"/>
                <w:color w:val="000000"/>
                <w:szCs w:val="24"/>
              </w:rPr>
              <w:t>≥</w:t>
            </w:r>
            <w:r>
              <w:rPr>
                <w:rFonts w:hint="eastAsia" w:ascii="宋体" w:hAnsi="宋体"/>
                <w:color w:val="000000"/>
                <w:szCs w:val="24"/>
                <w:lang w:val="en-US" w:eastAsia="zh-CN"/>
              </w:rPr>
              <w:t>20页/分钟。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采用鼓粉分离设计，易更换，降低长期使用成本。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网络功能：配置千兆有线网络接口（RJ45），支持多人共享打印与远程管理。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配套要求：鼓组件*2、粉盒*8。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rPr>
              <w:t>硬件设备均不能有WIFI、蓝牙、红外等无线功能模块，所安装设备系统无病毒木马。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8.6.8</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4"/>
                <w:highlight w:val="none"/>
              </w:rPr>
            </w:pPr>
            <w:r>
              <w:rPr>
                <w:rFonts w:hint="eastAsia" w:ascii="宋体" w:hAnsi="宋体"/>
                <w:b/>
                <w:bCs/>
                <w:color w:val="000000"/>
                <w:szCs w:val="24"/>
              </w:rPr>
              <w:t>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8.6.8.1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数量：12个</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8.6.8.2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像素：像素不低于400万</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8.6.8.3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供电方式：POE供电</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8.6.8.4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4"/>
                <w:highlight w:val="none"/>
              </w:rPr>
            </w:pPr>
            <w:r>
              <w:rPr>
                <w:rFonts w:hint="eastAsia" w:ascii="宋体" w:hAnsi="宋体"/>
                <w:color w:val="000000"/>
                <w:szCs w:val="24"/>
              </w:rPr>
              <w:t>存储：</w:t>
            </w:r>
            <w:r>
              <w:rPr>
                <w:rFonts w:hint="eastAsia" w:ascii="宋体" w:hAnsi="宋体"/>
                <w:szCs w:val="24"/>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8.6.9</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b/>
                <w:bCs/>
                <w:color w:val="000000"/>
                <w:szCs w:val="24"/>
                <w:lang w:eastAsia="zh-CN"/>
              </w:rPr>
              <w:t>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color w:val="000000"/>
                <w:szCs w:val="24"/>
                <w:lang w:eastAsia="zh-CN"/>
              </w:rPr>
              <w:t>数量：</w:t>
            </w:r>
            <w:r>
              <w:rPr>
                <w:rFonts w:hint="eastAsia" w:ascii="宋体" w:hAnsi="宋体"/>
                <w:color w:val="000000"/>
                <w:szCs w:val="24"/>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eastAsia="zh-CN"/>
              </w:rPr>
              <w:t>结构：标准机架式，高度≤</w:t>
            </w:r>
            <w:r>
              <w:rPr>
                <w:rFonts w:hint="eastAsia" w:ascii="宋体" w:hAnsi="宋体"/>
                <w:color w:val="000000"/>
                <w:szCs w:val="24"/>
                <w:lang w:val="en-US" w:eastAsia="zh-CN"/>
              </w:rPr>
              <w:t>1U。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eastAsia="zh-CN"/>
              </w:rPr>
            </w:pPr>
            <w:r>
              <w:rPr>
                <w:rFonts w:hint="eastAsia" w:ascii="宋体" w:hAnsi="宋体"/>
                <w:color w:val="000000"/>
                <w:szCs w:val="24"/>
                <w:lang w:eastAsia="zh-CN"/>
              </w:rPr>
              <w:t>类型：</w:t>
            </w:r>
            <w:r>
              <w:rPr>
                <w:rFonts w:hint="eastAsia" w:ascii="宋体" w:hAnsi="宋体"/>
                <w:color w:val="000000"/>
                <w:szCs w:val="24"/>
                <w:highlight w:val="none"/>
                <w:lang w:eastAsia="zh-CN"/>
              </w:rPr>
              <w:t>网管型。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eastAsia="zh-CN"/>
              </w:rPr>
              <w:t>端口：包含≥</w:t>
            </w:r>
            <w:r>
              <w:rPr>
                <w:rFonts w:hint="eastAsia" w:ascii="宋体" w:hAnsi="宋体"/>
                <w:color w:val="000000"/>
                <w:szCs w:val="24"/>
                <w:lang w:val="en-US" w:eastAsia="zh-CN"/>
              </w:rPr>
              <w:t>8口、</w:t>
            </w:r>
            <w:r>
              <w:rPr>
                <w:rFonts w:hint="eastAsia" w:ascii="宋体" w:hAnsi="宋体"/>
                <w:color w:val="000000"/>
                <w:szCs w:val="24"/>
                <w:lang w:eastAsia="zh-CN"/>
              </w:rPr>
              <w:t>≥</w:t>
            </w:r>
            <w:r>
              <w:rPr>
                <w:rFonts w:hint="eastAsia" w:ascii="宋体" w:hAnsi="宋体"/>
                <w:color w:val="000000"/>
                <w:szCs w:val="24"/>
                <w:lang w:val="en-US" w:eastAsia="zh-CN"/>
              </w:rPr>
              <w:t>24口、</w:t>
            </w:r>
            <w:r>
              <w:rPr>
                <w:rFonts w:hint="eastAsia" w:ascii="宋体" w:hAnsi="宋体"/>
                <w:color w:val="000000"/>
                <w:szCs w:val="24"/>
                <w:lang w:eastAsia="zh-CN"/>
              </w:rPr>
              <w:t>≥</w:t>
            </w:r>
            <w:r>
              <w:rPr>
                <w:rFonts w:hint="eastAsia" w:ascii="宋体" w:hAnsi="宋体"/>
                <w:color w:val="000000"/>
                <w:szCs w:val="24"/>
                <w:lang w:val="en-US" w:eastAsia="zh-CN"/>
              </w:rPr>
              <w:t>48口千兆自适应电口机型，每台均配置</w:t>
            </w:r>
            <w:r>
              <w:rPr>
                <w:rFonts w:hint="eastAsia" w:ascii="宋体" w:hAnsi="宋体"/>
                <w:color w:val="000000"/>
                <w:szCs w:val="24"/>
                <w:lang w:eastAsia="zh-CN"/>
              </w:rPr>
              <w:t>≥</w:t>
            </w:r>
            <w:r>
              <w:rPr>
                <w:rFonts w:hint="eastAsia" w:ascii="宋体" w:hAnsi="宋体"/>
                <w:color w:val="000000"/>
                <w:szCs w:val="24"/>
                <w:lang w:val="en-US" w:eastAsia="zh-CN"/>
              </w:rPr>
              <w:t>4个千兆SFP光口（配套提供同数量千兆SFP光模块，光模块规格满足现场传输距离及组网要求）。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color w:val="000000"/>
                <w:szCs w:val="24"/>
                <w:lang w:val="en-US" w:eastAsia="zh-CN"/>
              </w:rPr>
              <w:t>供电：交流供电。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性能：交换容量、包转换率满足千兆线速转发要求。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采用国产化芯片。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8.6.10</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4"/>
                <w:highlight w:val="none"/>
              </w:rPr>
            </w:pPr>
            <w:r>
              <w:rPr>
                <w:rFonts w:hint="eastAsia" w:ascii="宋体" w:hAnsi="宋体"/>
                <w:b/>
                <w:bCs/>
                <w:color w:val="000000"/>
                <w:szCs w:val="24"/>
              </w:rPr>
              <w:t>网络敷设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8.6.10.1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4"/>
                <w:highlight w:val="none"/>
              </w:rPr>
            </w:pPr>
            <w:r>
              <w:rPr>
                <w:rFonts w:hint="eastAsia" w:ascii="宋体" w:hAnsi="宋体"/>
                <w:color w:val="000000"/>
                <w:szCs w:val="24"/>
              </w:rPr>
              <w:t>包含验证设备联网及验证环境数据采集所需网络敷设的施工费用。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8.6.10.2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color w:val="111111"/>
                <w:szCs w:val="21"/>
                <w:highlight w:val="none"/>
                <w:shd w:val="clear" w:color="auto" w:fill="FFFFFF"/>
              </w:rPr>
            </w:pPr>
            <w:r>
              <w:rPr>
                <w:rFonts w:hint="eastAsia" w:ascii="宋体" w:hAnsi="宋体"/>
                <w:color w:val="000000"/>
                <w:szCs w:val="24"/>
              </w:rPr>
              <w:t>提供满足系统正常运行所必备的附件。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8.6.11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4"/>
                <w:highlight w:val="none"/>
              </w:rPr>
            </w:pPr>
            <w:r>
              <w:rPr>
                <w:rFonts w:hint="eastAsia" w:ascii="宋体" w:hAnsi="宋体"/>
                <w:b/>
                <w:bCs/>
                <w:color w:val="000000"/>
                <w:szCs w:val="24"/>
              </w:rPr>
              <w:t>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8.6.11.1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数量：1</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8.6.11.2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4"/>
                <w:highlight w:val="none"/>
              </w:rPr>
            </w:pPr>
            <w:r>
              <w:rPr>
                <w:rFonts w:hint="eastAsia" w:ascii="宋体" w:hAnsi="宋体"/>
                <w:color w:val="000000"/>
                <w:szCs w:val="24"/>
                <w:highlight w:val="none"/>
              </w:rPr>
              <w:t>提供安装放置</w:t>
            </w:r>
            <w:r>
              <w:rPr>
                <w:rFonts w:hint="eastAsia" w:ascii="宋体" w:hAnsi="宋体"/>
                <w:color w:val="000000"/>
                <w:szCs w:val="24"/>
                <w:highlight w:val="none"/>
                <w:lang w:eastAsia="zh-CN"/>
              </w:rPr>
              <w:t>交换机的安装架或机柜</w:t>
            </w:r>
            <w:r>
              <w:rPr>
                <w:rFonts w:hint="eastAsia" w:ascii="宋体" w:hAnsi="宋体"/>
                <w:color w:val="00000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8.6.12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b/>
                <w:bCs/>
                <w:color w:val="000000"/>
                <w:szCs w:val="24"/>
                <w:lang w:eastAsia="zh-CN"/>
              </w:rPr>
              <w:t>工位桌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8.6.12.1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数量：</w:t>
            </w:r>
            <w:r>
              <w:rPr>
                <w:rFonts w:hint="eastAsia" w:ascii="宋体" w:hAnsi="宋体"/>
                <w:color w:val="000000"/>
                <w:szCs w:val="24"/>
                <w:lang w:val="en-US" w:eastAsia="zh-CN"/>
              </w:rPr>
              <w:t>4</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val="en-US" w:eastAsia="zh-CN"/>
              </w:rPr>
              <w:t>8.6.12.2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lang w:eastAsia="zh-CN"/>
              </w:rPr>
              <w:t>类型：防静电工作台。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8.6.12.3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4"/>
                <w:highlight w:val="none"/>
              </w:rPr>
            </w:pPr>
            <w:r>
              <w:rPr>
                <w:rFonts w:hint="eastAsia" w:ascii="宋体" w:hAnsi="宋体"/>
                <w:color w:val="000000"/>
                <w:szCs w:val="24"/>
              </w:rPr>
              <w:t>提供放置控制终端的工位桌，用于操作控制大屏、任务管理、结果反馈等。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8.6.12.4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color w:val="000000"/>
                <w:szCs w:val="24"/>
                <w:highlight w:val="none"/>
                <w:lang w:eastAsia="zh-CN"/>
              </w:rPr>
              <w:t>规格尺寸：长</w:t>
            </w:r>
            <w:r>
              <w:rPr>
                <w:rFonts w:hint="eastAsia" w:ascii="宋体" w:hAnsi="宋体"/>
                <w:color w:val="000000"/>
                <w:szCs w:val="24"/>
                <w:highlight w:val="none"/>
                <w:lang w:val="en-US" w:eastAsia="zh-CN"/>
              </w:rPr>
              <w:t>1800mm*宽800mm*高750mm。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8.6.12.5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highlight w:val="none"/>
                <w:lang w:eastAsia="zh-CN"/>
              </w:rPr>
              <w:t>桌面材质：防静电垫。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val="en-US" w:eastAsia="zh-CN"/>
              </w:rPr>
              <w:t>8.6.12.6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color w:val="000000"/>
                <w:szCs w:val="24"/>
                <w:highlight w:val="none"/>
                <w:lang w:eastAsia="zh-CN"/>
              </w:rPr>
              <w:t>框架材质：钢材、木材。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rPr>
            </w:pPr>
            <w:r>
              <w:rPr>
                <w:rFonts w:hint="eastAsia" w:ascii="宋体" w:hAnsi="宋体"/>
                <w:szCs w:val="21"/>
              </w:rPr>
              <w:t>8.</w:t>
            </w:r>
            <w:r>
              <w:rPr>
                <w:rFonts w:hint="eastAsia" w:ascii="宋体" w:hAnsi="宋体"/>
                <w:szCs w:val="21"/>
                <w:lang w:val="en-US" w:eastAsia="zh-CN"/>
              </w:rPr>
              <w:t>7</w:t>
            </w:r>
          </w:p>
        </w:tc>
        <w:tc>
          <w:tcPr>
            <w:tcW w:w="765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olor w:val="000000"/>
                <w:szCs w:val="24"/>
                <w:highlight w:val="none"/>
              </w:rPr>
            </w:pPr>
            <w:r>
              <w:rPr>
                <w:rFonts w:hint="eastAsia" w:ascii="宋体" w:hAnsi="宋体"/>
                <w:b/>
                <w:szCs w:val="21"/>
              </w:rPr>
              <w:t>系统硬件选型通用</w:t>
            </w:r>
            <w:r>
              <w:rPr>
                <w:rFonts w:ascii="宋体" w:hAnsi="宋体"/>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rPr>
            </w:pPr>
            <w:r>
              <w:rPr>
                <w:rFonts w:hint="eastAsia" w:ascii="宋体" w:hAnsi="宋体"/>
                <w:szCs w:val="21"/>
              </w:rPr>
              <w:t>8.</w:t>
            </w:r>
            <w:r>
              <w:rPr>
                <w:rFonts w:hint="eastAsia" w:ascii="宋体" w:hAnsi="宋体"/>
                <w:szCs w:val="21"/>
                <w:lang w:val="en-US" w:eastAsia="zh-CN"/>
              </w:rPr>
              <w:t>7</w:t>
            </w:r>
            <w:r>
              <w:rPr>
                <w:rFonts w:hint="eastAsia" w:ascii="宋体" w:hAnsi="宋体"/>
                <w:szCs w:val="21"/>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eastAsia="zh-CN"/>
              </w:rPr>
            </w:pPr>
            <w:r>
              <w:rPr>
                <w:rFonts w:hint="eastAsia" w:ascii="宋体" w:hAnsi="宋体"/>
                <w:color w:val="000000"/>
                <w:szCs w:val="24"/>
              </w:rPr>
              <w:t>服务器、</w:t>
            </w:r>
            <w:r>
              <w:rPr>
                <w:rFonts w:hint="eastAsia" w:ascii="宋体" w:hAnsi="宋体"/>
                <w:color w:val="000000"/>
                <w:szCs w:val="24"/>
                <w:lang w:eastAsia="zh-CN"/>
              </w:rPr>
              <w:t>显示大屏、控制终端、交换机、全自动光盘打印刻录一体机、黑白激光打印机、摄像头</w:t>
            </w:r>
            <w:r>
              <w:rPr>
                <w:rFonts w:hint="eastAsia" w:ascii="宋体" w:hAnsi="宋体"/>
                <w:color w:val="000000"/>
                <w:szCs w:val="24"/>
              </w:rPr>
              <w:t>等设备在满足应用系统使用需求的前提下，优先选用国产化产品</w:t>
            </w:r>
            <w:r>
              <w:rPr>
                <w:rFonts w:hint="eastAsia" w:ascii="宋体" w:hAnsi="宋体"/>
                <w:color w:val="000000"/>
                <w:szCs w:val="24"/>
                <w:lang w:eastAsia="zh-CN"/>
              </w:rPr>
              <w:t>，</w:t>
            </w:r>
            <w:r>
              <w:rPr>
                <w:rFonts w:hint="eastAsia" w:ascii="宋体" w:hAnsi="宋体"/>
                <w:color w:val="000000"/>
                <w:szCs w:val="24"/>
              </w:rPr>
              <w:t>均不能有WIFI、蓝牙、红外等无线功能模块</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rPr>
            </w:pPr>
            <w:r>
              <w:rPr>
                <w:rFonts w:hint="eastAsia" w:ascii="宋体" w:hAnsi="宋体"/>
                <w:color w:val="000000"/>
                <w:szCs w:val="24"/>
              </w:rPr>
              <w:t>连入工控网的计算机、上位机等带有操作系统的终端设备所使用的操作系统支持适配国产操作系统，若有其他系统需取得</w:t>
            </w:r>
            <w:r>
              <w:rPr>
                <w:rFonts w:hint="eastAsia" w:ascii="宋体" w:hAnsi="宋体"/>
                <w:color w:val="000000"/>
                <w:szCs w:val="24"/>
                <w:lang w:eastAsia="zh-CN"/>
              </w:rPr>
              <w:t>买方</w:t>
            </w:r>
            <w:r>
              <w:rPr>
                <w:rFonts w:hint="eastAsia" w:ascii="宋体" w:hAnsi="宋体"/>
                <w:color w:val="000000"/>
                <w:szCs w:val="24"/>
              </w:rPr>
              <w:t>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rPr>
            </w:pPr>
            <w:r>
              <w:rPr>
                <w:rFonts w:hint="eastAsia" w:ascii="宋体" w:hAnsi="宋体"/>
                <w:color w:val="000000"/>
                <w:szCs w:val="24"/>
              </w:rPr>
              <w:t>计算机操作系统为正版授权。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rPr>
            </w:pPr>
            <w:r>
              <w:rPr>
                <w:rFonts w:hint="eastAsia" w:ascii="宋体" w:hAnsi="宋体"/>
                <w:color w:val="000000"/>
                <w:szCs w:val="24"/>
                <w:lang w:val="zh-CN"/>
              </w:rPr>
              <w:t>工控网网线及相关标示采用灰色，网线选用六类网线。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9</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b/>
                <w:bCs/>
                <w:color w:val="000000"/>
                <w:szCs w:val="24"/>
              </w:rPr>
              <w:t>随机标准附件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9.1</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000000"/>
                <w:szCs w:val="24"/>
                <w:highlight w:val="none"/>
                <w:lang w:eastAsia="zh-CN"/>
              </w:rPr>
            </w:pPr>
            <w:r>
              <w:rPr>
                <w:rFonts w:hint="eastAsia" w:ascii="宋体" w:hAnsi="宋体" w:eastAsia="宋体" w:cs="宋体"/>
                <w:i w:val="0"/>
                <w:caps w:val="0"/>
                <w:color w:val="111111"/>
                <w:spacing w:val="0"/>
                <w:sz w:val="21"/>
                <w:szCs w:val="21"/>
              </w:rPr>
              <w:t>验收时提供设备满足正常使用必备的随机附件</w:t>
            </w:r>
            <w:r>
              <w:rPr>
                <w:rFonts w:hint="eastAsia" w:ascii="宋体" w:hAnsi="宋体" w:cs="宋体"/>
                <w:i w:val="0"/>
                <w:caps w:val="0"/>
                <w:color w:val="111111"/>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9.2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eastAsia="宋体" w:cs="宋体"/>
                <w:i w:val="0"/>
                <w:caps w:val="0"/>
                <w:color w:val="111111"/>
                <w:spacing w:val="0"/>
                <w:sz w:val="21"/>
                <w:szCs w:val="21"/>
              </w:rPr>
              <w:t>验收时提供设备易损件清单。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ascii="宋体" w:hAnsi="宋体"/>
                <w:b/>
                <w:bCs/>
                <w:szCs w:val="21"/>
              </w:rPr>
              <w:t>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w:t>
            </w:r>
            <w:r>
              <w:rPr>
                <w:rFonts w:hint="eastAsia"/>
              </w:rPr>
              <w:t>装箱单/送货单：纸质</w:t>
            </w:r>
            <w:r>
              <w:t>1套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w:t>
            </w:r>
            <w:r>
              <w:rPr>
                <w:rFonts w:hint="eastAsia"/>
              </w:rPr>
              <w:t>出厂</w:t>
            </w:r>
            <w:r>
              <w:t>合格证</w:t>
            </w:r>
            <w:r>
              <w:rPr>
                <w:rFonts w:hint="eastAsia"/>
              </w:rPr>
              <w:t>：纸质</w:t>
            </w:r>
            <w:r>
              <w:t>1套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w:t>
            </w:r>
            <w:r>
              <w:rPr>
                <w:rFonts w:hint="eastAsia"/>
              </w:rPr>
              <w:t>设备铭牌（贴设备上）。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提供出厂检测报告</w:t>
            </w:r>
            <w:r>
              <w:rPr>
                <w:rFonts w:hint="eastAsia"/>
              </w:rPr>
              <w:t>：纸质</w:t>
            </w:r>
            <w:r>
              <w:t>1套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w:t>
            </w:r>
            <w:r>
              <w:rPr>
                <w:rFonts w:hint="eastAsia" w:ascii="宋体" w:hAnsi="宋体"/>
                <w:szCs w:val="21"/>
              </w:rPr>
              <w:t>使用说明书：纸质1套</w:t>
            </w:r>
            <w:r>
              <w:rPr>
                <w:rFonts w:hint="eastAsia" w:ascii="宋体" w:hAnsi="宋体"/>
                <w:szCs w:val="21"/>
                <w:lang w:eastAsia="zh-CN"/>
              </w:rPr>
              <w:t>。</w:t>
            </w:r>
            <w:r>
              <w:rPr>
                <w:rFonts w:hint="eastAsia" w:ascii="宋体" w:hAnsi="宋体"/>
                <w:szCs w:val="21"/>
              </w:rPr>
              <w:t>电子文档：1套。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10.6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highlight w:val="none"/>
                <w:lang w:eastAsia="zh-CN"/>
              </w:rPr>
            </w:pPr>
            <w:r>
              <w:rPr>
                <w:rFonts w:hint="eastAsia"/>
                <w:lang w:eastAsia="zh-CN"/>
              </w:rPr>
              <w:t>提供设备组成表：</w:t>
            </w:r>
            <w:r>
              <w:rPr>
                <w:rFonts w:hint="eastAsia" w:ascii="宋体" w:hAnsi="宋体"/>
                <w:szCs w:val="21"/>
              </w:rPr>
              <w:t>纸质1套</w:t>
            </w:r>
            <w:r>
              <w:rPr>
                <w:rFonts w:hint="eastAsia" w:ascii="宋体" w:hAnsi="宋体"/>
                <w:szCs w:val="21"/>
                <w:lang w:eastAsia="zh-CN"/>
              </w:rPr>
              <w:t>。</w:t>
            </w:r>
            <w:r>
              <w:rPr>
                <w:rFonts w:hint="eastAsia" w:ascii="宋体" w:hAnsi="宋体"/>
                <w:szCs w:val="21"/>
              </w:rPr>
              <w:t>电子文档：1套。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10.</w:t>
            </w:r>
            <w:r>
              <w:rPr>
                <w:rFonts w:hint="eastAsia" w:ascii="宋体" w:hAnsi="宋体"/>
                <w:szCs w:val="21"/>
                <w:lang w:val="en-US" w:eastAsia="zh-CN"/>
              </w:rPr>
              <w:t>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w:t>
            </w:r>
            <w:r>
              <w:rPr>
                <w:rFonts w:hint="eastAsia" w:ascii="宋体" w:hAnsi="宋体"/>
                <w:szCs w:val="21"/>
              </w:rPr>
              <w:t>维修手册：纸质1套</w:t>
            </w:r>
            <w:r>
              <w:rPr>
                <w:rFonts w:hint="eastAsia" w:ascii="宋体" w:hAnsi="宋体"/>
                <w:szCs w:val="21"/>
                <w:lang w:eastAsia="zh-CN"/>
              </w:rPr>
              <w:t>。</w:t>
            </w:r>
            <w:r>
              <w:rPr>
                <w:rFonts w:hint="eastAsia" w:ascii="宋体" w:hAnsi="宋体"/>
                <w:szCs w:val="21"/>
              </w:rPr>
              <w:t>电子文档：1套。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10.8</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提供保养手册（含日常点检、二级保养或三级保养）：</w:t>
            </w:r>
            <w:r>
              <w:rPr>
                <w:rFonts w:hint="eastAsia" w:ascii="宋体" w:hAnsi="宋体"/>
                <w:szCs w:val="21"/>
              </w:rPr>
              <w:t>纸质1套</w:t>
            </w:r>
            <w:r>
              <w:rPr>
                <w:rFonts w:hint="eastAsia" w:ascii="宋体" w:hAnsi="宋体"/>
                <w:szCs w:val="21"/>
                <w:lang w:eastAsia="zh-CN"/>
              </w:rPr>
              <w:t>。</w:t>
            </w:r>
            <w:r>
              <w:rPr>
                <w:rFonts w:hint="eastAsia" w:ascii="宋体" w:hAnsi="宋体"/>
                <w:szCs w:val="21"/>
              </w:rPr>
              <w:t>电子文档：1套。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10.9</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提供设备易损件清单、备件清单（含牌号及生产厂家及联系方式）：</w:t>
            </w:r>
            <w:r>
              <w:rPr>
                <w:rFonts w:hint="eastAsia" w:ascii="宋体" w:hAnsi="宋体"/>
                <w:szCs w:val="21"/>
              </w:rPr>
              <w:t>纸质1套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10.10</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提供外购件清单：</w:t>
            </w:r>
            <w:r>
              <w:rPr>
                <w:rFonts w:hint="eastAsia" w:ascii="宋体" w:hAnsi="宋体"/>
                <w:szCs w:val="21"/>
              </w:rPr>
              <w:t>纸质1套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提供外购件说明书和合格证</w:t>
            </w:r>
            <w:r>
              <w:rPr>
                <w:rFonts w:hint="eastAsia"/>
                <w:lang w:eastAsia="zh-CN"/>
              </w:rPr>
              <w:t>。</w:t>
            </w:r>
            <w:r>
              <w:t>进口外购件需提供原产地证明</w:t>
            </w:r>
            <w:r>
              <w:rPr>
                <w:rFonts w:hint="eastAsia"/>
              </w:rPr>
              <w:t>：</w:t>
            </w:r>
            <w:r>
              <w:rPr>
                <w:rFonts w:hint="eastAsia" w:ascii="宋体" w:hAnsi="宋体"/>
                <w:szCs w:val="21"/>
              </w:rPr>
              <w:t>纸质1套</w:t>
            </w:r>
            <w:r>
              <w:rPr>
                <w:rFonts w:hint="eastAsia"/>
              </w:rPr>
              <w:t>，合格证应为原件。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提供培训计划（不少于3次）：纸质1套。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提供培训教材：纸质1套</w:t>
            </w:r>
            <w:r>
              <w:rPr>
                <w:rFonts w:hint="eastAsia"/>
                <w:lang w:eastAsia="zh-CN"/>
              </w:rPr>
              <w:t>。</w:t>
            </w:r>
            <w:r>
              <w:rPr>
                <w:rFonts w:hint="eastAsia"/>
              </w:rPr>
              <w:t>电子文档：1</w:t>
            </w:r>
            <w:r>
              <w:rPr>
                <w:rFonts w:hint="eastAsia" w:ascii="宋体" w:hAnsi="宋体"/>
                <w:szCs w:val="21"/>
              </w:rPr>
              <w:t>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color w:val="000000"/>
                <w:szCs w:val="21"/>
              </w:rPr>
              <w:t>提供培训记录表：纸质1套，签字。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提供二次开发接口文件：电子文档1套。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10.16</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rPr>
              <w:t>提供软件安装程序（光盘/U盘）：电子文档2套。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10.17</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rPr>
              <w:t>提供软件源程序（光盘/U盘）：电子文档2套。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10.18</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rPr>
              <w:t>提供软件授权/软件许可协议：纸质1套。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10.19</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rPr>
              <w:t>提供软件无病毒承诺书：纸质1套。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10.20</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提供设备无病毒、无USB插拔记录、无上网记录、不带无线上网、无线红外和GPS功能的承诺书或自检报告：纸质1套。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10.21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提供验收测试记录表：纸质1套，双方测试人员签字。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10.2</w:t>
            </w:r>
            <w:r>
              <w:rPr>
                <w:rFonts w:hint="eastAsia" w:ascii="宋体" w:hAnsi="宋体"/>
                <w:szCs w:val="21"/>
                <w:lang w:val="en-US" w:eastAsia="zh-CN"/>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w:t>
            </w:r>
            <w:r>
              <w:rPr>
                <w:rFonts w:hint="eastAsia" w:ascii="宋体" w:hAnsi="宋体"/>
                <w:color w:val="000000"/>
                <w:szCs w:val="24"/>
              </w:rPr>
              <w:t>详细实施计划、</w:t>
            </w:r>
            <w:r>
              <w:rPr>
                <w:rFonts w:hint="eastAsia"/>
              </w:rPr>
              <w:t>详细设计方案、</w:t>
            </w:r>
            <w:r>
              <w:rPr>
                <w:rFonts w:hint="eastAsia" w:ascii="宋体" w:hAnsi="宋体"/>
                <w:color w:val="000000"/>
                <w:szCs w:val="24"/>
              </w:rPr>
              <w:t>系统配置文档、系统集成方案和二次开发方案及指导书、功能开发说明书及单元测试报告、用户测试报告、</w:t>
            </w:r>
            <w:r>
              <w:rPr>
                <w:rFonts w:hint="eastAsia"/>
              </w:rPr>
              <w:t>验收大纲、研制总结各1套。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详细实施计划：签订合同后按照合同规定确定项目启动时间，明确项目组人员</w:t>
            </w:r>
            <w:r>
              <w:rPr>
                <w:rFonts w:hint="eastAsia" w:ascii="宋体" w:hAnsi="宋体"/>
                <w:color w:val="000000"/>
                <w:szCs w:val="24"/>
                <w:lang w:eastAsia="zh-CN"/>
              </w:rPr>
              <w:t>。</w:t>
            </w:r>
            <w:r>
              <w:rPr>
                <w:rFonts w:hint="eastAsia" w:ascii="宋体" w:hAnsi="宋体"/>
                <w:color w:val="000000"/>
                <w:szCs w:val="24"/>
              </w:rPr>
              <w:t>卖方编制《验证</w:t>
            </w:r>
            <w:r>
              <w:rPr>
                <w:rFonts w:hint="eastAsia" w:ascii="宋体" w:hAnsi="宋体"/>
                <w:color w:val="000000"/>
                <w:szCs w:val="24"/>
                <w:lang w:eastAsia="zh-CN"/>
              </w:rPr>
              <w:t>试验</w:t>
            </w:r>
            <w:r>
              <w:rPr>
                <w:rFonts w:hint="eastAsia" w:ascii="宋体" w:hAnsi="宋体"/>
                <w:color w:val="000000"/>
                <w:szCs w:val="24"/>
              </w:rPr>
              <w:t>室数据管理平台详细实施计划》，明确项目WBS，明确项目阶段性目标和交付物。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详细设计方案：</w:t>
            </w:r>
            <w:r>
              <w:rPr>
                <w:rFonts w:hint="eastAsia" w:ascii="宋体" w:hAnsi="宋体"/>
                <w:szCs w:val="21"/>
              </w:rPr>
              <w:t>卖方投标时应提供初步设计方案</w:t>
            </w:r>
            <w:r>
              <w:rPr>
                <w:rFonts w:hint="eastAsia" w:ascii="宋体" w:hAnsi="宋体"/>
                <w:szCs w:val="21"/>
                <w:lang w:eastAsia="zh-CN"/>
              </w:rPr>
              <w:t>。</w:t>
            </w:r>
            <w:r>
              <w:rPr>
                <w:rFonts w:hint="eastAsia" w:ascii="宋体" w:hAnsi="宋体"/>
                <w:szCs w:val="21"/>
              </w:rPr>
              <w:t>合同签订后10个工作日内提供详细设计方案。卖方提交详细设计方案10个工作日内需通过方案评审</w:t>
            </w:r>
            <w:r>
              <w:rPr>
                <w:rFonts w:hint="eastAsia" w:ascii="宋体" w:hAnsi="宋体"/>
                <w:szCs w:val="21"/>
                <w:lang w:eastAsia="zh-CN"/>
              </w:rPr>
              <w:t>。</w:t>
            </w:r>
            <w:r>
              <w:rPr>
                <w:rFonts w:hint="eastAsia" w:ascii="宋体" w:hAnsi="宋体"/>
                <w:szCs w:val="21"/>
              </w:rPr>
              <w:t>详细设计方案经买方评审三次未通过的，买方有权终止合同，并要求卖方退回全部预付款。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系统配置文档：根据详细设计方案完善系统配置，提交系统配置文档。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系统集成方案和二次开发方案及指导书：根据详细设计方案进行开发和系统集成，提交系统集成方案和二次开发方案及指导书。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功能开发说明书及单元测试报告：详细单元测试后提供功能开发说明书及单元测试报告。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用户测试报告：关键用户测试开发的各种系统功能需求后提供用户测试报告。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.7</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验收大纲：卖方需在设备交付前15个工作日向买方提供中标设备的验收大纲</w:t>
            </w:r>
            <w:r>
              <w:rPr>
                <w:rFonts w:hint="eastAsia" w:ascii="宋体" w:hAnsi="宋体"/>
                <w:szCs w:val="21"/>
                <w:lang w:eastAsia="zh-CN"/>
              </w:rPr>
              <w:t>。</w:t>
            </w:r>
            <w:r>
              <w:rPr>
                <w:rFonts w:hint="eastAsia" w:ascii="宋体" w:hAnsi="宋体"/>
                <w:szCs w:val="21"/>
              </w:rPr>
              <w:t>经双方评审通过生效。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.8</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研制总结：设备验收后30个工作日之内，卖方须提交设备研制总结，经买方评审作为资料的一部分。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11.1</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卖方自行组织人财物，完成设备卸车、转运、就位安装、二次配接、调试，整个过程产生的一切费用计入投标总价。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11.2</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rPr>
              <w:t>安装过程所需的基本条件由买方完成</w:t>
            </w:r>
            <w:r>
              <w:rPr>
                <w:rFonts w:hint="eastAsia" w:ascii="宋体" w:hAnsi="宋体"/>
                <w:szCs w:val="21"/>
              </w:rPr>
              <w:t>，含水电气一次配接、破墙、地基、接地极、温湿度要求等。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11.3</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highlight w:val="none"/>
              </w:rPr>
            </w:pPr>
            <w:r>
              <w:rPr>
                <w:rFonts w:hint="eastAsia"/>
              </w:rPr>
              <w:t>安装周期：在设备到达买方现场后，自买方通知卖方起，2个月内，卖方必须负责完成安装调试，达到买方正常使用需求。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11.4</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买方现场现有水电气的安装条件：</w:t>
            </w:r>
          </w:p>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水：不需要用水。</w:t>
            </w:r>
          </w:p>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气：不需要用气。</w:t>
            </w:r>
            <w:r>
              <w:rPr>
                <w:rFonts w:ascii="宋体" w:hAnsi="宋体"/>
                <w:szCs w:val="21"/>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szCs w:val="21"/>
              </w:rPr>
            </w:pPr>
            <w:r>
              <w:rPr>
                <w:rFonts w:hint="eastAsia" w:ascii="宋体" w:hAnsi="宋体"/>
                <w:szCs w:val="21"/>
              </w:rPr>
              <w:t>电：电源已接入设备附近动力配电箱。（二次配接需要有一定的安全余量，电缆的长度考虑安装余量）。</w:t>
            </w:r>
          </w:p>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highlight w:val="none"/>
              </w:rPr>
            </w:pPr>
            <w:r>
              <w:rPr>
                <w:rFonts w:hint="eastAsia" w:ascii="宋体" w:hAnsi="宋体"/>
                <w:szCs w:val="21"/>
              </w:rPr>
              <w:t>网络：网线已接入楼层墙面。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11.5</w:t>
            </w:r>
          </w:p>
        </w:tc>
        <w:tc>
          <w:tcPr>
            <w:tcW w:w="76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卖方负责对软件及系统设备的安装调试，直至能正常使用。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hanging="20" w:firstLineChars="0"/>
              <w:jc w:val="left"/>
              <w:textAlignment w:val="auto"/>
              <w:rPr>
                <w:rFonts w:ascii="宋体" w:hAnsi="宋体"/>
                <w:szCs w:val="24"/>
                <w:highlight w:val="none"/>
              </w:rPr>
            </w:pPr>
            <w:r>
              <w:rPr>
                <w:rFonts w:hint="eastAsia" w:ascii="宋体" w:hAnsi="宋体"/>
                <w:color w:val="000000"/>
                <w:szCs w:val="24"/>
              </w:rPr>
              <w:t>安装过程不应产生任何异常</w:t>
            </w:r>
            <w:r>
              <w:rPr>
                <w:rFonts w:hint="eastAsia" w:ascii="宋体" w:hAnsi="宋体"/>
                <w:color w:val="000000"/>
                <w:szCs w:val="24"/>
                <w:lang w:eastAsia="zh-CN"/>
              </w:rPr>
              <w:t>。</w:t>
            </w:r>
            <w:r>
              <w:rPr>
                <w:rFonts w:hint="eastAsia" w:ascii="宋体" w:hAnsi="宋体"/>
                <w:color w:val="000000"/>
                <w:szCs w:val="24"/>
              </w:rPr>
              <w:t>如不能正常安装，卖方应在七个工作日内免费更换合格的符合要求的软硬件。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4"/>
                <w:highlight w:val="none"/>
              </w:rPr>
            </w:pPr>
            <w:r>
              <w:rPr>
                <w:rFonts w:hint="eastAsia" w:ascii="宋体" w:hAnsi="宋体"/>
                <w:color w:val="000000"/>
                <w:szCs w:val="24"/>
              </w:rPr>
              <w:t>安装时需要有卖方人员陪同，并提前培训安装步骤，并交付安装说明书。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12</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12.1</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ascii="宋体" w:hAnsi="宋体"/>
                <w:szCs w:val="21"/>
              </w:rPr>
              <w:t>验收标准：</w:t>
            </w:r>
            <w:r>
              <w:rPr>
                <w:rFonts w:hint="eastAsia" w:ascii="宋体" w:hAnsi="宋体"/>
                <w:szCs w:val="21"/>
              </w:rPr>
              <w:t>具体按验收大纲规定验收。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12.2</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原厂报告：出具原厂设备出厂检测报告一份。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12.3</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终验收：完成设备安装、调试后（在买方工厂），进行最终验收，同时进行操作、维修等技术培训，验收合格后双方签字生效。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13</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13.1</w:t>
            </w:r>
          </w:p>
        </w:tc>
        <w:tc>
          <w:tcPr>
            <w:tcW w:w="7654" w:type="dxa"/>
            <w:vAlign w:val="center"/>
          </w:tcPr>
          <w:p>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培训时间：系统上线后，卖方应进行不少于</w:t>
            </w:r>
            <w:r>
              <w:rPr>
                <w:rFonts w:ascii="宋体" w:hAnsi="宋体"/>
                <w:szCs w:val="21"/>
              </w:rPr>
              <w:t>3次</w:t>
            </w:r>
            <w:r>
              <w:rPr>
                <w:rFonts w:hint="eastAsia" w:ascii="宋体" w:hAnsi="宋体"/>
                <w:szCs w:val="21"/>
              </w:rPr>
              <w:t>免费的技术培训，包含设备操作、软件操作、设备维护、软件维护等内容。</w:t>
            </w:r>
            <w:r>
              <w:rPr>
                <w:rFonts w:ascii="宋体" w:hAnsi="宋体"/>
                <w:szCs w:val="21"/>
              </w:rPr>
              <w:t>每次培训时间不少于3</w:t>
            </w:r>
            <w:r>
              <w:rPr>
                <w:rFonts w:hint="eastAsia" w:ascii="宋体" w:hAnsi="宋体"/>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140" w:rightChars="0"/>
              <w:jc w:val="left"/>
              <w:textAlignment w:val="auto"/>
              <w:rPr>
                <w:rFonts w:ascii="宋体" w:hAnsi="宋体"/>
                <w:szCs w:val="24"/>
                <w:highlight w:val="none"/>
              </w:rPr>
            </w:pPr>
            <w:r>
              <w:rPr>
                <w:rFonts w:hint="eastAsia" w:ascii="宋体" w:hAnsi="宋体"/>
                <w:color w:val="000000"/>
                <w:szCs w:val="24"/>
              </w:rPr>
              <w:t>基础培训：包括产品介绍、系统操作、系统管理等课程，卖方向买方系统使用人员面授培训课程，完成上述培训</w:t>
            </w:r>
            <w:r>
              <w:rPr>
                <w:rFonts w:hint="eastAsia" w:ascii="宋体" w:hAnsi="宋体"/>
                <w:color w:val="000000"/>
                <w:szCs w:val="24"/>
                <w:lang w:eastAsia="zh-CN"/>
              </w:rPr>
              <w:t>。</w:t>
            </w:r>
            <w:r>
              <w:rPr>
                <w:rFonts w:hint="eastAsia" w:ascii="宋体" w:hAnsi="宋体"/>
                <w:color w:val="000000"/>
                <w:szCs w:val="24"/>
              </w:rPr>
              <w:t>卖方需为买方项目核心团队和关键用户提供标准功能培训，以便相关人员掌握产品的基本功能。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业务流程培训：卖方顾问在整个项目实施过程中，在设计阶段需传授业务流程知识，此项工作需结合项目实施过程进行。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140" w:rightChars="0"/>
              <w:jc w:val="left"/>
              <w:textAlignment w:val="auto"/>
              <w:rPr>
                <w:rFonts w:ascii="宋体" w:hAnsi="宋体"/>
                <w:szCs w:val="24"/>
                <w:highlight w:val="none"/>
              </w:rPr>
            </w:pPr>
            <w:r>
              <w:rPr>
                <w:rFonts w:hint="eastAsia" w:ascii="宋体" w:hAnsi="宋体"/>
                <w:color w:val="000000"/>
                <w:szCs w:val="24"/>
              </w:rPr>
              <w:t>系统配置、维护培训：卖方在上线运行、维护期间对买方运维团队完成系统配置、系统维护培训，保证买方在维护期后能够独立维护、配置系统，同时编制适用于买方系统的运维手册（非官方手册）。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before="3" w:line="360" w:lineRule="exact"/>
              <w:ind w:right="160" w:rightChars="0"/>
              <w:jc w:val="left"/>
              <w:textAlignment w:val="auto"/>
              <w:rPr>
                <w:rFonts w:ascii="宋体" w:hAnsi="宋体"/>
                <w:szCs w:val="24"/>
                <w:highlight w:val="none"/>
              </w:rPr>
            </w:pPr>
            <w:r>
              <w:rPr>
                <w:rFonts w:hint="eastAsia" w:ascii="宋体" w:hAnsi="宋体"/>
                <w:color w:val="000000"/>
                <w:szCs w:val="24"/>
              </w:rPr>
              <w:t>系统数据库管理培训，卖方提供对系统数据库的管理、使用培训，保证买方在后期能实现对系统数据库的日常管理维护工作</w:t>
            </w:r>
            <w:r>
              <w:rPr>
                <w:rFonts w:hint="eastAsia" w:ascii="宋体" w:hAnsi="宋体"/>
                <w:color w:val="000000"/>
                <w:szCs w:val="24"/>
                <w:lang w:eastAsia="zh-CN"/>
              </w:rPr>
              <w:t>。</w:t>
            </w:r>
            <w:r>
              <w:rPr>
                <w:rFonts w:hint="eastAsia" w:ascii="宋体" w:hAnsi="宋体"/>
                <w:color w:val="000000"/>
                <w:szCs w:val="24"/>
              </w:rPr>
              <w:t>同时编制系统安装、备份、还原说明书。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before="117" w:line="360" w:lineRule="exact"/>
              <w:jc w:val="left"/>
              <w:textAlignment w:val="auto"/>
              <w:rPr>
                <w:rFonts w:ascii="宋体" w:hAnsi="宋体"/>
                <w:szCs w:val="24"/>
                <w:highlight w:val="none"/>
              </w:rPr>
            </w:pPr>
            <w:r>
              <w:rPr>
                <w:rFonts w:hint="eastAsia" w:ascii="宋体" w:hAnsi="宋体"/>
                <w:color w:val="000000"/>
                <w:szCs w:val="24"/>
              </w:rPr>
              <w:t>卖方负责提供符合买方要求的培训材料。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before="1" w:line="360" w:lineRule="exact"/>
              <w:ind w:right="120" w:rightChars="0"/>
              <w:jc w:val="left"/>
              <w:textAlignment w:val="auto"/>
              <w:rPr>
                <w:rFonts w:ascii="宋体" w:hAnsi="宋体"/>
                <w:szCs w:val="24"/>
                <w:highlight w:val="none"/>
              </w:rPr>
            </w:pPr>
            <w:r>
              <w:rPr>
                <w:rFonts w:hint="eastAsia" w:ascii="宋体" w:hAnsi="宋体"/>
                <w:color w:val="000000"/>
                <w:szCs w:val="24"/>
              </w:rPr>
              <w:t>二次开发培训，卖方对买方二次开发人员进行开发培训，保证买方能够独立进行的二次开发，同时编制二次开发说明指导书。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13.8</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before="99" w:line="360" w:lineRule="exact"/>
              <w:jc w:val="left"/>
              <w:textAlignment w:val="auto"/>
              <w:rPr>
                <w:rFonts w:ascii="宋体" w:hAnsi="宋体"/>
                <w:szCs w:val="24"/>
                <w:highlight w:val="none"/>
              </w:rPr>
            </w:pPr>
            <w:r>
              <w:rPr>
                <w:rFonts w:hint="eastAsia" w:ascii="宋体" w:hAnsi="宋体"/>
                <w:color w:val="000000"/>
                <w:szCs w:val="24"/>
              </w:rPr>
              <w:t>整个培训学时不得少于50学时，以达到买方认定的培训效果为准。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13.9</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120" w:rightChars="0"/>
              <w:jc w:val="left"/>
              <w:textAlignment w:val="auto"/>
              <w:rPr>
                <w:rFonts w:ascii="宋体" w:hAnsi="宋体"/>
                <w:szCs w:val="24"/>
                <w:highlight w:val="none"/>
              </w:rPr>
            </w:pPr>
            <w:r>
              <w:rPr>
                <w:rFonts w:hint="eastAsia" w:ascii="宋体" w:hAnsi="宋体"/>
                <w:color w:val="000000"/>
                <w:szCs w:val="24"/>
              </w:rPr>
              <w:t>每次培训开始前由卖方向买方提供《培训计划书》及培训资料，买方负责提供培训场地及设备，并安排好受训人员工作。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13.10</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160" w:rightChars="0"/>
              <w:jc w:val="left"/>
              <w:textAlignment w:val="auto"/>
              <w:rPr>
                <w:rFonts w:ascii="宋体" w:hAnsi="宋体"/>
                <w:szCs w:val="24"/>
                <w:highlight w:val="none"/>
              </w:rPr>
            </w:pPr>
            <w:r>
              <w:rPr>
                <w:rFonts w:hint="eastAsia" w:ascii="宋体" w:hAnsi="宋体"/>
                <w:color w:val="000000"/>
                <w:szCs w:val="24"/>
              </w:rPr>
              <w:t>根据买方需求，分多角色多次对业务用户进行全面培训，保证培训质量</w:t>
            </w:r>
            <w:r>
              <w:rPr>
                <w:rFonts w:hint="eastAsia" w:ascii="宋体" w:hAnsi="宋体"/>
                <w:color w:val="000000"/>
                <w:szCs w:val="24"/>
                <w:lang w:eastAsia="zh-CN"/>
              </w:rPr>
              <w:t>。</w:t>
            </w:r>
            <w:r>
              <w:rPr>
                <w:rFonts w:hint="eastAsia" w:ascii="宋体" w:hAnsi="宋体"/>
                <w:color w:val="000000"/>
                <w:szCs w:val="24"/>
              </w:rPr>
              <w:t>同时，在上线运行期间视情况进行单独培训</w:t>
            </w:r>
            <w:r>
              <w:rPr>
                <w:rFonts w:hint="eastAsia" w:ascii="宋体" w:hAnsi="宋体"/>
                <w:color w:val="000000"/>
                <w:szCs w:val="24"/>
                <w:lang w:eastAsia="zh-CN"/>
              </w:rPr>
              <w:t>。</w:t>
            </w:r>
            <w:r>
              <w:rPr>
                <w:rFonts w:hint="eastAsia" w:ascii="宋体" w:hAnsi="宋体"/>
                <w:color w:val="000000"/>
                <w:szCs w:val="24"/>
              </w:rPr>
              <w:t>并交付相应的培训资料和培训效果（培训考试）作为项目实施开发的重要文档。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before="102" w:line="360" w:lineRule="exact"/>
              <w:jc w:val="left"/>
              <w:textAlignment w:val="auto"/>
              <w:rPr>
                <w:rFonts w:ascii="宋体" w:hAnsi="宋体"/>
                <w:szCs w:val="24"/>
                <w:highlight w:val="none"/>
              </w:rPr>
            </w:pPr>
            <w:r>
              <w:rPr>
                <w:rFonts w:hint="eastAsia" w:ascii="宋体" w:hAnsi="宋体"/>
                <w:b/>
                <w:bCs/>
                <w:color w:val="000000"/>
                <w:szCs w:val="24"/>
              </w:rPr>
              <w:t>售后技术支持与维护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before="26" w:line="360" w:lineRule="exact"/>
              <w:ind w:right="140" w:rightChars="0"/>
              <w:jc w:val="left"/>
              <w:textAlignment w:val="auto"/>
              <w:rPr>
                <w:rFonts w:ascii="宋体" w:hAnsi="宋体"/>
                <w:szCs w:val="24"/>
                <w:highlight w:val="none"/>
              </w:rPr>
            </w:pPr>
            <w:r>
              <w:rPr>
                <w:rFonts w:hint="eastAsia" w:ascii="宋体" w:hAnsi="宋体"/>
                <w:color w:val="000000"/>
                <w:szCs w:val="24"/>
              </w:rPr>
              <w:t>系统验收合格后卖方必须提供为期1年的质量保证，质保期内提供免费的系统维护和系统补丁升级服务。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280" w:rightChars="0"/>
              <w:jc w:val="left"/>
              <w:textAlignment w:val="auto"/>
              <w:rPr>
                <w:rFonts w:ascii="宋体" w:hAnsi="宋体"/>
                <w:szCs w:val="24"/>
                <w:highlight w:val="none"/>
              </w:rPr>
            </w:pPr>
            <w:r>
              <w:rPr>
                <w:rFonts w:hint="eastAsia" w:ascii="宋体" w:hAnsi="宋体"/>
                <w:color w:val="000000"/>
                <w:szCs w:val="24"/>
              </w:rPr>
              <w:t>售后服务项还包括系统故障、代码BUG以及买方提出的基于人性化操作、系统防错、功能完善、优化等需求。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当软件使用发生故障时，买方技术人员对故障现象和信息进行详细的观察记录，并通过电话或E-MAIL通报给卖方，卖方应于2小时内做出响应并进行电话指导，如电话指导仍不能解决，卖方应派技术人员于24小时内到现场进行故障会诊，确认合适的方案并指导买方人员进行现场操作，排除故障</w:t>
            </w:r>
            <w:r>
              <w:rPr>
                <w:rFonts w:hint="eastAsia" w:ascii="宋体" w:hAnsi="宋体"/>
                <w:color w:val="000000"/>
                <w:szCs w:val="24"/>
                <w:lang w:eastAsia="zh-CN"/>
              </w:rPr>
              <w:t>。</w:t>
            </w:r>
            <w:r>
              <w:rPr>
                <w:rFonts w:hint="eastAsia" w:ascii="宋体" w:hAnsi="宋体"/>
                <w:color w:val="000000"/>
                <w:szCs w:val="24"/>
              </w:rPr>
              <w:t>由于软件原因的系统DOWN机，卖方需要在8小时之内到达现场，24小时内解决</w:t>
            </w:r>
            <w:r>
              <w:rPr>
                <w:rFonts w:hint="eastAsia" w:ascii="宋体" w:hAnsi="宋体"/>
                <w:color w:val="000000"/>
                <w:szCs w:val="24"/>
                <w:lang w:eastAsia="zh-CN"/>
              </w:rPr>
              <w:t>。</w:t>
            </w:r>
            <w:r>
              <w:rPr>
                <w:rFonts w:hint="eastAsia" w:ascii="宋体" w:hAnsi="宋体"/>
                <w:color w:val="000000"/>
                <w:szCs w:val="24"/>
              </w:rPr>
              <w:t>非系统故障问题，响应时间不得超过6小时。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如果买方在后期使用过程中发现由于软件固有缺陷或者二次开发的代码BUG引起的功能不全或功能丧失，卖方应终身免费维护，直至软件运行正常。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服务器及控制上位机提供3年存储部件保留服务（含硬盘、内存、闪存、主板等包含存储部件的硬件）。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卖方定期发布程序补丁，当软件版本变动时，应及时（一周内）通知买方并提供免费升级服务，协助用户尽快掌握升级后的产品特性及使用操作。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在售后服务期内对用户二次开发的程序、数据模型，可提供专业人员进行开发指导，安装和调试。对用户的二次开发人员，定期的发送技术资料和文档。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14.8</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在售后服务期内卖方提供系统安装调试全过程的技术支持。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15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b/>
                <w:bCs/>
                <w:szCs w:val="21"/>
              </w:rPr>
              <w:t>包装要求</w:t>
            </w:r>
            <w:r>
              <w:rPr>
                <w:rFonts w:ascii="宋体" w:hAnsi="宋体"/>
                <w:b w:val="0"/>
                <w:bCs w:val="0"/>
                <w:szCs w:val="21"/>
              </w:rPr>
              <w:t>：</w:t>
            </w:r>
            <w:r>
              <w:rPr>
                <w:rFonts w:hint="eastAsia" w:ascii="宋体" w:hAnsi="宋体"/>
                <w:b w:val="0"/>
                <w:bCs w:val="0"/>
                <w:szCs w:val="21"/>
              </w:rPr>
              <w:t>适于长途运输，防潮、防锈、防震、防粗暴装卸。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b/>
                <w:bCs/>
                <w:color w:val="000000"/>
                <w:szCs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安全保密要求：卖方应保证设备的系统无病毒、无USB插拔记录、无上网记录，设备无定位功能及无线数据传输功能，卖方所提供的软件必须是干净、无病毒、不能盗取客户数据和信息的安全软件。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16.2</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卖方实施人员需与买方签保密协议，确保国家</w:t>
            </w:r>
            <w:r>
              <w:rPr>
                <w:rFonts w:hint="eastAsia" w:ascii="宋体" w:hAnsi="宋体"/>
                <w:color w:val="000000"/>
                <w:szCs w:val="24"/>
                <w:lang w:eastAsia="zh-CN"/>
              </w:rPr>
              <w:t>秘密</w:t>
            </w:r>
            <w:r>
              <w:rPr>
                <w:rFonts w:hint="eastAsia" w:ascii="宋体" w:hAnsi="宋体"/>
                <w:color w:val="000000"/>
                <w:szCs w:val="24"/>
              </w:rPr>
              <w:t>和买方敏感信息的安全，不得将买方信息透露给第三方。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16.3</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卖方派到买方现场的技术人员必须遵守买方的其它保密要求，不得向参与该项目以外的人员透露买方的相关信息。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16.4</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卖方实施人员进场之后需要进行保密培训，在实施时严格遵守保密要求。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16.5</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卖方派到买方现场的技术人员必须在买方的工作人员的监督下进行对软件进行安装、维护、升级等相关工作，不得进行与该软件无关的其它操作</w:t>
            </w:r>
            <w:r>
              <w:rPr>
                <w:rFonts w:hint="eastAsia" w:ascii="宋体" w:hAnsi="宋体"/>
                <w:color w:val="000000"/>
                <w:szCs w:val="24"/>
                <w:lang w:eastAsia="zh-CN"/>
              </w:rPr>
              <w:t>。</w:t>
            </w:r>
            <w:r>
              <w:rPr>
                <w:rFonts w:hint="eastAsia" w:ascii="宋体" w:hAnsi="宋体"/>
                <w:color w:val="000000"/>
                <w:szCs w:val="24"/>
              </w:rPr>
              <w:t>卖方派到买方现场的技术人员不能有拍照、记录买方服务器、计算机设备信息等违规行为。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16.6</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卖方实施人员不得将买方的项目信息（包括主数据、业务数据、系统配置等）作为参考向第三方介绍。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16.7</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卖方在任何时候不得以任何理由远程收集买方系统运行信息。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16.8</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质保期内，由卖方二次开发BUG或者其它原因，造成系统部分功能无法使用，应及时响应并修复，如果长时间没有进行修复，由此造成的损失由卖方承担。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16.9</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szCs w:val="21"/>
              </w:rPr>
              <w:t>开放所有数据采集接口和协议。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4"/>
                <w:highlight w:val="none"/>
                <w:lang w:val="en-US" w:eastAsia="zh-CN"/>
              </w:rPr>
            </w:pPr>
            <w:r>
              <w:rPr>
                <w:rFonts w:hint="eastAsia" w:ascii="宋体" w:hAnsi="宋体"/>
                <w:color w:val="000000"/>
                <w:szCs w:val="24"/>
                <w:lang w:val="en-US" w:eastAsia="zh-CN"/>
              </w:rPr>
              <w:t>16.10</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ascii="宋体" w:hAnsi="宋体"/>
                <w:color w:val="000000"/>
                <w:szCs w:val="24"/>
              </w:rPr>
              <w:t>卖方在设备入厂后，协助买方完成信息设备基础信息梳理和完善，形成设备台账。台账要素包括但不限于：编号、名称、型号、密级、用途、所属部门、放置地点、责任人、硬盘序列号或介质序列号、IP地址、MAC地址、操作系统安装日期、启用时间、使用情况等</w:t>
            </w:r>
            <w:r>
              <w:rPr>
                <w:rFonts w:hint="eastAsia" w:ascii="宋体" w:hAnsi="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16.11</w:t>
            </w:r>
          </w:p>
        </w:tc>
        <w:tc>
          <w:tcPr>
            <w:tcW w:w="7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eastAsia="zh-CN"/>
              </w:rPr>
            </w:pPr>
            <w:r>
              <w:rPr>
                <w:rFonts w:hint="eastAsia"/>
              </w:rPr>
              <w:t>严格按照电气安全规范进行网络布线</w:t>
            </w:r>
            <w:r>
              <w:rPr>
                <w:rFonts w:hint="eastAsia"/>
                <w:lang w:eastAsia="zh-CN"/>
              </w:rPr>
              <w:t>施工</w:t>
            </w:r>
            <w:r>
              <w:rPr>
                <w:rFonts w:hint="eastAsia"/>
              </w:rPr>
              <w:t>，所有线缆、插座、开关均采用合格产品，避免私拉乱接。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16.12</w:t>
            </w:r>
          </w:p>
        </w:tc>
        <w:tc>
          <w:tcPr>
            <w:tcW w:w="7654" w:type="dxa"/>
            <w:vAlign w:val="center"/>
          </w:tcPr>
          <w:p>
            <w:pPr>
              <w:pStyle w:val="14"/>
              <w:numPr>
                <w:ilvl w:val="0"/>
                <w:numId w:val="0"/>
              </w:numPr>
              <w:ind w:left="0" w:leftChars="0" w:firstLine="0" w:firstLineChars="0"/>
              <w:rPr>
                <w:rFonts w:hint="eastAsia" w:ascii="宋体" w:hAnsi="宋体"/>
                <w:color w:val="000000"/>
                <w:szCs w:val="24"/>
                <w:highlight w:val="none"/>
              </w:rPr>
            </w:pPr>
            <w:r>
              <w:rPr>
                <w:rFonts w:hint="eastAsia"/>
                <w:szCs w:val="22"/>
              </w:rPr>
              <w:t>服务器、网络设备采用独立、稳定、带过载保护的供电回路</w:t>
            </w:r>
            <w:r>
              <w:rPr>
                <w:rFonts w:hint="eastAsia"/>
                <w:szCs w:val="22"/>
                <w:lang w:eastAsia="zh-CN"/>
              </w:rPr>
              <w:t>并具备良好散热性能</w:t>
            </w:r>
            <w:r>
              <w:rPr>
                <w:rFonts w:hint="eastAsia"/>
                <w:szCs w:val="22"/>
              </w:rPr>
              <w:t>，杜绝超负荷用电</w:t>
            </w:r>
            <w:r>
              <w:rPr>
                <w:rFonts w:hint="eastAsia"/>
                <w:szCs w:val="22"/>
                <w:lang w:eastAsia="zh-CN"/>
              </w:rPr>
              <w:t>，保障系统安全稳定运行</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16.13</w:t>
            </w:r>
          </w:p>
        </w:tc>
        <w:tc>
          <w:tcPr>
            <w:tcW w:w="7654" w:type="dxa"/>
            <w:vAlign w:val="center"/>
          </w:tcPr>
          <w:p>
            <w:pPr>
              <w:pStyle w:val="14"/>
              <w:numPr>
                <w:ilvl w:val="0"/>
                <w:numId w:val="0"/>
              </w:numPr>
              <w:ind w:left="0" w:leftChars="0" w:firstLine="0" w:firstLineChars="0"/>
              <w:rPr>
                <w:rFonts w:hint="eastAsia" w:ascii="宋体" w:hAnsi="宋体"/>
                <w:color w:val="000000"/>
                <w:szCs w:val="24"/>
                <w:highlight w:val="none"/>
              </w:rPr>
            </w:pPr>
            <w:r>
              <w:rPr>
                <w:rFonts w:hint="eastAsia"/>
                <w:szCs w:val="22"/>
              </w:rPr>
              <w:t>网络施工、设备安装产生的包装材料、废线缆等分类收集、规范处置，不随意丢弃。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16.14</w:t>
            </w:r>
          </w:p>
        </w:tc>
        <w:tc>
          <w:tcPr>
            <w:tcW w:w="7654" w:type="dxa"/>
            <w:vAlign w:val="center"/>
          </w:tcPr>
          <w:p>
            <w:pPr>
              <w:pStyle w:val="14"/>
              <w:numPr>
                <w:ilvl w:val="0"/>
                <w:numId w:val="0"/>
              </w:numPr>
              <w:ind w:left="0" w:leftChars="0" w:firstLine="0" w:firstLineChars="0"/>
              <w:rPr>
                <w:rFonts w:hint="eastAsia" w:eastAsia="宋体"/>
                <w:szCs w:val="22"/>
                <w:highlight w:val="none"/>
                <w:lang w:eastAsia="zh-CN"/>
              </w:rPr>
            </w:pPr>
            <w:r>
              <w:rPr>
                <w:rFonts w:hint="eastAsia"/>
                <w:szCs w:val="22"/>
              </w:rPr>
              <w:t>布线施工做到横平竖直、固定规范，避免地面走线杂乱造成绊倒风险</w:t>
            </w:r>
            <w:r>
              <w:rPr>
                <w:rFonts w:hint="eastAsia"/>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16.15</w:t>
            </w:r>
          </w:p>
        </w:tc>
        <w:tc>
          <w:tcPr>
            <w:tcW w:w="7654" w:type="dxa"/>
            <w:vAlign w:val="center"/>
          </w:tcPr>
          <w:p>
            <w:pPr>
              <w:pStyle w:val="14"/>
              <w:numPr>
                <w:ilvl w:val="0"/>
                <w:numId w:val="0"/>
              </w:numPr>
              <w:ind w:left="0" w:leftChars="0" w:firstLine="0" w:firstLineChars="0"/>
              <w:rPr>
                <w:rFonts w:hint="eastAsia"/>
                <w:szCs w:val="22"/>
                <w:highlight w:val="none"/>
              </w:rPr>
            </w:pPr>
            <w:r>
              <w:rPr>
                <w:rFonts w:hint="eastAsia" w:ascii="宋体" w:hAnsi="宋体"/>
                <w:color w:val="000000"/>
                <w:szCs w:val="24"/>
              </w:rPr>
              <w:t>其他未尽事项由双方协商解决。</w:t>
            </w:r>
          </w:p>
        </w:tc>
      </w:tr>
    </w:tbl>
    <w:p>
      <w:pPr>
        <w:pStyle w:val="49"/>
        <w:numPr>
          <w:ilvl w:val="0"/>
          <w:numId w:val="0"/>
        </w:numPr>
        <w:spacing w:before="312" w:beforeLines="100" w:after="312" w:afterLines="100" w:line="360" w:lineRule="exact"/>
        <w:ind w:leftChars="-421"/>
        <w:jc w:val="both"/>
        <w:outlineLvl w:val="0"/>
        <w:rPr>
          <w:rFonts w:asciiTheme="minorEastAsia" w:hAnsiTheme="minorEastAsia" w:eastAsiaTheme="minorEastAsia"/>
          <w:b/>
          <w:szCs w:val="28"/>
          <w:highlight w:val="none"/>
        </w:rPr>
      </w:pPr>
    </w:p>
    <w:p>
      <w:pPr>
        <w:pStyle w:val="49"/>
        <w:numPr>
          <w:ilvl w:val="0"/>
          <w:numId w:val="4"/>
        </w:numPr>
        <w:spacing w:before="312" w:beforeLines="100" w:after="312" w:afterLines="100" w:line="360" w:lineRule="exact"/>
        <w:ind w:left="1183" w:hanging="1183" w:hangingChars="421"/>
        <w:jc w:val="center"/>
        <w:outlineLvl w:val="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商务条款</w:t>
      </w:r>
    </w:p>
    <w:tbl>
      <w:tblPr>
        <w:tblStyle w:val="29"/>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39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jc w:val="center"/>
        </w:trPr>
        <w:tc>
          <w:tcPr>
            <w:tcW w:w="828" w:type="dxa"/>
            <w:vAlign w:val="center"/>
          </w:tcPr>
          <w:p>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7395" w:type="dxa"/>
            <w:vAlign w:val="center"/>
          </w:tcPr>
          <w:p>
            <w:pPr>
              <w:ind w:firstLine="241"/>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比选主要商务要求</w:t>
            </w:r>
          </w:p>
        </w:tc>
        <w:tc>
          <w:tcPr>
            <w:tcW w:w="1134" w:type="dxa"/>
            <w:vAlign w:val="center"/>
          </w:tcPr>
          <w:p>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exact"/>
          <w:jc w:val="center"/>
        </w:trPr>
        <w:tc>
          <w:tcPr>
            <w:tcW w:w="828" w:type="dxa"/>
            <w:vAlign w:val="center"/>
          </w:tcPr>
          <w:p>
            <w:pPr>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7395" w:type="dxa"/>
            <w:vAlign w:val="center"/>
          </w:tcPr>
          <w:p>
            <w:pPr>
              <w:ind w:firstLine="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比选申请人将比选货物的“比选开标一览表、分项报价表”单独密封。</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1.比选价格分列出比选货物型号规格、数量、单价、总价；</w:t>
            </w:r>
          </w:p>
          <w:p>
            <w:pPr>
              <w:ind w:left="210" w:hanging="210" w:hanging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2.列出比选货物到达用户地所需包装、运输费、保险费等；</w:t>
            </w:r>
          </w:p>
          <w:p>
            <w:pPr>
              <w:ind w:left="210" w:hanging="210" w:hanging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3.分列出安装、调试、检验等所需费用；</w:t>
            </w:r>
          </w:p>
          <w:p>
            <w:pPr>
              <w:autoSpaceDE w:val="0"/>
              <w:autoSpaceDN w:val="0"/>
              <w:adjustRightInd w:val="0"/>
              <w:ind w:left="525" w:hanging="525" w:hangingChars="25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4.</w:t>
            </w:r>
            <w:r>
              <w:rPr>
                <w:rFonts w:hint="eastAsia" w:asciiTheme="minorEastAsia" w:hAnsiTheme="minorEastAsia" w:eastAsiaTheme="minorEastAsia"/>
                <w:b/>
                <w:szCs w:val="21"/>
                <w:highlight w:val="none"/>
              </w:rPr>
              <w:t>比选文件技术部分和商务部分构成比选文件的整体。</w:t>
            </w:r>
          </w:p>
        </w:tc>
        <w:tc>
          <w:tcPr>
            <w:tcW w:w="1134" w:type="dxa"/>
            <w:vAlign w:val="center"/>
          </w:tcPr>
          <w:p>
            <w:pPr>
              <w:ind w:firstLine="241"/>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7395" w:type="dxa"/>
            <w:vAlign w:val="center"/>
          </w:tcPr>
          <w:p>
            <w:pPr>
              <w:spacing w:line="360" w:lineRule="exact"/>
              <w:ind w:left="630" w:hanging="630" w:hanging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比选申请人保证将此货物安全运抵比选邀请人工厂内。</w:t>
            </w:r>
          </w:p>
        </w:tc>
        <w:tc>
          <w:tcPr>
            <w:tcW w:w="1134" w:type="dxa"/>
            <w:vAlign w:val="center"/>
          </w:tcPr>
          <w:p>
            <w:pPr>
              <w:ind w:firstLine="241"/>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7395" w:type="dxa"/>
            <w:vAlign w:val="center"/>
          </w:tcPr>
          <w:p>
            <w:pPr>
              <w:rPr>
                <w:rFonts w:asciiTheme="minorEastAsia" w:hAnsiTheme="minorEastAsia" w:eastAsiaTheme="minorEastAsia"/>
                <w:sz w:val="24"/>
                <w:highlight w:val="none"/>
              </w:rPr>
            </w:pPr>
            <w:r>
              <w:rPr>
                <w:rFonts w:hint="eastAsia" w:cs="ArialNarrow" w:asciiTheme="minorEastAsia" w:hAnsiTheme="minorEastAsia" w:eastAsiaTheme="minorEastAsia"/>
                <w:kern w:val="0"/>
                <w:szCs w:val="21"/>
                <w:highlight w:val="none"/>
              </w:rPr>
              <w:t>交货期：</w:t>
            </w:r>
            <w:r>
              <w:rPr>
                <w:rFonts w:hint="eastAsia" w:ascii="宋体" w:hAnsi="宋体"/>
                <w:szCs w:val="21"/>
                <w:highlight w:val="none"/>
              </w:rPr>
              <w:t>合同生效起6个月完成验收（验收交付）</w:t>
            </w:r>
            <w:r>
              <w:rPr>
                <w:rFonts w:hint="eastAsia" w:ascii="宋体" w:hAnsi="宋体"/>
                <w:szCs w:val="21"/>
                <w:highlight w:val="none"/>
                <w:lang w:eastAsia="zh-CN"/>
              </w:rPr>
              <w:t>。</w:t>
            </w:r>
          </w:p>
        </w:tc>
        <w:tc>
          <w:tcPr>
            <w:tcW w:w="1134" w:type="dxa"/>
            <w:vAlign w:val="center"/>
          </w:tcPr>
          <w:p>
            <w:pPr>
              <w:ind w:firstLine="241"/>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ind w:firstLine="24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w:t>
            </w:r>
          </w:p>
        </w:tc>
        <w:tc>
          <w:tcPr>
            <w:tcW w:w="7395" w:type="dxa"/>
            <w:vAlign w:val="center"/>
          </w:tcPr>
          <w:p>
            <w:pPr>
              <w:rPr>
                <w:rFonts w:asciiTheme="minorEastAsia" w:hAnsiTheme="minorEastAsia" w:eastAsiaTheme="minorEastAsia"/>
                <w:sz w:val="24"/>
                <w:highlight w:val="none"/>
              </w:rPr>
            </w:pPr>
            <w:r>
              <w:rPr>
                <w:rFonts w:hint="eastAsia" w:asciiTheme="minorEastAsia" w:hAnsiTheme="minorEastAsia" w:eastAsiaTheme="minorEastAsia"/>
                <w:szCs w:val="21"/>
                <w:highlight w:val="none"/>
              </w:rPr>
              <w:t>比选申请人取得中选资格后，不得将本项目分包或委托第三方实施。</w:t>
            </w:r>
          </w:p>
        </w:tc>
        <w:tc>
          <w:tcPr>
            <w:tcW w:w="1134" w:type="dxa"/>
            <w:vAlign w:val="center"/>
          </w:tcPr>
          <w:p>
            <w:pPr>
              <w:ind w:firstLine="241"/>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ind w:firstLine="24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w:t>
            </w:r>
          </w:p>
        </w:tc>
        <w:tc>
          <w:tcPr>
            <w:tcW w:w="7395" w:type="dxa"/>
            <w:vAlign w:val="center"/>
          </w:tcPr>
          <w:p>
            <w:pPr>
              <w:rPr>
                <w:rFonts w:asciiTheme="minorEastAsia" w:hAnsiTheme="minorEastAsia" w:eastAsiaTheme="minorEastAsia"/>
                <w:sz w:val="24"/>
                <w:highlight w:val="none"/>
              </w:rPr>
            </w:pPr>
            <w:r>
              <w:rPr>
                <w:rFonts w:hint="eastAsia" w:asciiTheme="minorEastAsia" w:hAnsiTheme="minorEastAsia" w:eastAsiaTheme="minorEastAsia"/>
                <w:szCs w:val="21"/>
                <w:highlight w:val="none"/>
              </w:rPr>
              <w:t>比选申请人应承诺所比选的货物均为比选邀请人所要求的厂家原装正品货物。</w:t>
            </w:r>
          </w:p>
        </w:tc>
        <w:tc>
          <w:tcPr>
            <w:tcW w:w="1134" w:type="dxa"/>
            <w:vAlign w:val="center"/>
          </w:tcPr>
          <w:p>
            <w:pPr>
              <w:ind w:firstLine="241"/>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6" w:hRule="exact"/>
          <w:jc w:val="center"/>
        </w:trPr>
        <w:tc>
          <w:tcPr>
            <w:tcW w:w="828" w:type="dxa"/>
            <w:vAlign w:val="center"/>
          </w:tcPr>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p>
        </w:tc>
        <w:tc>
          <w:tcPr>
            <w:tcW w:w="7395" w:type="dxa"/>
            <w:vAlign w:val="center"/>
          </w:tcPr>
          <w:p>
            <w:pPr>
              <w:ind w:firstLine="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付款方式：</w:t>
            </w:r>
          </w:p>
          <w:p>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1)货物到货且终验收合格，乙方向甲方一次提供合同全额增值税专用发票后，付合同总额的95%；</w:t>
            </w:r>
          </w:p>
          <w:p>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2)质保期届满无质量问题、同时乙方无任何违约行为，付合同总额的5%；若乙方向甲方提供有效期与质保期一致的银行保函，甲方可将前述金额支付乙方。</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828" w:type="dxa"/>
            <w:vAlign w:val="center"/>
          </w:tcPr>
          <w:p>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质保及售后服务要求：见比选邀请文件第三章第</w:t>
            </w:r>
            <w:r>
              <w:rPr>
                <w:rFonts w:hint="eastAsia" w:asciiTheme="minorEastAsia" w:hAnsiTheme="minorEastAsia" w:eastAsiaTheme="minorEastAsia"/>
                <w:szCs w:val="21"/>
                <w:highlight w:val="none"/>
                <w:lang w:val="en-US" w:eastAsia="zh-CN"/>
              </w:rPr>
              <w:t>14</w:t>
            </w:r>
            <w:r>
              <w:rPr>
                <w:rFonts w:hint="eastAsia" w:asciiTheme="minorEastAsia" w:hAnsiTheme="minorEastAsia" w:eastAsiaTheme="minorEastAsia"/>
                <w:szCs w:val="21"/>
                <w:highlight w:val="none"/>
              </w:rPr>
              <w:t>条。</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828" w:type="dxa"/>
            <w:vAlign w:val="center"/>
          </w:tcPr>
          <w:p>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技术资料：见比选邀请文件第三章第</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rPr>
              <w:t>条。</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828" w:type="dxa"/>
            <w:vAlign w:val="center"/>
          </w:tcPr>
          <w:p>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比选申请人资质文件，见比选邀请文件第二章第二项，以下条款必须满足</w:t>
            </w:r>
            <w:r>
              <w:rPr>
                <w:rFonts w:asciiTheme="minorEastAsia" w:hAnsiTheme="minorEastAsia" w:eastAsiaTheme="minorEastAsia"/>
                <w:szCs w:val="21"/>
                <w:highlight w:val="none"/>
              </w:rPr>
              <w:t xml:space="preserve"> </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828" w:type="dxa"/>
            <w:vAlign w:val="center"/>
          </w:tcPr>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*9.1</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比选申请人有效的营业执照(或具有同等法律效力的证明文件）。</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828" w:type="dxa"/>
            <w:vAlign w:val="center"/>
          </w:tcPr>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*9.2</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如比选申请人是代理商，需提供制造商颁发的销售授权证书。</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828" w:type="dxa"/>
            <w:vAlign w:val="center"/>
          </w:tcPr>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*9.3</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如比选申请人签字代表不是法定代表人，须持有法定代表人授权书及被授权人身份证复印件。</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提供基本账户开户许可证或由基本账户银行出具的基本账户信息证明。</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28" w:type="dxa"/>
            <w:vAlign w:val="center"/>
          </w:tcPr>
          <w:p>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提供廉洁承诺书。</w:t>
            </w:r>
          </w:p>
        </w:tc>
        <w:tc>
          <w:tcPr>
            <w:tcW w:w="1134" w:type="dxa"/>
            <w:vAlign w:val="center"/>
          </w:tcPr>
          <w:p>
            <w:pPr>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828" w:type="dxa"/>
            <w:vAlign w:val="center"/>
          </w:tcPr>
          <w:p>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7395"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单位负责人、股东及高管的亲属和其他特定关系人在凯天公司或凯天所属单位任职情况申报表。</w:t>
            </w:r>
          </w:p>
        </w:tc>
        <w:tc>
          <w:tcPr>
            <w:tcW w:w="1134" w:type="dxa"/>
            <w:vAlign w:val="center"/>
          </w:tcPr>
          <w:p>
            <w:pPr>
              <w:jc w:val="center"/>
              <w:rPr>
                <w:rFonts w:asciiTheme="minorEastAsia" w:hAnsiTheme="minorEastAsia" w:eastAsiaTheme="minorEastAsia"/>
                <w:b/>
                <w:sz w:val="24"/>
                <w:highlight w:val="none"/>
              </w:rPr>
            </w:pPr>
          </w:p>
        </w:tc>
      </w:tr>
    </w:tbl>
    <w:p>
      <w:pPr>
        <w:pStyle w:val="49"/>
        <w:numPr>
          <w:ilvl w:val="0"/>
          <w:numId w:val="0"/>
        </w:numPr>
        <w:spacing w:before="312" w:beforeLines="100" w:after="312" w:afterLines="100" w:line="360" w:lineRule="exact"/>
        <w:jc w:val="both"/>
        <w:outlineLvl w:val="0"/>
        <w:rPr>
          <w:rFonts w:hint="eastAsia" w:asciiTheme="minorEastAsia" w:hAnsiTheme="minorEastAsia" w:eastAsiaTheme="minorEastAsia"/>
          <w:b/>
          <w:szCs w:val="28"/>
          <w:highlight w:val="none"/>
        </w:rPr>
      </w:pPr>
    </w:p>
    <w:p>
      <w:pPr>
        <w:pStyle w:val="49"/>
        <w:numPr>
          <w:ilvl w:val="0"/>
          <w:numId w:val="4"/>
        </w:numPr>
        <w:spacing w:before="312" w:beforeLines="100" w:after="312" w:afterLines="100" w:line="360" w:lineRule="exact"/>
        <w:ind w:left="1183" w:hanging="1183" w:hangingChars="421"/>
        <w:jc w:val="center"/>
        <w:outlineLvl w:val="0"/>
        <w:rPr>
          <w:rFonts w:hint="eastAsia" w:asciiTheme="minorEastAsia" w:hAnsiTheme="minorEastAsia" w:eastAsiaTheme="minorEastAsia"/>
          <w:b/>
          <w:szCs w:val="28"/>
          <w:highlight w:val="none"/>
          <w:lang w:eastAsia="zh-CN"/>
        </w:rPr>
      </w:pPr>
      <w:r>
        <w:rPr>
          <w:rFonts w:hint="eastAsia" w:asciiTheme="minorEastAsia" w:hAnsiTheme="minorEastAsia" w:eastAsiaTheme="minorEastAsia"/>
          <w:b/>
          <w:szCs w:val="28"/>
          <w:highlight w:val="none"/>
        </w:rPr>
        <w:t>合同格式</w:t>
      </w:r>
    </w:p>
    <w:p>
      <w:pPr>
        <w:widowControl w:val="0"/>
        <w:spacing w:before="0" w:beforeAutospacing="0" w:after="0" w:afterAutospacing="0" w:line="360" w:lineRule="exact"/>
        <w:jc w:val="center"/>
        <w:outlineLvl w:val="0"/>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val="0"/>
          <w:bCs/>
          <w:kern w:val="2"/>
          <w:sz w:val="21"/>
          <w:szCs w:val="21"/>
          <w:highlight w:val="none"/>
          <w:lang w:eastAsia="zh-CN"/>
        </w:rPr>
        <w:t>设备软件采购合同</w:t>
      </w:r>
    </w:p>
    <w:p>
      <w:pPr>
        <w:spacing w:before="0" w:beforeAutospacing="0" w:after="0" w:afterAutospacing="0" w:line="36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甲方（买方）：成都凯天电子股份有限公司   </w:t>
      </w:r>
    </w:p>
    <w:p>
      <w:pPr>
        <w:spacing w:before="0" w:beforeAutospacing="0" w:after="0" w:afterAutospacing="0" w:line="360" w:lineRule="exact"/>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sz w:val="21"/>
          <w:szCs w:val="21"/>
          <w:highlight w:val="none"/>
          <w:lang w:eastAsia="zh-CN"/>
        </w:rPr>
        <w:t>乙方（卖方）：</w:t>
      </w:r>
      <w:bookmarkStart w:id="0" w:name="乙方单位名称1"/>
      <w:r>
        <w:rPr>
          <w:rFonts w:hint="eastAsia" w:asciiTheme="minorEastAsia" w:hAnsiTheme="minorEastAsia" w:eastAsiaTheme="minorEastAsia" w:cstheme="minorEastAsia"/>
          <w:sz w:val="21"/>
          <w:szCs w:val="21"/>
          <w:highlight w:val="none"/>
          <w:lang w:eastAsia="zh-CN"/>
        </w:rPr>
        <w:t xml:space="preserve">                        </w:t>
      </w:r>
      <w:bookmarkEnd w:id="0"/>
      <w:r>
        <w:rPr>
          <w:rFonts w:hint="eastAsia" w:asciiTheme="minorEastAsia" w:hAnsiTheme="minorEastAsia" w:eastAsiaTheme="minorEastAsia" w:cstheme="minorEastAsia"/>
          <w:sz w:val="21"/>
          <w:szCs w:val="21"/>
          <w:highlight w:val="none"/>
          <w:lang w:eastAsia="zh-CN"/>
        </w:rPr>
        <w:t xml:space="preserve">   </w:t>
      </w:r>
    </w:p>
    <w:p>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1 合同标的（产品）</w:t>
      </w:r>
    </w:p>
    <w:tbl>
      <w:tblPr>
        <w:tblStyle w:val="29"/>
        <w:tblW w:w="9308" w:type="dxa"/>
        <w:jc w:val="center"/>
        <w:tblInd w:w="707" w:type="dxa"/>
        <w:tblLayout w:type="fixed"/>
        <w:tblCellMar>
          <w:top w:w="15" w:type="dxa"/>
          <w:left w:w="15" w:type="dxa"/>
          <w:bottom w:w="15" w:type="dxa"/>
          <w:right w:w="15" w:type="dxa"/>
        </w:tblCellMar>
      </w:tblPr>
      <w:tblGrid>
        <w:gridCol w:w="1410"/>
        <w:gridCol w:w="848"/>
        <w:gridCol w:w="1155"/>
        <w:gridCol w:w="724"/>
        <w:gridCol w:w="787"/>
        <w:gridCol w:w="631"/>
        <w:gridCol w:w="647"/>
        <w:gridCol w:w="408"/>
        <w:gridCol w:w="1163"/>
        <w:gridCol w:w="1535"/>
      </w:tblGrid>
      <w:tr>
        <w:tblPrEx>
          <w:tblLayout w:type="fixed"/>
          <w:tblCellMar>
            <w:top w:w="15" w:type="dxa"/>
            <w:left w:w="15" w:type="dxa"/>
            <w:bottom w:w="15" w:type="dxa"/>
            <w:right w:w="15" w:type="dxa"/>
          </w:tblCellMar>
        </w:tblPrEx>
        <w:trPr>
          <w:trHeight w:val="454" w:hRule="atLeast"/>
          <w:jc w:val="center"/>
        </w:trPr>
        <w:tc>
          <w:tcPr>
            <w:tcW w:w="1410"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产品名称</w:t>
            </w:r>
          </w:p>
        </w:tc>
        <w:tc>
          <w:tcPr>
            <w:tcW w:w="2003" w:type="dxa"/>
            <w:gridSpan w:val="2"/>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规格型号</w:t>
            </w:r>
          </w:p>
        </w:tc>
        <w:tc>
          <w:tcPr>
            <w:tcW w:w="724"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单位</w:t>
            </w:r>
          </w:p>
        </w:tc>
        <w:tc>
          <w:tcPr>
            <w:tcW w:w="787"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数量</w:t>
            </w:r>
          </w:p>
        </w:tc>
        <w:tc>
          <w:tcPr>
            <w:tcW w:w="631"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税率</w:t>
            </w:r>
          </w:p>
        </w:tc>
        <w:tc>
          <w:tcPr>
            <w:tcW w:w="1055" w:type="dxa"/>
            <w:gridSpan w:val="2"/>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含税单价</w:t>
            </w:r>
          </w:p>
        </w:tc>
        <w:tc>
          <w:tcPr>
            <w:tcW w:w="1163"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含税</w:t>
            </w:r>
            <w:r>
              <w:rPr>
                <w:rFonts w:hint="eastAsia" w:asciiTheme="minorEastAsia" w:hAnsiTheme="minorEastAsia" w:eastAsiaTheme="minorEastAsia" w:cstheme="minorEastAsia"/>
                <w:sz w:val="21"/>
                <w:szCs w:val="21"/>
                <w:highlight w:val="none"/>
              </w:rPr>
              <w:t>总价</w:t>
            </w:r>
          </w:p>
        </w:tc>
        <w:tc>
          <w:tcPr>
            <w:tcW w:w="1535"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生产厂家</w:t>
            </w:r>
          </w:p>
        </w:tc>
      </w:tr>
      <w:tr>
        <w:tblPrEx>
          <w:tblLayout w:type="fixed"/>
          <w:tblCellMar>
            <w:top w:w="15" w:type="dxa"/>
            <w:left w:w="15" w:type="dxa"/>
            <w:bottom w:w="15" w:type="dxa"/>
            <w:right w:w="15" w:type="dxa"/>
          </w:tblCellMar>
        </w:tblPrEx>
        <w:trPr>
          <w:trHeight w:val="454" w:hRule="atLeast"/>
          <w:jc w:val="center"/>
        </w:trPr>
        <w:tc>
          <w:tcPr>
            <w:tcW w:w="1410"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2003" w:type="dxa"/>
            <w:gridSpan w:val="2"/>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724"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787"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631" w:type="dxa"/>
            <w:tcBorders>
              <w:top w:val="single" w:color="000000" w:sz="6" w:space="0"/>
              <w:left w:val="single" w:color="000000" w:sz="6" w:space="0"/>
              <w:bottom w:val="single" w:color="000000" w:sz="6" w:space="0"/>
              <w:right w:val="single" w:color="000000" w:sz="6" w:space="0"/>
            </w:tcBorders>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1055" w:type="dxa"/>
            <w:gridSpan w:val="2"/>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1163"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1535" w:type="dxa"/>
            <w:tcBorders>
              <w:top w:val="single" w:color="000000" w:sz="6" w:space="0"/>
              <w:left w:val="single" w:color="000000" w:sz="6" w:space="0"/>
              <w:bottom w:val="single" w:color="000000" w:sz="6" w:space="0"/>
              <w:right w:val="single" w:color="000000" w:sz="6" w:space="0"/>
            </w:tcBorders>
            <w:vAlign w:val="center"/>
          </w:tcPr>
          <w:p>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r>
      <w:tr>
        <w:tblPrEx>
          <w:tblLayout w:type="fixed"/>
          <w:tblCellMar>
            <w:top w:w="15" w:type="dxa"/>
            <w:left w:w="15" w:type="dxa"/>
            <w:bottom w:w="15" w:type="dxa"/>
            <w:right w:w="15" w:type="dxa"/>
          </w:tblCellMar>
        </w:tblPrEx>
        <w:trPr>
          <w:trHeight w:val="454" w:hRule="atLeast"/>
          <w:jc w:val="center"/>
        </w:trPr>
        <w:tc>
          <w:tcPr>
            <w:tcW w:w="2258" w:type="dxa"/>
            <w:gridSpan w:val="2"/>
            <w:tcBorders>
              <w:top w:val="single" w:color="000000" w:sz="6" w:space="0"/>
              <w:left w:val="single" w:color="000000" w:sz="6" w:space="0"/>
              <w:bottom w:val="single" w:color="000000" w:sz="6" w:space="0"/>
              <w:right w:val="single" w:color="auto" w:sz="4" w:space="0"/>
            </w:tcBorders>
            <w:vAlign w:val="top"/>
          </w:tcPr>
          <w:p>
            <w:pPr>
              <w:spacing w:before="0" w:beforeAutospacing="0" w:after="0" w:afterAutospacing="0" w:line="37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合同总金额（人民币）</w:t>
            </w:r>
          </w:p>
        </w:tc>
        <w:tc>
          <w:tcPr>
            <w:tcW w:w="3944" w:type="dxa"/>
            <w:gridSpan w:val="5"/>
            <w:tcBorders>
              <w:top w:val="single" w:color="000000" w:sz="6" w:space="0"/>
              <w:left w:val="single" w:color="auto" w:sz="4" w:space="0"/>
              <w:bottom w:val="single" w:color="000000" w:sz="6" w:space="0"/>
              <w:right w:val="single" w:color="auto" w:sz="4" w:space="0"/>
            </w:tcBorders>
            <w:vAlign w:val="top"/>
          </w:tcPr>
          <w:p>
            <w:pPr>
              <w:spacing w:before="0" w:beforeAutospacing="0" w:after="0" w:afterAutospacing="0" w:line="37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大写：XX</w:t>
            </w:r>
          </w:p>
        </w:tc>
        <w:tc>
          <w:tcPr>
            <w:tcW w:w="3106" w:type="dxa"/>
            <w:gridSpan w:val="3"/>
            <w:tcBorders>
              <w:top w:val="single" w:color="000000" w:sz="6" w:space="0"/>
              <w:left w:val="single" w:color="auto" w:sz="4" w:space="0"/>
              <w:bottom w:val="single" w:color="000000" w:sz="6" w:space="0"/>
              <w:right w:val="single" w:color="000000" w:sz="6" w:space="0"/>
            </w:tcBorders>
            <w:vAlign w:val="top"/>
          </w:tcPr>
          <w:p>
            <w:pPr>
              <w:spacing w:before="0" w:beforeAutospacing="0" w:after="0" w:afterAutospacing="0" w:line="37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小写：XX元</w:t>
            </w:r>
          </w:p>
        </w:tc>
      </w:tr>
    </w:tbl>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1.1 产品的质量标准，按</w:t>
      </w:r>
      <w:bookmarkStart w:id="1" w:name="质量标准"/>
      <w:r>
        <w:rPr>
          <w:rFonts w:hint="eastAsia" w:asciiTheme="minorEastAsia" w:hAnsiTheme="minorEastAsia" w:eastAsiaTheme="minorEastAsia" w:cstheme="minorEastAsia"/>
          <w:sz w:val="21"/>
          <w:szCs w:val="21"/>
          <w:highlight w:val="none"/>
          <w:lang w:eastAsia="zh-CN"/>
        </w:rPr>
        <w:t xml:space="preserve">     </w:t>
      </w:r>
      <w:bookmarkEnd w:id="1"/>
      <w:bookmarkStart w:id="2" w:name="质量标准其他"/>
      <w:bookmarkEnd w:id="2"/>
      <w:r>
        <w:rPr>
          <w:rFonts w:hint="eastAsia" w:asciiTheme="minorEastAsia" w:hAnsiTheme="minorEastAsia" w:eastAsiaTheme="minorEastAsia" w:cstheme="minorEastAsia"/>
          <w:sz w:val="21"/>
          <w:szCs w:val="21"/>
          <w:highlight w:val="none"/>
          <w:lang w:eastAsia="zh-CN"/>
        </w:rPr>
        <w:t>执行。</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1.2 乙方向甲方提供的产品应当符合本合同约定的要求及《产品质量法》的有关规定并且应当是全新的、未使用过的、原厂生产的合格产品。</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1.3 安装调试完毕的产品，应当满足甲方需求，能够正常运转。</w:t>
      </w:r>
    </w:p>
    <w:p>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2 合同价款和支付</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2.1 本合同总价款包括但不限于</w:t>
      </w:r>
      <w:bookmarkStart w:id="3" w:name="合同总价款构成"/>
      <w:r>
        <w:rPr>
          <w:rFonts w:hint="eastAsia" w:asciiTheme="minorEastAsia" w:hAnsiTheme="minorEastAsia" w:eastAsiaTheme="minorEastAsia" w:cstheme="minorEastAsia"/>
          <w:sz w:val="21"/>
          <w:szCs w:val="21"/>
          <w:highlight w:val="none"/>
          <w:u w:val="single"/>
          <w:lang w:eastAsia="zh-CN"/>
        </w:rPr>
        <w:t xml:space="preserve"> 成本、利润、供货周期内的价格波动、税金、验收、保险、运输、包装、卸车、就位、开箱、二次配接、安装调试、因质量问题引起的维修 </w:t>
      </w:r>
      <w:bookmarkEnd w:id="3"/>
      <w:r>
        <w:rPr>
          <w:rFonts w:hint="eastAsia" w:asciiTheme="minorEastAsia" w:hAnsiTheme="minorEastAsia" w:eastAsiaTheme="minorEastAsia" w:cstheme="minorEastAsia"/>
          <w:sz w:val="21"/>
          <w:szCs w:val="21"/>
          <w:highlight w:val="none"/>
          <w:lang w:eastAsia="zh-CN"/>
        </w:rPr>
        <w:t>等乙方完成本合同内容甲方应支付的全部费用。在本合同履行过程中，甲方增加采购产品数量的，价格按本合同约定价格执行。</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2.2 甲方采用如下方式进行付款</w:t>
      </w:r>
      <w:bookmarkStart w:id="4" w:name="付款方式"/>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u w:val="single"/>
          <w:lang w:eastAsia="zh-CN"/>
        </w:rPr>
        <w:t xml:space="preserve">      </w:t>
      </w:r>
      <w:bookmarkEnd w:id="4"/>
      <w:r>
        <w:rPr>
          <w:rFonts w:hint="eastAsia" w:asciiTheme="minorEastAsia" w:hAnsiTheme="minorEastAsia" w:eastAsiaTheme="minorEastAsia" w:cstheme="minorEastAsia"/>
          <w:sz w:val="21"/>
          <w:szCs w:val="21"/>
          <w:highlight w:val="none"/>
          <w:lang w:eastAsia="zh-CN"/>
        </w:rPr>
        <w:t>。</w:t>
      </w:r>
    </w:p>
    <w:p>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3 产品的交付及安装</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3.1 合同生效之日起</w:t>
      </w:r>
      <w:bookmarkStart w:id="5" w:name="交付及安装期限"/>
      <w:r>
        <w:rPr>
          <w:rFonts w:hint="eastAsia" w:asciiTheme="minorEastAsia" w:hAnsiTheme="minorEastAsia" w:eastAsiaTheme="minorEastAsia" w:cstheme="minorEastAsia"/>
          <w:sz w:val="21"/>
          <w:szCs w:val="21"/>
          <w:highlight w:val="none"/>
          <w:u w:val="single"/>
          <w:lang w:eastAsia="zh-CN"/>
        </w:rPr>
        <w:t>            </w:t>
      </w:r>
      <w:bookmarkEnd w:id="5"/>
      <w:r>
        <w:rPr>
          <w:rFonts w:hint="eastAsia" w:asciiTheme="minorEastAsia" w:hAnsiTheme="minorEastAsia" w:eastAsiaTheme="minorEastAsia" w:cstheme="minorEastAsia"/>
          <w:sz w:val="21"/>
          <w:szCs w:val="21"/>
          <w:highlight w:val="none"/>
          <w:lang w:eastAsia="zh-CN"/>
        </w:rPr>
        <w:t>，乙方应完成产品的安装调试且甲乙双方签署验收合格文件。</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3.2 交货地点：</w:t>
      </w:r>
      <w:bookmarkStart w:id="6" w:name="交付地点"/>
      <w:r>
        <w:rPr>
          <w:rFonts w:hint="eastAsia" w:asciiTheme="minorEastAsia" w:hAnsiTheme="minorEastAsia" w:eastAsiaTheme="minorEastAsia" w:cstheme="minorEastAsia"/>
          <w:sz w:val="21"/>
          <w:szCs w:val="21"/>
          <w:highlight w:val="none"/>
          <w:u w:val="single"/>
          <w:lang w:eastAsia="zh-CN"/>
        </w:rPr>
        <w:t xml:space="preserve"> 甲方指定</w:t>
      </w:r>
      <w:bookmarkEnd w:id="6"/>
      <w:r>
        <w:rPr>
          <w:rFonts w:hint="eastAsia" w:asciiTheme="minorEastAsia" w:hAnsiTheme="minorEastAsia" w:eastAsiaTheme="minorEastAsia" w:cstheme="minorEastAsia"/>
          <w:sz w:val="21"/>
          <w:szCs w:val="21"/>
          <w:highlight w:val="none"/>
          <w:u w:val="single"/>
          <w:lang w:eastAsia="zh-CN"/>
        </w:rPr>
        <w:t xml:space="preserve"> </w:t>
      </w:r>
      <w:r>
        <w:rPr>
          <w:rFonts w:hint="eastAsia" w:asciiTheme="minorEastAsia" w:hAnsiTheme="minorEastAsia" w:eastAsiaTheme="minorEastAsia" w:cstheme="minorEastAsia"/>
          <w:sz w:val="21"/>
          <w:szCs w:val="21"/>
          <w:highlight w:val="none"/>
          <w:lang w:eastAsia="zh-CN"/>
        </w:rPr>
        <w:t>。</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3.3 </w:t>
      </w:r>
      <w:bookmarkStart w:id="7" w:name="毁损灭失风险转移期限"/>
      <w:r>
        <w:rPr>
          <w:rFonts w:hint="eastAsia" w:asciiTheme="minorEastAsia" w:hAnsiTheme="minorEastAsia" w:eastAsiaTheme="minorEastAsia" w:cstheme="minorEastAsia"/>
          <w:sz w:val="21"/>
          <w:szCs w:val="21"/>
          <w:highlight w:val="none"/>
          <w:u w:val="single"/>
          <w:lang w:eastAsia="zh-CN"/>
        </w:rPr>
        <w:t>产品安装调试完毕并验收合格前</w:t>
      </w:r>
      <w:bookmarkEnd w:id="7"/>
      <w:r>
        <w:rPr>
          <w:rFonts w:hint="eastAsia" w:asciiTheme="minorEastAsia" w:hAnsiTheme="minorEastAsia" w:eastAsiaTheme="minorEastAsia" w:cstheme="minorEastAsia"/>
          <w:sz w:val="21"/>
          <w:szCs w:val="21"/>
          <w:highlight w:val="none"/>
          <w:lang w:eastAsia="zh-CN"/>
        </w:rPr>
        <w:t>产品毁损灭失的风险由乙方承担。</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3.4 乙方负责产品的包装，包装应确保货物安全，装卸、运输方便，符合安全、环保、卫生标准要求，由此产生的费用由乙方承担，且包装物不予回收。</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3.5乙方应做好产品安装调试期间的安全防护措施，设置安全警示标识，及时消除安全隐患。</w:t>
      </w:r>
    </w:p>
    <w:p>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4 产品的验收</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4.1 外观验收：乙方交付的产品到达甲方指定地点后，甲乙双方代表应对产品的数量、包装、规格、品牌、外观、随付单证（如质量检测报告、产品合格证书、保修单、使用说明书）等进行清点。</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4.2 最终验收：产品到货清点完毕后，乙方对产品进行安装调试，甲乙双方代表到现场按照合同约定进行验收，以双方签署的验收合格文件作为结算依据。最终验收涉及第三方检定的，乙方应同时提交甲方认可的检定机构出具的检定报告原件（检定费用由乙方承担）。</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4.3 若甲方对产品质量有异议但必须通过检测才能判断时，甲方有权委托具有相应资质的检测单位按照国家相关标准进行检测，质量检测合格的检测费用由甲方承担，质量检测不合格的检测费用由乙方承担。</w:t>
      </w:r>
    </w:p>
    <w:p>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5 质量保证期（质保期）</w:t>
      </w:r>
    </w:p>
    <w:p>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产品的质量保证期自甲乙双方签署验收合格文件之日起</w:t>
      </w:r>
      <w:bookmarkStart w:id="8" w:name="质保期"/>
      <w:r>
        <w:rPr>
          <w:rFonts w:hint="eastAsia" w:asciiTheme="minorEastAsia" w:hAnsiTheme="minorEastAsia" w:eastAsiaTheme="minorEastAsia" w:cstheme="minorEastAsia"/>
          <w:sz w:val="21"/>
          <w:szCs w:val="21"/>
          <w:highlight w:val="none"/>
          <w:u w:val="single"/>
          <w:lang w:eastAsia="zh-CN"/>
        </w:rPr>
        <w:t>    个月</w:t>
      </w:r>
      <w:bookmarkEnd w:id="8"/>
      <w:r>
        <w:rPr>
          <w:rFonts w:hint="eastAsia" w:asciiTheme="minorEastAsia" w:hAnsiTheme="minorEastAsia" w:eastAsiaTheme="minorEastAsia" w:cstheme="minorEastAsia"/>
          <w:sz w:val="21"/>
          <w:szCs w:val="21"/>
          <w:highlight w:val="none"/>
          <w:lang w:eastAsia="zh-CN"/>
        </w:rPr>
        <w:t>。</w:t>
      </w:r>
    </w:p>
    <w:p>
      <w:pPr>
        <w:widowControl w:val="0"/>
        <w:topLinePunct/>
        <w:adjustRightInd w:val="0"/>
        <w:snapToGrid w:val="0"/>
        <w:spacing w:before="0" w:beforeAutospacing="0" w:after="0" w:afterAutospacing="0" w:line="370" w:lineRule="exact"/>
        <w:ind w:firstLine="422" w:firstLineChars="200"/>
        <w:rPr>
          <w:rFonts w:hint="eastAsia" w:asciiTheme="minorEastAsia" w:hAnsiTheme="minorEastAsia" w:eastAsiaTheme="minorEastAsia" w:cstheme="minorEastAsia"/>
          <w:b/>
          <w:bCs/>
          <w:snapToGrid w:val="0"/>
          <w:sz w:val="21"/>
          <w:szCs w:val="21"/>
          <w:highlight w:val="none"/>
          <w:lang w:val="zh-TW" w:eastAsia="zh-CN" w:bidi="zh-TW"/>
        </w:rPr>
      </w:pPr>
      <w:r>
        <w:rPr>
          <w:rFonts w:hint="eastAsia" w:asciiTheme="minorEastAsia" w:hAnsiTheme="minorEastAsia" w:eastAsiaTheme="minorEastAsia" w:cstheme="minorEastAsia"/>
          <w:b/>
          <w:bCs/>
          <w:snapToGrid w:val="0"/>
          <w:sz w:val="21"/>
          <w:szCs w:val="21"/>
          <w:highlight w:val="none"/>
          <w:lang w:eastAsia="zh-CN" w:bidi="zh-TW"/>
        </w:rPr>
        <w:t>6</w:t>
      </w:r>
      <w:r>
        <w:rPr>
          <w:rFonts w:hint="eastAsia" w:asciiTheme="minorEastAsia" w:hAnsiTheme="minorEastAsia" w:eastAsiaTheme="minorEastAsia" w:cstheme="minorEastAsia"/>
          <w:b/>
          <w:bCs/>
          <w:snapToGrid w:val="0"/>
          <w:sz w:val="21"/>
          <w:szCs w:val="21"/>
          <w:highlight w:val="none"/>
          <w:lang w:val="zh-TW" w:eastAsia="zh-CN" w:bidi="zh-TW"/>
        </w:rPr>
        <w:t xml:space="preserve"> </w:t>
      </w:r>
      <w:r>
        <w:rPr>
          <w:rFonts w:hint="eastAsia" w:asciiTheme="minorEastAsia" w:hAnsiTheme="minorEastAsia" w:eastAsiaTheme="minorEastAsia" w:cstheme="minorEastAsia"/>
          <w:b/>
          <w:bCs/>
          <w:snapToGrid w:val="0"/>
          <w:sz w:val="21"/>
          <w:szCs w:val="21"/>
          <w:highlight w:val="none"/>
          <w:lang w:val="zh-TW" w:eastAsia="zh-TW" w:bidi="zh-TW"/>
        </w:rPr>
        <w:t>知识产权归属</w:t>
      </w:r>
      <w:r>
        <w:rPr>
          <w:rFonts w:hint="eastAsia" w:asciiTheme="minorEastAsia" w:hAnsiTheme="minorEastAsia" w:eastAsiaTheme="minorEastAsia" w:cstheme="minorEastAsia"/>
          <w:b/>
          <w:bCs/>
          <w:snapToGrid w:val="0"/>
          <w:sz w:val="21"/>
          <w:szCs w:val="21"/>
          <w:highlight w:val="none"/>
          <w:lang w:val="zh-TW" w:eastAsia="zh-CN" w:bidi="zh-TW"/>
        </w:rPr>
        <w:t>与保护</w:t>
      </w:r>
    </w:p>
    <w:p>
      <w:pPr>
        <w:widowControl w:val="0"/>
        <w:tabs>
          <w:tab w:val="left" w:pos="843"/>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CN" w:bidi="zh-TW"/>
        </w:rPr>
      </w:pPr>
      <w:r>
        <w:rPr>
          <w:rFonts w:hint="eastAsia" w:asciiTheme="minorEastAsia" w:hAnsiTheme="minorEastAsia" w:eastAsiaTheme="minorEastAsia" w:cstheme="minorEastAsia"/>
          <w:snapToGrid w:val="0"/>
          <w:sz w:val="21"/>
          <w:szCs w:val="21"/>
          <w:highlight w:val="none"/>
          <w:lang w:eastAsia="zh-CN" w:bidi="zh-TW"/>
        </w:rPr>
        <w:t>6</w:t>
      </w:r>
      <w:r>
        <w:rPr>
          <w:rFonts w:hint="eastAsia" w:asciiTheme="minorEastAsia" w:hAnsiTheme="minorEastAsia" w:eastAsiaTheme="minorEastAsia" w:cstheme="minorEastAsia"/>
          <w:snapToGrid w:val="0"/>
          <w:sz w:val="21"/>
          <w:szCs w:val="21"/>
          <w:highlight w:val="none"/>
          <w:lang w:val="zh-TW" w:eastAsia="zh-CN" w:bidi="zh-TW"/>
        </w:rPr>
        <w:t xml:space="preserve">.1 </w:t>
      </w:r>
      <w:r>
        <w:rPr>
          <w:rFonts w:hint="eastAsia" w:asciiTheme="minorEastAsia" w:hAnsiTheme="minorEastAsia" w:eastAsiaTheme="minorEastAsia" w:cstheme="minorEastAsia"/>
          <w:snapToGrid w:val="0"/>
          <w:sz w:val="21"/>
          <w:szCs w:val="21"/>
          <w:highlight w:val="none"/>
          <w:lang w:val="zh-TW" w:eastAsia="zh-TW" w:bidi="zh-TW"/>
        </w:rPr>
        <w:t>背景知识产权是指一方在合同签署前自主开发的知识产权或者获得权利的知识产权，该等知识产权为履行本合同所必须的知识产权；或者一方在合同签署后开发或者获得的知识产权，该等知识产权的开发和获得独立于本合同的履行但为履行本合同所必须的知识产权。</w:t>
      </w:r>
    </w:p>
    <w:p>
      <w:pPr>
        <w:widowControl w:val="0"/>
        <w:tabs>
          <w:tab w:val="left" w:pos="874"/>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TW" w:bidi="zh-TW"/>
        </w:rPr>
      </w:pPr>
      <w:r>
        <w:rPr>
          <w:rFonts w:hint="eastAsia" w:asciiTheme="minorEastAsia" w:hAnsiTheme="minorEastAsia" w:eastAsiaTheme="minorEastAsia" w:cstheme="minorEastAsia"/>
          <w:snapToGrid w:val="0"/>
          <w:sz w:val="21"/>
          <w:szCs w:val="21"/>
          <w:highlight w:val="none"/>
          <w:lang w:eastAsia="zh-CN" w:bidi="zh-TW"/>
        </w:rPr>
        <w:t>6</w:t>
      </w:r>
      <w:r>
        <w:rPr>
          <w:rFonts w:hint="eastAsia" w:asciiTheme="minorEastAsia" w:hAnsiTheme="minorEastAsia" w:eastAsiaTheme="minorEastAsia" w:cstheme="minorEastAsia"/>
          <w:snapToGrid w:val="0"/>
          <w:sz w:val="21"/>
          <w:szCs w:val="21"/>
          <w:highlight w:val="none"/>
          <w:lang w:val="zh-TW" w:eastAsia="zh-CN" w:bidi="zh-TW"/>
        </w:rPr>
        <w:t xml:space="preserve">.2 </w:t>
      </w:r>
      <w:r>
        <w:rPr>
          <w:rFonts w:hint="eastAsia" w:asciiTheme="minorEastAsia" w:hAnsiTheme="minorEastAsia" w:eastAsiaTheme="minorEastAsia" w:cstheme="minorEastAsia"/>
          <w:snapToGrid w:val="0"/>
          <w:sz w:val="21"/>
          <w:szCs w:val="21"/>
          <w:highlight w:val="none"/>
          <w:lang w:val="zh-TW" w:eastAsia="zh-TW" w:bidi="zh-TW"/>
        </w:rPr>
        <w:t>前景知识产权指因履行本</w:t>
      </w:r>
      <w:r>
        <w:rPr>
          <w:rFonts w:hint="eastAsia" w:asciiTheme="minorEastAsia" w:hAnsiTheme="minorEastAsia" w:eastAsiaTheme="minorEastAsia" w:cstheme="minorEastAsia"/>
          <w:snapToGrid w:val="0"/>
          <w:sz w:val="21"/>
          <w:szCs w:val="21"/>
          <w:highlight w:val="none"/>
          <w:lang w:val="zh-TW" w:eastAsia="zh-CN" w:bidi="zh-TW"/>
        </w:rPr>
        <w:t>合同</w:t>
      </w:r>
      <w:r>
        <w:rPr>
          <w:rFonts w:hint="eastAsia" w:asciiTheme="minorEastAsia" w:hAnsiTheme="minorEastAsia" w:eastAsiaTheme="minorEastAsia" w:cstheme="minorEastAsia"/>
          <w:snapToGrid w:val="0"/>
          <w:sz w:val="21"/>
          <w:szCs w:val="21"/>
          <w:highlight w:val="none"/>
          <w:lang w:val="zh-TW" w:eastAsia="zh-TW" w:bidi="zh-TW"/>
        </w:rPr>
        <w:t>而产生或者开发的知识产权。</w:t>
      </w:r>
    </w:p>
    <w:p>
      <w:pPr>
        <w:widowControl w:val="0"/>
        <w:tabs>
          <w:tab w:val="left" w:pos="878"/>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TW" w:bidi="zh-TW"/>
        </w:rPr>
      </w:pPr>
      <w:r>
        <w:rPr>
          <w:rFonts w:hint="eastAsia" w:asciiTheme="minorEastAsia" w:hAnsiTheme="minorEastAsia" w:eastAsiaTheme="minorEastAsia" w:cstheme="minorEastAsia"/>
          <w:snapToGrid w:val="0"/>
          <w:sz w:val="21"/>
          <w:szCs w:val="21"/>
          <w:highlight w:val="none"/>
          <w:lang w:eastAsia="zh-CN" w:bidi="zh-TW"/>
        </w:rPr>
        <w:t>6</w:t>
      </w:r>
      <w:r>
        <w:rPr>
          <w:rFonts w:hint="eastAsia" w:asciiTheme="minorEastAsia" w:hAnsiTheme="minorEastAsia" w:eastAsiaTheme="minorEastAsia" w:cstheme="minorEastAsia"/>
          <w:snapToGrid w:val="0"/>
          <w:sz w:val="21"/>
          <w:szCs w:val="21"/>
          <w:highlight w:val="none"/>
          <w:lang w:val="zh-TW" w:eastAsia="zh-CN" w:bidi="zh-TW"/>
        </w:rPr>
        <w:t xml:space="preserve">.3 </w:t>
      </w:r>
      <w:r>
        <w:rPr>
          <w:rFonts w:hint="eastAsia" w:asciiTheme="minorEastAsia" w:hAnsiTheme="minorEastAsia" w:eastAsiaTheme="minorEastAsia" w:cstheme="minorEastAsia"/>
          <w:snapToGrid w:val="0"/>
          <w:sz w:val="21"/>
          <w:szCs w:val="21"/>
          <w:highlight w:val="none"/>
          <w:lang w:val="zh-TW" w:eastAsia="zh-TW" w:bidi="zh-TW"/>
        </w:rPr>
        <w:t>本</w:t>
      </w:r>
      <w:r>
        <w:rPr>
          <w:rFonts w:hint="eastAsia" w:asciiTheme="minorEastAsia" w:hAnsiTheme="minorEastAsia" w:eastAsiaTheme="minorEastAsia" w:cstheme="minorEastAsia"/>
          <w:snapToGrid w:val="0"/>
          <w:sz w:val="21"/>
          <w:szCs w:val="21"/>
          <w:highlight w:val="none"/>
          <w:lang w:val="zh-TW" w:eastAsia="zh-CN" w:bidi="zh-TW"/>
        </w:rPr>
        <w:t>合同</w:t>
      </w:r>
      <w:r>
        <w:rPr>
          <w:rFonts w:hint="eastAsia" w:asciiTheme="minorEastAsia" w:hAnsiTheme="minorEastAsia" w:eastAsiaTheme="minorEastAsia" w:cstheme="minorEastAsia"/>
          <w:snapToGrid w:val="0"/>
          <w:sz w:val="21"/>
          <w:szCs w:val="21"/>
          <w:highlight w:val="none"/>
          <w:lang w:val="zh-TW" w:eastAsia="zh-TW" w:bidi="zh-TW"/>
        </w:rPr>
        <w:t>产生的前景知识产权归</w:t>
      </w:r>
      <w:r>
        <w:rPr>
          <w:rFonts w:hint="eastAsia" w:asciiTheme="minorEastAsia" w:hAnsiTheme="minorEastAsia" w:eastAsiaTheme="minorEastAsia" w:cstheme="minorEastAsia"/>
          <w:snapToGrid w:val="0"/>
          <w:sz w:val="21"/>
          <w:szCs w:val="21"/>
          <w:highlight w:val="none"/>
          <w:u w:val="single"/>
          <w:lang w:val="zh-TW" w:eastAsia="zh-CN" w:bidi="zh-TW"/>
        </w:rPr>
        <w:t xml:space="preserve">  </w:t>
      </w:r>
      <w:r>
        <w:rPr>
          <w:rFonts w:hint="eastAsia" w:asciiTheme="minorEastAsia" w:hAnsiTheme="minorEastAsia" w:eastAsiaTheme="minorEastAsia" w:cstheme="minorEastAsia"/>
          <w:snapToGrid w:val="0"/>
          <w:sz w:val="21"/>
          <w:szCs w:val="21"/>
          <w:highlight w:val="none"/>
          <w:u w:val="single"/>
          <w:lang w:val="zh-TW" w:eastAsia="zh-TW" w:bidi="zh-TW"/>
        </w:rPr>
        <w:t>甲方</w:t>
      </w:r>
      <w:r>
        <w:rPr>
          <w:rFonts w:hint="eastAsia" w:asciiTheme="minorEastAsia" w:hAnsiTheme="minorEastAsia" w:eastAsiaTheme="minorEastAsia" w:cstheme="minorEastAsia"/>
          <w:snapToGrid w:val="0"/>
          <w:sz w:val="21"/>
          <w:szCs w:val="21"/>
          <w:highlight w:val="none"/>
          <w:u w:val="single"/>
          <w:lang w:val="zh-TW" w:eastAsia="zh-CN" w:bidi="zh-TW"/>
        </w:rPr>
        <w:t xml:space="preserve">  </w:t>
      </w:r>
      <w:r>
        <w:rPr>
          <w:rFonts w:hint="eastAsia" w:asciiTheme="minorEastAsia" w:hAnsiTheme="minorEastAsia" w:eastAsiaTheme="minorEastAsia" w:cstheme="minorEastAsia"/>
          <w:snapToGrid w:val="0"/>
          <w:sz w:val="21"/>
          <w:szCs w:val="21"/>
          <w:highlight w:val="none"/>
          <w:lang w:val="zh-TW" w:eastAsia="zh-CN" w:bidi="zh-TW"/>
        </w:rPr>
        <w:t>享有，</w:t>
      </w:r>
      <w:r>
        <w:rPr>
          <w:rFonts w:hint="eastAsia" w:asciiTheme="minorEastAsia" w:hAnsiTheme="minorEastAsia" w:eastAsiaTheme="minorEastAsia" w:cstheme="minorEastAsia"/>
          <w:snapToGrid w:val="0"/>
          <w:sz w:val="21"/>
          <w:szCs w:val="21"/>
          <w:highlight w:val="none"/>
          <w:lang w:val="zh-TW" w:eastAsia="zh-TW" w:bidi="zh-TW"/>
        </w:rPr>
        <w:t>甲方利用</w:t>
      </w:r>
      <w:r>
        <w:rPr>
          <w:rFonts w:hint="eastAsia" w:asciiTheme="minorEastAsia" w:hAnsiTheme="minorEastAsia" w:eastAsiaTheme="minorEastAsia" w:cstheme="minorEastAsia"/>
          <w:snapToGrid w:val="0"/>
          <w:sz w:val="21"/>
          <w:szCs w:val="21"/>
          <w:highlight w:val="none"/>
          <w:lang w:val="zh-TW" w:eastAsia="zh-CN" w:bidi="zh-TW"/>
        </w:rPr>
        <w:t>本合同</w:t>
      </w:r>
      <w:r>
        <w:rPr>
          <w:rFonts w:hint="eastAsia" w:asciiTheme="minorEastAsia" w:hAnsiTheme="minorEastAsia" w:eastAsiaTheme="minorEastAsia" w:cstheme="minorEastAsia"/>
          <w:snapToGrid w:val="0"/>
          <w:sz w:val="21"/>
          <w:szCs w:val="21"/>
          <w:highlight w:val="none"/>
          <w:lang w:val="zh-TW" w:eastAsia="zh-TW" w:bidi="zh-TW"/>
        </w:rPr>
        <w:t>产生的前景知识产权完成的新的知识产权，属于</w:t>
      </w:r>
      <w:r>
        <w:rPr>
          <w:rFonts w:hint="eastAsia" w:asciiTheme="minorEastAsia" w:hAnsiTheme="minorEastAsia" w:eastAsiaTheme="minorEastAsia" w:cstheme="minorEastAsia"/>
          <w:snapToGrid w:val="0"/>
          <w:sz w:val="21"/>
          <w:szCs w:val="21"/>
          <w:highlight w:val="none"/>
          <w:u w:val="single"/>
          <w:lang w:val="zh-TW" w:eastAsia="zh-CN" w:bidi="zh-TW"/>
        </w:rPr>
        <w:t xml:space="preserve"> </w:t>
      </w:r>
      <w:r>
        <w:rPr>
          <w:rFonts w:hint="eastAsia" w:asciiTheme="minorEastAsia" w:hAnsiTheme="minorEastAsia" w:eastAsiaTheme="minorEastAsia" w:cstheme="minorEastAsia"/>
          <w:snapToGrid w:val="0"/>
          <w:sz w:val="21"/>
          <w:szCs w:val="21"/>
          <w:highlight w:val="none"/>
          <w:u w:val="single"/>
          <w:lang w:val="zh-TW" w:eastAsia="zh-TW" w:bidi="zh-TW"/>
        </w:rPr>
        <w:t>甲方</w:t>
      </w:r>
      <w:r>
        <w:rPr>
          <w:rFonts w:hint="eastAsia" w:asciiTheme="minorEastAsia" w:hAnsiTheme="minorEastAsia" w:eastAsiaTheme="minorEastAsia" w:cstheme="minorEastAsia"/>
          <w:snapToGrid w:val="0"/>
          <w:sz w:val="21"/>
          <w:szCs w:val="21"/>
          <w:highlight w:val="none"/>
          <w:u w:val="single"/>
          <w:lang w:val="zh-TW" w:eastAsia="zh-CN" w:bidi="zh-TW"/>
        </w:rPr>
        <w:t xml:space="preserve"> </w:t>
      </w:r>
      <w:r>
        <w:rPr>
          <w:rFonts w:hint="eastAsia" w:asciiTheme="minorEastAsia" w:hAnsiTheme="minorEastAsia" w:eastAsiaTheme="minorEastAsia" w:cstheme="minorEastAsia"/>
          <w:snapToGrid w:val="0"/>
          <w:sz w:val="21"/>
          <w:szCs w:val="21"/>
          <w:highlight w:val="none"/>
          <w:lang w:val="zh-TW" w:eastAsia="zh-TW" w:bidi="zh-TW"/>
        </w:rPr>
        <w:t>所有。</w:t>
      </w:r>
    </w:p>
    <w:p>
      <w:pPr>
        <w:widowControl w:val="0"/>
        <w:tabs>
          <w:tab w:val="left" w:pos="764"/>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TW" w:bidi="zh-TW"/>
        </w:rPr>
      </w:pPr>
      <w:r>
        <w:rPr>
          <w:rFonts w:hint="eastAsia" w:asciiTheme="minorEastAsia" w:hAnsiTheme="minorEastAsia" w:eastAsiaTheme="minorEastAsia" w:cstheme="minorEastAsia"/>
          <w:snapToGrid w:val="0"/>
          <w:sz w:val="21"/>
          <w:szCs w:val="21"/>
          <w:highlight w:val="none"/>
          <w:lang w:eastAsia="zh-CN" w:bidi="zh-TW"/>
        </w:rPr>
        <w:t>6</w:t>
      </w:r>
      <w:r>
        <w:rPr>
          <w:rFonts w:hint="eastAsia" w:asciiTheme="minorEastAsia" w:hAnsiTheme="minorEastAsia" w:eastAsiaTheme="minorEastAsia" w:cstheme="minorEastAsia"/>
          <w:snapToGrid w:val="0"/>
          <w:sz w:val="21"/>
          <w:szCs w:val="21"/>
          <w:highlight w:val="none"/>
          <w:lang w:val="zh-TW" w:eastAsia="zh-CN" w:bidi="zh-TW"/>
        </w:rPr>
        <w:t xml:space="preserve">.4 </w:t>
      </w:r>
      <w:r>
        <w:rPr>
          <w:rFonts w:hint="eastAsia" w:asciiTheme="minorEastAsia" w:hAnsiTheme="minorEastAsia" w:eastAsiaTheme="minorEastAsia" w:cstheme="minorEastAsia"/>
          <w:snapToGrid w:val="0"/>
          <w:sz w:val="21"/>
          <w:szCs w:val="21"/>
          <w:highlight w:val="none"/>
          <w:lang w:val="zh-TW" w:eastAsia="zh-TW" w:bidi="zh-TW"/>
        </w:rPr>
        <w:t>本</w:t>
      </w:r>
      <w:r>
        <w:rPr>
          <w:rFonts w:hint="eastAsia" w:asciiTheme="minorEastAsia" w:hAnsiTheme="minorEastAsia" w:eastAsiaTheme="minorEastAsia" w:cstheme="minorEastAsia"/>
          <w:snapToGrid w:val="0"/>
          <w:sz w:val="21"/>
          <w:szCs w:val="21"/>
          <w:highlight w:val="none"/>
          <w:lang w:val="zh-TW" w:eastAsia="zh-CN" w:bidi="zh-TW"/>
        </w:rPr>
        <w:t>合同</w:t>
      </w:r>
      <w:r>
        <w:rPr>
          <w:rFonts w:hint="eastAsia" w:asciiTheme="minorEastAsia" w:hAnsiTheme="minorEastAsia" w:eastAsiaTheme="minorEastAsia" w:cstheme="minorEastAsia"/>
          <w:snapToGrid w:val="0"/>
          <w:sz w:val="21"/>
          <w:szCs w:val="21"/>
          <w:highlight w:val="none"/>
          <w:lang w:val="zh-TW" w:eastAsia="zh-TW" w:bidi="zh-TW"/>
        </w:rPr>
        <w:t>产生的归甲方</w:t>
      </w:r>
      <w:r>
        <w:rPr>
          <w:rFonts w:hint="eastAsia" w:asciiTheme="minorEastAsia" w:hAnsiTheme="minorEastAsia" w:eastAsiaTheme="minorEastAsia" w:cstheme="minorEastAsia"/>
          <w:snapToGrid w:val="0"/>
          <w:sz w:val="21"/>
          <w:szCs w:val="21"/>
          <w:highlight w:val="none"/>
          <w:lang w:eastAsia="zh-CN" w:bidi="zh-TW"/>
        </w:rPr>
        <w:t>享有</w:t>
      </w:r>
      <w:r>
        <w:rPr>
          <w:rFonts w:hint="eastAsia" w:asciiTheme="minorEastAsia" w:hAnsiTheme="minorEastAsia" w:eastAsiaTheme="minorEastAsia" w:cstheme="minorEastAsia"/>
          <w:snapToGrid w:val="0"/>
          <w:sz w:val="21"/>
          <w:szCs w:val="21"/>
          <w:highlight w:val="none"/>
          <w:lang w:val="zh-TW" w:eastAsia="zh-TW" w:bidi="zh-TW"/>
        </w:rPr>
        <w:t>的知识产权，非经甲方书面</w:t>
      </w:r>
      <w:r>
        <w:rPr>
          <w:rFonts w:hint="eastAsia" w:asciiTheme="minorEastAsia" w:hAnsiTheme="minorEastAsia" w:eastAsiaTheme="minorEastAsia" w:cstheme="minorEastAsia"/>
          <w:snapToGrid w:val="0"/>
          <w:sz w:val="21"/>
          <w:szCs w:val="21"/>
          <w:highlight w:val="none"/>
          <w:lang w:val="zh-TW" w:eastAsia="zh-CN" w:bidi="zh-TW"/>
        </w:rPr>
        <w:t>同意</w:t>
      </w:r>
      <w:r>
        <w:rPr>
          <w:rFonts w:hint="eastAsia" w:asciiTheme="minorEastAsia" w:hAnsiTheme="minorEastAsia" w:eastAsiaTheme="minorEastAsia" w:cstheme="minorEastAsia"/>
          <w:snapToGrid w:val="0"/>
          <w:sz w:val="21"/>
          <w:szCs w:val="21"/>
          <w:highlight w:val="none"/>
          <w:lang w:val="zh-TW" w:eastAsia="zh-TW" w:bidi="zh-TW"/>
        </w:rPr>
        <w:t>，乙方不得以任何方式使用（包括开发新的知识产权）或许可第三方使用（包括因乙方过错导致第三方使用的情形），也不得以任何方式将甲方知识产权有关的任何信息披露给第三方。</w:t>
      </w:r>
    </w:p>
    <w:p>
      <w:pPr>
        <w:widowControl w:val="0"/>
        <w:tabs>
          <w:tab w:val="left" w:pos="763"/>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CN" w:bidi="zh-TW"/>
        </w:rPr>
      </w:pPr>
      <w:r>
        <w:rPr>
          <w:rFonts w:hint="eastAsia" w:asciiTheme="minorEastAsia" w:hAnsiTheme="minorEastAsia" w:eastAsiaTheme="minorEastAsia" w:cstheme="minorEastAsia"/>
          <w:snapToGrid w:val="0"/>
          <w:sz w:val="21"/>
          <w:szCs w:val="21"/>
          <w:highlight w:val="none"/>
          <w:lang w:eastAsia="zh-CN" w:bidi="zh-TW"/>
        </w:rPr>
        <w:t xml:space="preserve">6.5 </w:t>
      </w:r>
      <w:r>
        <w:rPr>
          <w:rFonts w:hint="eastAsia" w:asciiTheme="minorEastAsia" w:hAnsiTheme="minorEastAsia" w:eastAsiaTheme="minorEastAsia" w:cstheme="minorEastAsia"/>
          <w:snapToGrid w:val="0"/>
          <w:sz w:val="21"/>
          <w:szCs w:val="21"/>
          <w:highlight w:val="none"/>
          <w:lang w:val="zh-TW" w:eastAsia="zh-TW" w:bidi="zh-TW"/>
        </w:rPr>
        <w:t>乙方应保证</w:t>
      </w:r>
      <w:r>
        <w:rPr>
          <w:rFonts w:hint="eastAsia" w:asciiTheme="minorEastAsia" w:hAnsiTheme="minorEastAsia" w:eastAsiaTheme="minorEastAsia" w:cstheme="minorEastAsia"/>
          <w:snapToGrid w:val="0"/>
          <w:sz w:val="21"/>
          <w:szCs w:val="21"/>
          <w:highlight w:val="none"/>
          <w:lang w:val="zh-TW" w:eastAsia="zh-CN" w:bidi="zh-TW"/>
        </w:rPr>
        <w:t>其向甲方</w:t>
      </w:r>
      <w:r>
        <w:rPr>
          <w:rFonts w:hint="eastAsia" w:asciiTheme="minorEastAsia" w:hAnsiTheme="minorEastAsia" w:eastAsiaTheme="minorEastAsia" w:cstheme="minorEastAsia"/>
          <w:snapToGrid w:val="0"/>
          <w:sz w:val="21"/>
          <w:szCs w:val="21"/>
          <w:highlight w:val="none"/>
          <w:lang w:val="zh-TW" w:eastAsia="zh-TW" w:bidi="zh-TW"/>
        </w:rPr>
        <w:t>提供</w:t>
      </w:r>
      <w:r>
        <w:rPr>
          <w:rFonts w:hint="eastAsia" w:asciiTheme="minorEastAsia" w:hAnsiTheme="minorEastAsia" w:eastAsiaTheme="minorEastAsia" w:cstheme="minorEastAsia"/>
          <w:snapToGrid w:val="0"/>
          <w:sz w:val="21"/>
          <w:szCs w:val="21"/>
          <w:highlight w:val="none"/>
          <w:lang w:val="zh-TW" w:eastAsia="zh-CN" w:bidi="zh-TW"/>
        </w:rPr>
        <w:t>的</w:t>
      </w:r>
      <w:r>
        <w:rPr>
          <w:rFonts w:hint="eastAsia" w:asciiTheme="minorEastAsia" w:hAnsiTheme="minorEastAsia" w:eastAsiaTheme="minorEastAsia" w:cstheme="minorEastAsia"/>
          <w:snapToGrid w:val="0"/>
          <w:sz w:val="21"/>
          <w:szCs w:val="21"/>
          <w:highlight w:val="none"/>
          <w:lang w:val="zh-TW" w:eastAsia="zh-TW" w:bidi="zh-TW"/>
        </w:rPr>
        <w:t>知识产权</w:t>
      </w:r>
      <w:r>
        <w:rPr>
          <w:rFonts w:hint="eastAsia" w:asciiTheme="minorEastAsia" w:hAnsiTheme="minorEastAsia" w:eastAsiaTheme="minorEastAsia" w:cstheme="minorEastAsia"/>
          <w:snapToGrid w:val="0"/>
          <w:sz w:val="21"/>
          <w:szCs w:val="21"/>
          <w:highlight w:val="none"/>
          <w:lang w:val="zh-TW" w:eastAsia="zh-CN" w:bidi="zh-TW"/>
        </w:rPr>
        <w:t>（如</w:t>
      </w:r>
      <w:r>
        <w:rPr>
          <w:rFonts w:hint="eastAsia" w:asciiTheme="minorEastAsia" w:hAnsiTheme="minorEastAsia" w:eastAsiaTheme="minorEastAsia" w:cstheme="minorEastAsia"/>
          <w:snapToGrid w:val="0"/>
          <w:sz w:val="21"/>
          <w:szCs w:val="21"/>
          <w:highlight w:val="none"/>
          <w:lang w:val="zh-TW" w:eastAsia="zh-TW" w:bidi="zh-TW"/>
        </w:rPr>
        <w:t>商标、专利</w:t>
      </w:r>
      <w:r>
        <w:rPr>
          <w:rFonts w:hint="eastAsia" w:asciiTheme="minorEastAsia" w:hAnsiTheme="minorEastAsia" w:eastAsiaTheme="minorEastAsia" w:cstheme="minorEastAsia"/>
          <w:snapToGrid w:val="0"/>
          <w:sz w:val="21"/>
          <w:szCs w:val="21"/>
          <w:highlight w:val="none"/>
          <w:lang w:val="zh-TW" w:eastAsia="zh-CN" w:bidi="zh-TW"/>
        </w:rPr>
        <w:t>、著作权、商业秘密）</w:t>
      </w:r>
      <w:r>
        <w:rPr>
          <w:rFonts w:hint="eastAsia" w:asciiTheme="minorEastAsia" w:hAnsiTheme="minorEastAsia" w:eastAsiaTheme="minorEastAsia" w:cstheme="minorEastAsia"/>
          <w:snapToGrid w:val="0"/>
          <w:sz w:val="21"/>
          <w:szCs w:val="21"/>
          <w:highlight w:val="none"/>
          <w:lang w:val="zh-TW" w:eastAsia="zh-TW" w:bidi="zh-TW"/>
        </w:rPr>
        <w:t>归乙方所有；对于非乙方所有</w:t>
      </w:r>
      <w:r>
        <w:rPr>
          <w:rFonts w:hint="eastAsia" w:asciiTheme="minorEastAsia" w:hAnsiTheme="minorEastAsia" w:eastAsiaTheme="minorEastAsia" w:cstheme="minorEastAsia"/>
          <w:snapToGrid w:val="0"/>
          <w:sz w:val="21"/>
          <w:szCs w:val="21"/>
          <w:highlight w:val="none"/>
          <w:lang w:val="zh-TW" w:eastAsia="zh-CN" w:bidi="zh-TW"/>
        </w:rPr>
        <w:t>的</w:t>
      </w:r>
      <w:r>
        <w:rPr>
          <w:rFonts w:hint="eastAsia" w:asciiTheme="minorEastAsia" w:hAnsiTheme="minorEastAsia" w:eastAsiaTheme="minorEastAsia" w:cstheme="minorEastAsia"/>
          <w:snapToGrid w:val="0"/>
          <w:sz w:val="21"/>
          <w:szCs w:val="21"/>
          <w:highlight w:val="none"/>
          <w:lang w:val="zh-TW" w:eastAsia="zh-TW" w:bidi="zh-TW"/>
        </w:rPr>
        <w:t>知识产权，乙方有义务</w:t>
      </w:r>
      <w:r>
        <w:rPr>
          <w:rFonts w:hint="eastAsia" w:asciiTheme="minorEastAsia" w:hAnsiTheme="minorEastAsia" w:eastAsiaTheme="minorEastAsia" w:cstheme="minorEastAsia"/>
          <w:snapToGrid w:val="0"/>
          <w:sz w:val="21"/>
          <w:szCs w:val="21"/>
          <w:highlight w:val="none"/>
          <w:lang w:val="zh-TW" w:eastAsia="zh-CN" w:bidi="zh-TW"/>
        </w:rPr>
        <w:t>向</w:t>
      </w:r>
      <w:r>
        <w:rPr>
          <w:rFonts w:hint="eastAsia" w:asciiTheme="minorEastAsia" w:hAnsiTheme="minorEastAsia" w:eastAsiaTheme="minorEastAsia" w:cstheme="minorEastAsia"/>
          <w:snapToGrid w:val="0"/>
          <w:sz w:val="21"/>
          <w:szCs w:val="21"/>
          <w:highlight w:val="none"/>
          <w:lang w:val="zh-TW" w:eastAsia="zh-TW" w:bidi="zh-TW"/>
        </w:rPr>
        <w:t>甲方提供合法授权证明</w:t>
      </w:r>
      <w:r>
        <w:rPr>
          <w:rFonts w:hint="eastAsia" w:asciiTheme="minorEastAsia" w:hAnsiTheme="minorEastAsia" w:eastAsiaTheme="minorEastAsia" w:cstheme="minorEastAsia"/>
          <w:snapToGrid w:val="0"/>
          <w:sz w:val="21"/>
          <w:szCs w:val="21"/>
          <w:highlight w:val="none"/>
          <w:lang w:val="zh-TW" w:eastAsia="zh-CN" w:bidi="zh-TW"/>
        </w:rPr>
        <w:t>。前述知识产权若侵犯第三方的，甲方不承担任何损害赔偿责任。</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snapToGrid w:val="0"/>
          <w:sz w:val="21"/>
          <w:szCs w:val="21"/>
          <w:highlight w:val="none"/>
          <w:lang w:eastAsia="zh-CN" w:bidi="zh-TW"/>
        </w:rPr>
        <w:t xml:space="preserve">6.6 </w:t>
      </w:r>
      <w:r>
        <w:rPr>
          <w:rFonts w:hint="eastAsia" w:asciiTheme="minorEastAsia" w:hAnsiTheme="minorEastAsia" w:eastAsiaTheme="minorEastAsia" w:cstheme="minorEastAsia"/>
          <w:snapToGrid w:val="0"/>
          <w:sz w:val="21"/>
          <w:szCs w:val="21"/>
          <w:highlight w:val="none"/>
          <w:lang w:val="zh-TW" w:eastAsia="zh-TW" w:bidi="zh-TW"/>
        </w:rPr>
        <w:t>乙方就</w:t>
      </w:r>
      <w:r>
        <w:rPr>
          <w:rFonts w:hint="eastAsia" w:asciiTheme="minorEastAsia" w:hAnsiTheme="minorEastAsia" w:eastAsiaTheme="minorEastAsia" w:cstheme="minorEastAsia"/>
          <w:snapToGrid w:val="0"/>
          <w:sz w:val="21"/>
          <w:szCs w:val="21"/>
          <w:highlight w:val="none"/>
          <w:lang w:val="zh-TW" w:eastAsia="zh-CN" w:bidi="zh-TW"/>
        </w:rPr>
        <w:t>其享有（含合法授权）的本合同相关</w:t>
      </w:r>
      <w:r>
        <w:rPr>
          <w:rFonts w:hint="eastAsia" w:asciiTheme="minorEastAsia" w:hAnsiTheme="minorEastAsia" w:eastAsiaTheme="minorEastAsia" w:cstheme="minorEastAsia"/>
          <w:snapToGrid w:val="0"/>
          <w:sz w:val="21"/>
          <w:szCs w:val="21"/>
          <w:highlight w:val="none"/>
          <w:lang w:val="zh-TW" w:eastAsia="zh-TW" w:bidi="zh-TW"/>
        </w:rPr>
        <w:t>知识产权授予甲方</w:t>
      </w:r>
      <w:r>
        <w:rPr>
          <w:rFonts w:hint="eastAsia" w:asciiTheme="minorEastAsia" w:hAnsiTheme="minorEastAsia" w:eastAsiaTheme="minorEastAsia" w:cstheme="minorEastAsia"/>
          <w:snapToGrid w:val="0"/>
          <w:sz w:val="21"/>
          <w:szCs w:val="21"/>
          <w:highlight w:val="none"/>
          <w:lang w:val="zh-TW" w:eastAsia="zh-CN" w:bidi="zh-TW"/>
        </w:rPr>
        <w:t>（含</w:t>
      </w:r>
      <w:r>
        <w:rPr>
          <w:rFonts w:hint="eastAsia" w:asciiTheme="minorEastAsia" w:hAnsiTheme="minorEastAsia" w:eastAsiaTheme="minorEastAsia" w:cstheme="minorEastAsia"/>
          <w:snapToGrid w:val="0"/>
          <w:sz w:val="21"/>
          <w:szCs w:val="21"/>
          <w:highlight w:val="none"/>
          <w:lang w:val="zh-TW" w:eastAsia="zh-TW" w:bidi="zh-TW"/>
        </w:rPr>
        <w:t>授权人和用户</w:t>
      </w:r>
      <w:r>
        <w:rPr>
          <w:rFonts w:hint="eastAsia" w:asciiTheme="minorEastAsia" w:hAnsiTheme="minorEastAsia" w:eastAsiaTheme="minorEastAsia" w:cstheme="minorEastAsia"/>
          <w:snapToGrid w:val="0"/>
          <w:sz w:val="21"/>
          <w:szCs w:val="21"/>
          <w:highlight w:val="none"/>
          <w:lang w:val="zh-TW" w:eastAsia="zh-CN" w:bidi="zh-TW"/>
        </w:rPr>
        <w:t>）</w:t>
      </w:r>
      <w:r>
        <w:rPr>
          <w:rFonts w:hint="eastAsia" w:asciiTheme="minorEastAsia" w:hAnsiTheme="minorEastAsia" w:eastAsiaTheme="minorEastAsia" w:cstheme="minorEastAsia"/>
          <w:snapToGrid w:val="0"/>
          <w:sz w:val="21"/>
          <w:szCs w:val="21"/>
          <w:highlight w:val="none"/>
          <w:lang w:val="zh-TW" w:eastAsia="zh-TW" w:bidi="zh-TW"/>
        </w:rPr>
        <w:t>一项非独家的、无限制的、世界范围内的、以知识产权有效期为限的使用许可</w:t>
      </w:r>
      <w:r>
        <w:rPr>
          <w:rFonts w:hint="eastAsia" w:asciiTheme="minorEastAsia" w:hAnsiTheme="minorEastAsia" w:eastAsiaTheme="minorEastAsia" w:cstheme="minorEastAsia"/>
          <w:snapToGrid w:val="0"/>
          <w:sz w:val="21"/>
          <w:szCs w:val="21"/>
          <w:highlight w:val="none"/>
          <w:lang w:val="zh-TW" w:eastAsia="zh-CN" w:bidi="zh-TW"/>
        </w:rPr>
        <w:t>，</w:t>
      </w:r>
      <w:r>
        <w:rPr>
          <w:rFonts w:hint="eastAsia" w:asciiTheme="minorEastAsia" w:hAnsiTheme="minorEastAsia" w:eastAsiaTheme="minorEastAsia" w:cstheme="minorEastAsia"/>
          <w:snapToGrid w:val="0"/>
          <w:sz w:val="21"/>
          <w:szCs w:val="21"/>
          <w:highlight w:val="none"/>
          <w:lang w:val="zh-TW" w:eastAsia="zh-TW" w:bidi="zh-TW"/>
        </w:rPr>
        <w:t>甲方</w:t>
      </w:r>
      <w:r>
        <w:rPr>
          <w:rFonts w:hint="eastAsia" w:asciiTheme="minorEastAsia" w:hAnsiTheme="minorEastAsia" w:eastAsiaTheme="minorEastAsia" w:cstheme="minorEastAsia"/>
          <w:snapToGrid w:val="0"/>
          <w:sz w:val="21"/>
          <w:szCs w:val="21"/>
          <w:highlight w:val="none"/>
          <w:lang w:val="zh-TW" w:eastAsia="zh-CN" w:bidi="zh-TW"/>
        </w:rPr>
        <w:t>（含</w:t>
      </w:r>
      <w:r>
        <w:rPr>
          <w:rFonts w:hint="eastAsia" w:asciiTheme="minorEastAsia" w:hAnsiTheme="minorEastAsia" w:eastAsiaTheme="minorEastAsia" w:cstheme="minorEastAsia"/>
          <w:snapToGrid w:val="0"/>
          <w:sz w:val="21"/>
          <w:szCs w:val="21"/>
          <w:highlight w:val="none"/>
          <w:lang w:val="zh-TW" w:eastAsia="zh-TW" w:bidi="zh-TW"/>
        </w:rPr>
        <w:t>授权人和用户</w:t>
      </w:r>
      <w:r>
        <w:rPr>
          <w:rFonts w:hint="eastAsia" w:asciiTheme="minorEastAsia" w:hAnsiTheme="minorEastAsia" w:eastAsiaTheme="minorEastAsia" w:cstheme="minorEastAsia"/>
          <w:snapToGrid w:val="0"/>
          <w:sz w:val="21"/>
          <w:szCs w:val="21"/>
          <w:highlight w:val="none"/>
          <w:lang w:val="zh-TW" w:eastAsia="zh-CN" w:bidi="zh-TW"/>
        </w:rPr>
        <w:t>）</w:t>
      </w:r>
      <w:r>
        <w:rPr>
          <w:rFonts w:hint="eastAsia" w:asciiTheme="minorEastAsia" w:hAnsiTheme="minorEastAsia" w:eastAsiaTheme="minorEastAsia" w:cstheme="minorEastAsia"/>
          <w:snapToGrid w:val="0"/>
          <w:sz w:val="21"/>
          <w:szCs w:val="21"/>
          <w:highlight w:val="none"/>
          <w:lang w:val="zh-TW" w:eastAsia="zh-TW" w:bidi="zh-TW"/>
        </w:rPr>
        <w:t>就该许可</w:t>
      </w:r>
      <w:r>
        <w:rPr>
          <w:rFonts w:hint="eastAsia" w:asciiTheme="minorEastAsia" w:hAnsiTheme="minorEastAsia" w:eastAsiaTheme="minorEastAsia" w:cstheme="minorEastAsia"/>
          <w:snapToGrid w:val="0"/>
          <w:sz w:val="21"/>
          <w:szCs w:val="21"/>
          <w:highlight w:val="none"/>
          <w:lang w:val="zh-TW" w:eastAsia="zh-CN" w:bidi="zh-TW"/>
        </w:rPr>
        <w:t>无需</w:t>
      </w:r>
      <w:r>
        <w:rPr>
          <w:rFonts w:hint="eastAsia" w:asciiTheme="minorEastAsia" w:hAnsiTheme="minorEastAsia" w:eastAsiaTheme="minorEastAsia" w:cstheme="minorEastAsia"/>
          <w:snapToGrid w:val="0"/>
          <w:sz w:val="21"/>
          <w:szCs w:val="21"/>
          <w:highlight w:val="none"/>
          <w:lang w:val="zh-TW" w:eastAsia="zh-TW" w:bidi="zh-TW"/>
        </w:rPr>
        <w:t>支付额外费用。乙方保证甲方</w:t>
      </w:r>
      <w:r>
        <w:rPr>
          <w:rFonts w:hint="eastAsia" w:asciiTheme="minorEastAsia" w:hAnsiTheme="minorEastAsia" w:eastAsiaTheme="minorEastAsia" w:cstheme="minorEastAsia"/>
          <w:snapToGrid w:val="0"/>
          <w:sz w:val="21"/>
          <w:szCs w:val="21"/>
          <w:highlight w:val="none"/>
          <w:lang w:val="zh-TW" w:eastAsia="zh-CN" w:bidi="zh-TW"/>
        </w:rPr>
        <w:t>（含</w:t>
      </w:r>
      <w:r>
        <w:rPr>
          <w:rFonts w:hint="eastAsia" w:asciiTheme="minorEastAsia" w:hAnsiTheme="minorEastAsia" w:eastAsiaTheme="minorEastAsia" w:cstheme="minorEastAsia"/>
          <w:snapToGrid w:val="0"/>
          <w:sz w:val="21"/>
          <w:szCs w:val="21"/>
          <w:highlight w:val="none"/>
          <w:lang w:val="zh-TW" w:eastAsia="zh-TW" w:bidi="zh-TW"/>
        </w:rPr>
        <w:t>授权人和用户</w:t>
      </w:r>
      <w:r>
        <w:rPr>
          <w:rFonts w:hint="eastAsia" w:asciiTheme="minorEastAsia" w:hAnsiTheme="minorEastAsia" w:eastAsiaTheme="minorEastAsia" w:cstheme="minorEastAsia"/>
          <w:snapToGrid w:val="0"/>
          <w:sz w:val="21"/>
          <w:szCs w:val="21"/>
          <w:highlight w:val="none"/>
          <w:lang w:val="zh-TW" w:eastAsia="zh-CN" w:bidi="zh-TW"/>
        </w:rPr>
        <w:t>）</w:t>
      </w:r>
      <w:r>
        <w:rPr>
          <w:rFonts w:hint="eastAsia" w:asciiTheme="minorEastAsia" w:hAnsiTheme="minorEastAsia" w:eastAsiaTheme="minorEastAsia" w:cstheme="minorEastAsia"/>
          <w:snapToGrid w:val="0"/>
          <w:sz w:val="21"/>
          <w:szCs w:val="21"/>
          <w:highlight w:val="none"/>
          <w:lang w:val="zh-TW" w:eastAsia="zh-TW" w:bidi="zh-TW"/>
        </w:rPr>
        <w:t>使用本合同项下合同标的或者任一部分时，免受侵权起诉。</w:t>
      </w:r>
    </w:p>
    <w:p>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7 违约责任</w:t>
      </w:r>
    </w:p>
    <w:p>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7.1 甲方违约责任</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7.1.1 甲方中途无故退货，应向乙方支付</w:t>
      </w:r>
      <w:r>
        <w:rPr>
          <w:rFonts w:hint="eastAsia" w:asciiTheme="minorEastAsia" w:hAnsiTheme="minorEastAsia" w:eastAsiaTheme="minorEastAsia" w:cstheme="minorEastAsia"/>
          <w:kern w:val="2"/>
          <w:sz w:val="21"/>
          <w:szCs w:val="21"/>
          <w:highlight w:val="none"/>
          <w:u w:val="single"/>
          <w:lang w:eastAsia="zh-CN"/>
        </w:rPr>
        <w:t xml:space="preserve"> 退货部分总金额5% </w:t>
      </w:r>
      <w:r>
        <w:rPr>
          <w:rFonts w:hint="eastAsia" w:asciiTheme="minorEastAsia" w:hAnsiTheme="minorEastAsia" w:eastAsiaTheme="minorEastAsia" w:cstheme="minorEastAsia"/>
          <w:kern w:val="2"/>
          <w:sz w:val="21"/>
          <w:szCs w:val="21"/>
          <w:highlight w:val="none"/>
          <w:lang w:eastAsia="zh-CN"/>
        </w:rPr>
        <w:t>的违约金。</w:t>
      </w:r>
    </w:p>
    <w:p>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7.2 乙方违约责任</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7.2.1 产品外观验收发现产品名称、品牌、型号、数量以及包装不符合合同约定的，甲方有权拒绝收货，双方协商解决不成的，乙方应在</w:t>
      </w:r>
      <w:r>
        <w:rPr>
          <w:rFonts w:hint="eastAsia" w:asciiTheme="minorEastAsia" w:hAnsiTheme="minorEastAsia" w:eastAsiaTheme="minorEastAsia" w:cstheme="minorEastAsia"/>
          <w:kern w:val="2"/>
          <w:sz w:val="21"/>
          <w:szCs w:val="21"/>
          <w:highlight w:val="none"/>
          <w:u w:val="single"/>
          <w:lang w:eastAsia="zh-CN"/>
        </w:rPr>
        <w:t xml:space="preserve"> 3 </w:t>
      </w:r>
      <w:r>
        <w:rPr>
          <w:rFonts w:hint="eastAsia" w:asciiTheme="minorEastAsia" w:hAnsiTheme="minorEastAsia" w:eastAsiaTheme="minorEastAsia" w:cstheme="minorEastAsia"/>
          <w:kern w:val="2"/>
          <w:sz w:val="21"/>
          <w:szCs w:val="21"/>
          <w:highlight w:val="none"/>
          <w:lang w:eastAsia="zh-CN"/>
        </w:rPr>
        <w:t>日内换货。未在约定期限内换货或换货后仍不符合约定的，甲方有权单方部分或全部解除本合同并要求乙方支付</w:t>
      </w:r>
      <w:r>
        <w:rPr>
          <w:rFonts w:hint="eastAsia" w:asciiTheme="minorEastAsia" w:hAnsiTheme="minorEastAsia" w:eastAsiaTheme="minorEastAsia" w:cstheme="minorEastAsia"/>
          <w:kern w:val="2"/>
          <w:sz w:val="21"/>
          <w:szCs w:val="21"/>
          <w:highlight w:val="none"/>
          <w:u w:val="single"/>
          <w:lang w:eastAsia="zh-CN"/>
        </w:rPr>
        <w:t xml:space="preserve"> 该部分产品金额5% </w:t>
      </w:r>
      <w:r>
        <w:rPr>
          <w:rFonts w:hint="eastAsia" w:asciiTheme="minorEastAsia" w:hAnsiTheme="minorEastAsia" w:eastAsiaTheme="minorEastAsia" w:cstheme="minorEastAsia"/>
          <w:kern w:val="2"/>
          <w:sz w:val="21"/>
          <w:szCs w:val="21"/>
          <w:highlight w:val="none"/>
          <w:lang w:eastAsia="zh-CN"/>
        </w:rPr>
        <w:t>的违约金。</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7.2.2 产品最终验收（包括但不限于初检、复检等甲方所有的验收程序）不合格的，乙方应立即返修不合格产品或换货，若仍不合格的，甲方有权单方部分或全部解除本合同并要求乙方支付</w:t>
      </w:r>
      <w:r>
        <w:rPr>
          <w:rFonts w:hint="eastAsia" w:asciiTheme="minorEastAsia" w:hAnsiTheme="minorEastAsia" w:eastAsiaTheme="minorEastAsia" w:cstheme="minorEastAsia"/>
          <w:kern w:val="2"/>
          <w:sz w:val="21"/>
          <w:szCs w:val="21"/>
          <w:highlight w:val="none"/>
          <w:u w:val="single"/>
          <w:lang w:eastAsia="zh-CN"/>
        </w:rPr>
        <w:t xml:space="preserve"> 合同总金额10% </w:t>
      </w:r>
      <w:r>
        <w:rPr>
          <w:rFonts w:hint="eastAsia" w:asciiTheme="minorEastAsia" w:hAnsiTheme="minorEastAsia" w:eastAsiaTheme="minorEastAsia" w:cstheme="minorEastAsia"/>
          <w:kern w:val="2"/>
          <w:sz w:val="21"/>
          <w:szCs w:val="21"/>
          <w:highlight w:val="none"/>
          <w:lang w:eastAsia="zh-CN"/>
        </w:rPr>
        <w:t>的违约金。</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7.2.3 乙方逾期交付，双方协商解决不成的，则乙方应按</w:t>
      </w:r>
      <w:r>
        <w:rPr>
          <w:rFonts w:hint="eastAsia" w:asciiTheme="minorEastAsia" w:hAnsiTheme="minorEastAsia" w:eastAsiaTheme="minorEastAsia" w:cstheme="minorEastAsia"/>
          <w:kern w:val="2"/>
          <w:sz w:val="21"/>
          <w:szCs w:val="21"/>
          <w:highlight w:val="none"/>
          <w:u w:val="single"/>
          <w:lang w:eastAsia="zh-CN"/>
        </w:rPr>
        <w:t xml:space="preserve"> 逾期产品总金额的0.1‰/日 </w:t>
      </w:r>
      <w:r>
        <w:rPr>
          <w:rFonts w:hint="eastAsia" w:asciiTheme="minorEastAsia" w:hAnsiTheme="minorEastAsia" w:eastAsiaTheme="minorEastAsia" w:cstheme="minorEastAsia"/>
          <w:kern w:val="2"/>
          <w:sz w:val="21"/>
          <w:szCs w:val="21"/>
          <w:highlight w:val="none"/>
          <w:lang w:eastAsia="zh-CN"/>
        </w:rPr>
        <w:t>向甲方支付违约金；逾期交付超过</w:t>
      </w:r>
      <w:r>
        <w:rPr>
          <w:rFonts w:hint="eastAsia" w:asciiTheme="minorEastAsia" w:hAnsiTheme="minorEastAsia" w:eastAsiaTheme="minorEastAsia" w:cstheme="minorEastAsia"/>
          <w:kern w:val="2"/>
          <w:sz w:val="21"/>
          <w:szCs w:val="21"/>
          <w:highlight w:val="none"/>
          <w:u w:val="single"/>
          <w:lang w:eastAsia="zh-CN"/>
        </w:rPr>
        <w:t xml:space="preserve"> 30 </w:t>
      </w:r>
      <w:r>
        <w:rPr>
          <w:rFonts w:hint="eastAsia" w:asciiTheme="minorEastAsia" w:hAnsiTheme="minorEastAsia" w:eastAsiaTheme="minorEastAsia" w:cstheme="minorEastAsia"/>
          <w:kern w:val="2"/>
          <w:sz w:val="21"/>
          <w:szCs w:val="21"/>
          <w:highlight w:val="none"/>
          <w:lang w:eastAsia="zh-CN"/>
        </w:rPr>
        <w:t>日，甲方有权单方部分或全部解除本合同，甲方选择解除合同的，乙方应在合同解除之日起5日内返还甲方依据本合同已支付的所有费用（含利息），并向甲方支付违约金（或赔偿损失）。</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7.2.4 质保期内产品出现质量问题，乙方应在收到甲方的通知后</w:t>
      </w:r>
      <w:r>
        <w:rPr>
          <w:rFonts w:hint="eastAsia" w:asciiTheme="minorEastAsia" w:hAnsiTheme="minorEastAsia" w:eastAsiaTheme="minorEastAsia" w:cstheme="minorEastAsia"/>
          <w:kern w:val="2"/>
          <w:sz w:val="21"/>
          <w:szCs w:val="21"/>
          <w:highlight w:val="none"/>
          <w:u w:val="single"/>
          <w:lang w:eastAsia="zh-CN"/>
        </w:rPr>
        <w:t xml:space="preserve"> 10</w:t>
      </w:r>
      <w:r>
        <w:rPr>
          <w:rFonts w:hint="eastAsia" w:asciiTheme="minorEastAsia" w:hAnsiTheme="minorEastAsia" w:eastAsiaTheme="minorEastAsia" w:cstheme="minorEastAsia"/>
          <w:kern w:val="2"/>
          <w:sz w:val="21"/>
          <w:szCs w:val="21"/>
          <w:highlight w:val="none"/>
          <w:lang w:eastAsia="zh-CN"/>
        </w:rPr>
        <w:t>个工作日内自行承担费用对问题产品维修完毕交付甲方，乙方逾期未维修或维修后仍不符合合同约定的，甲方有权自行或委托第三方维修，由此产生的费用由乙方承担。因产品质量问题造成甲方及第三方损失的，乙方应全部承担。若同一产品维修时间累计超过</w:t>
      </w:r>
      <w:r>
        <w:rPr>
          <w:rFonts w:hint="eastAsia" w:asciiTheme="minorEastAsia" w:hAnsiTheme="minorEastAsia" w:eastAsiaTheme="minorEastAsia" w:cstheme="minorEastAsia"/>
          <w:kern w:val="2"/>
          <w:sz w:val="21"/>
          <w:szCs w:val="21"/>
          <w:highlight w:val="none"/>
          <w:u w:val="single"/>
          <w:lang w:eastAsia="zh-CN"/>
        </w:rPr>
        <w:t xml:space="preserve"> 24</w:t>
      </w:r>
      <w:r>
        <w:rPr>
          <w:rFonts w:hint="eastAsia" w:asciiTheme="minorEastAsia" w:hAnsiTheme="minorEastAsia" w:eastAsiaTheme="minorEastAsia" w:cstheme="minorEastAsia"/>
          <w:kern w:val="2"/>
          <w:sz w:val="21"/>
          <w:szCs w:val="21"/>
          <w:highlight w:val="none"/>
          <w:lang w:eastAsia="zh-CN"/>
        </w:rPr>
        <w:t>小时或维修次数超过</w:t>
      </w:r>
      <w:r>
        <w:rPr>
          <w:rFonts w:hint="eastAsia" w:asciiTheme="minorEastAsia" w:hAnsiTheme="minorEastAsia" w:eastAsiaTheme="minorEastAsia" w:cstheme="minorEastAsia"/>
          <w:kern w:val="2"/>
          <w:sz w:val="21"/>
          <w:szCs w:val="21"/>
          <w:highlight w:val="none"/>
          <w:u w:val="single"/>
          <w:lang w:eastAsia="zh-CN"/>
        </w:rPr>
        <w:t xml:space="preserve"> 3</w:t>
      </w:r>
      <w:r>
        <w:rPr>
          <w:rFonts w:hint="eastAsia" w:asciiTheme="minorEastAsia" w:hAnsiTheme="minorEastAsia" w:eastAsiaTheme="minorEastAsia" w:cstheme="minorEastAsia"/>
          <w:kern w:val="2"/>
          <w:sz w:val="21"/>
          <w:szCs w:val="21"/>
          <w:highlight w:val="none"/>
          <w:lang w:eastAsia="zh-CN"/>
        </w:rPr>
        <w:t>次的，甲方有权单方部分或全部解除本合同并要求乙方支付</w:t>
      </w:r>
      <w:r>
        <w:rPr>
          <w:rFonts w:hint="eastAsia" w:asciiTheme="minorEastAsia" w:hAnsiTheme="minorEastAsia" w:eastAsiaTheme="minorEastAsia" w:cstheme="minorEastAsia"/>
          <w:kern w:val="2"/>
          <w:sz w:val="21"/>
          <w:szCs w:val="21"/>
          <w:highlight w:val="none"/>
          <w:u w:val="single"/>
          <w:lang w:eastAsia="zh-CN"/>
        </w:rPr>
        <w:t xml:space="preserve"> 合同总金额10% </w:t>
      </w:r>
      <w:r>
        <w:rPr>
          <w:rFonts w:hint="eastAsia" w:asciiTheme="minorEastAsia" w:hAnsiTheme="minorEastAsia" w:eastAsiaTheme="minorEastAsia" w:cstheme="minorEastAsia"/>
          <w:kern w:val="2"/>
          <w:sz w:val="21"/>
          <w:szCs w:val="21"/>
          <w:highlight w:val="none"/>
          <w:lang w:eastAsia="zh-CN"/>
        </w:rPr>
        <w:t>的违约金。</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7.2.5 乙方出现下列情况之一，甲方有权单方部分或全部解除本合同并要求乙方支付</w:t>
      </w:r>
      <w:r>
        <w:rPr>
          <w:rFonts w:hint="eastAsia" w:asciiTheme="minorEastAsia" w:hAnsiTheme="minorEastAsia" w:eastAsiaTheme="minorEastAsia" w:cstheme="minorEastAsia"/>
          <w:kern w:val="2"/>
          <w:sz w:val="21"/>
          <w:szCs w:val="21"/>
          <w:highlight w:val="none"/>
          <w:u w:val="single"/>
          <w:lang w:eastAsia="zh-CN"/>
        </w:rPr>
        <w:t xml:space="preserve"> 合同总金额30% </w:t>
      </w:r>
      <w:r>
        <w:rPr>
          <w:rFonts w:hint="eastAsia" w:asciiTheme="minorEastAsia" w:hAnsiTheme="minorEastAsia" w:eastAsiaTheme="minorEastAsia" w:cstheme="minorEastAsia"/>
          <w:kern w:val="2"/>
          <w:sz w:val="21"/>
          <w:szCs w:val="21"/>
          <w:highlight w:val="none"/>
          <w:lang w:eastAsia="zh-CN"/>
        </w:rPr>
        <w:t>的违约金：</w:t>
      </w:r>
      <w:r>
        <w:rPr>
          <w:rFonts w:hint="eastAsia" w:asciiTheme="minorEastAsia" w:hAnsiTheme="minorEastAsia" w:eastAsiaTheme="minorEastAsia" w:cstheme="minorEastAsia"/>
          <w:sz w:val="21"/>
          <w:szCs w:val="21"/>
          <w:highlight w:val="none"/>
          <w:lang w:eastAsia="zh-CN"/>
        </w:rPr>
        <w:t>（1）</w:t>
      </w:r>
      <w:r>
        <w:rPr>
          <w:rFonts w:hint="eastAsia" w:asciiTheme="minorEastAsia" w:hAnsiTheme="minorEastAsia" w:eastAsiaTheme="minorEastAsia" w:cstheme="minorEastAsia"/>
          <w:kern w:val="2"/>
          <w:sz w:val="21"/>
          <w:szCs w:val="21"/>
          <w:highlight w:val="none"/>
          <w:lang w:eastAsia="zh-CN"/>
        </w:rPr>
        <w:t>交付的产品属假冒伪劣产品，以次充好、以假充真；</w:t>
      </w: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kern w:val="2"/>
          <w:sz w:val="21"/>
          <w:szCs w:val="21"/>
          <w:highlight w:val="none"/>
          <w:lang w:eastAsia="zh-CN"/>
        </w:rPr>
        <w:t>拒不提供产品相关资料或提供的资料虚假；</w:t>
      </w:r>
      <w:r>
        <w:rPr>
          <w:rFonts w:hint="eastAsia" w:asciiTheme="minorEastAsia" w:hAnsiTheme="minorEastAsia" w:eastAsiaTheme="minorEastAsia" w:cstheme="minorEastAsia"/>
          <w:sz w:val="21"/>
          <w:szCs w:val="21"/>
          <w:highlight w:val="none"/>
          <w:lang w:eastAsia="zh-CN"/>
        </w:rPr>
        <w:t>（3）</w:t>
      </w:r>
      <w:r>
        <w:rPr>
          <w:rFonts w:hint="eastAsia" w:asciiTheme="minorEastAsia" w:hAnsiTheme="minorEastAsia" w:eastAsiaTheme="minorEastAsia" w:cstheme="minorEastAsia"/>
          <w:kern w:val="2"/>
          <w:sz w:val="21"/>
          <w:szCs w:val="21"/>
          <w:highlight w:val="none"/>
          <w:lang w:eastAsia="zh-CN"/>
        </w:rPr>
        <w:t>隐瞒重大设计缺陷、制造缺陷等质量问题；</w:t>
      </w:r>
      <w:r>
        <w:rPr>
          <w:rFonts w:hint="eastAsia" w:asciiTheme="minorEastAsia" w:hAnsiTheme="minorEastAsia" w:eastAsiaTheme="minorEastAsia" w:cstheme="minorEastAsia"/>
          <w:sz w:val="21"/>
          <w:szCs w:val="21"/>
          <w:highlight w:val="none"/>
          <w:lang w:eastAsia="zh-CN"/>
        </w:rPr>
        <w:t>（4）</w:t>
      </w:r>
      <w:r>
        <w:rPr>
          <w:rFonts w:hint="eastAsia" w:asciiTheme="minorEastAsia" w:hAnsiTheme="minorEastAsia" w:eastAsiaTheme="minorEastAsia" w:cstheme="minorEastAsia"/>
          <w:kern w:val="2"/>
          <w:sz w:val="21"/>
          <w:szCs w:val="21"/>
          <w:highlight w:val="none"/>
          <w:lang w:eastAsia="zh-CN"/>
        </w:rPr>
        <w:t>因本合同产品被追究刑事责任；</w:t>
      </w:r>
      <w:r>
        <w:rPr>
          <w:rFonts w:hint="eastAsia" w:asciiTheme="minorEastAsia" w:hAnsiTheme="minorEastAsia" w:eastAsiaTheme="minorEastAsia" w:cstheme="minorEastAsia"/>
          <w:bCs/>
          <w:sz w:val="21"/>
          <w:szCs w:val="21"/>
          <w:highlight w:val="none"/>
          <w:lang w:eastAsia="zh-CN"/>
        </w:rPr>
        <w:t>（5）</w:t>
      </w:r>
      <w:r>
        <w:rPr>
          <w:rFonts w:hint="eastAsia" w:asciiTheme="minorEastAsia" w:hAnsiTheme="minorEastAsia" w:eastAsiaTheme="minorEastAsia" w:cstheme="minorEastAsia"/>
          <w:kern w:val="2"/>
          <w:sz w:val="21"/>
          <w:szCs w:val="21"/>
          <w:highlight w:val="none"/>
          <w:lang w:eastAsia="zh-CN"/>
        </w:rPr>
        <w:t>交付的产品发生安全、环保、质量等事故；</w:t>
      </w:r>
      <w:r>
        <w:rPr>
          <w:rFonts w:hint="eastAsia" w:asciiTheme="minorEastAsia" w:hAnsiTheme="minorEastAsia" w:eastAsiaTheme="minorEastAsia" w:cstheme="minorEastAsia"/>
          <w:bCs/>
          <w:sz w:val="21"/>
          <w:szCs w:val="21"/>
          <w:highlight w:val="none"/>
          <w:lang w:eastAsia="zh-CN"/>
        </w:rPr>
        <w:t>（6）</w:t>
      </w:r>
      <w:r>
        <w:rPr>
          <w:rFonts w:hint="eastAsia" w:asciiTheme="minorEastAsia" w:hAnsiTheme="minorEastAsia" w:eastAsiaTheme="minorEastAsia" w:cstheme="minorEastAsia"/>
          <w:kern w:val="2"/>
          <w:sz w:val="21"/>
          <w:szCs w:val="21"/>
          <w:highlight w:val="none"/>
          <w:lang w:eastAsia="zh-CN"/>
        </w:rPr>
        <w:t>乙方拒绝履行本合同的；</w:t>
      </w:r>
      <w:r>
        <w:rPr>
          <w:rFonts w:hint="eastAsia" w:asciiTheme="minorEastAsia" w:hAnsiTheme="minorEastAsia" w:eastAsiaTheme="minorEastAsia" w:cstheme="minorEastAsia"/>
          <w:bCs/>
          <w:sz w:val="21"/>
          <w:szCs w:val="21"/>
          <w:highlight w:val="none"/>
          <w:lang w:eastAsia="zh-CN"/>
        </w:rPr>
        <w:t>（7）</w:t>
      </w:r>
      <w:r>
        <w:rPr>
          <w:rFonts w:hint="eastAsia" w:asciiTheme="minorEastAsia" w:hAnsiTheme="minorEastAsia" w:eastAsiaTheme="minorEastAsia" w:cstheme="minorEastAsia"/>
          <w:kern w:val="2"/>
          <w:sz w:val="21"/>
          <w:szCs w:val="21"/>
          <w:highlight w:val="none"/>
          <w:lang w:eastAsia="zh-CN"/>
        </w:rPr>
        <w:t>其他严重危及甲方权益的情况。</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7.2.6 本合同禁止乙方转包或者自行分包。经甲方书面同意，乙方可以将非主要、非核心或非关键性的工作内容分包给第三方完成；乙方应确保第三方所实施的分包工作质量符合本合同约定，并就该分包工作向甲方承担连带责任。如乙方违反前述约定，甲方有权单方解除合同，并要求乙方支付</w:t>
      </w:r>
      <w:r>
        <w:rPr>
          <w:rFonts w:hint="eastAsia" w:asciiTheme="minorEastAsia" w:hAnsiTheme="minorEastAsia" w:eastAsiaTheme="minorEastAsia" w:cstheme="minorEastAsia"/>
          <w:kern w:val="2"/>
          <w:sz w:val="21"/>
          <w:szCs w:val="21"/>
          <w:highlight w:val="none"/>
          <w:u w:val="single"/>
          <w:lang w:eastAsia="zh-CN"/>
        </w:rPr>
        <w:t>合同总金额30%</w:t>
      </w:r>
      <w:r>
        <w:rPr>
          <w:rFonts w:hint="eastAsia" w:asciiTheme="minorEastAsia" w:hAnsiTheme="minorEastAsia" w:eastAsiaTheme="minorEastAsia" w:cstheme="minorEastAsia"/>
          <w:kern w:val="2"/>
          <w:sz w:val="21"/>
          <w:szCs w:val="21"/>
          <w:highlight w:val="none"/>
          <w:lang w:eastAsia="zh-CN"/>
        </w:rPr>
        <w:t>的违约金。</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7.2.7 乙方出现上述以外的违约行为，双方协商解决不成的，应按照</w:t>
      </w:r>
      <w:r>
        <w:rPr>
          <w:rFonts w:hint="eastAsia" w:asciiTheme="minorEastAsia" w:hAnsiTheme="minorEastAsia" w:eastAsiaTheme="minorEastAsia" w:cstheme="minorEastAsia"/>
          <w:kern w:val="2"/>
          <w:sz w:val="21"/>
          <w:szCs w:val="21"/>
          <w:highlight w:val="none"/>
          <w:u w:val="single"/>
          <w:lang w:eastAsia="zh-CN"/>
        </w:rPr>
        <w:t xml:space="preserve">  合同总金额的5% </w:t>
      </w:r>
      <w:r>
        <w:rPr>
          <w:rFonts w:hint="eastAsia" w:asciiTheme="minorEastAsia" w:hAnsiTheme="minorEastAsia" w:eastAsiaTheme="minorEastAsia" w:cstheme="minorEastAsia"/>
          <w:kern w:val="2"/>
          <w:sz w:val="21"/>
          <w:szCs w:val="21"/>
          <w:highlight w:val="none"/>
          <w:lang w:eastAsia="zh-CN"/>
        </w:rPr>
        <w:t>向甲方支付违约金。</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7.2.8 因乙方原因（含乙方聘用人员、委托人员等）造成的人身伤害（含甲乙双方人员及第三方人员）以及给甲方造成的一切经济损失，均由乙方承担。</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7.2.9 前述损失包括实际损失和合同履行后可以获得的利益及合理的调查取证费、律师费等相关法律费用。</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7.3 若约定的违约金金额不能覆盖损失的，违约方还应对损失部分进行补足。乙方应当支付给甲方的违约金或赔偿金，甲方有权从应付而未付的款项中扣减。</w:t>
      </w:r>
    </w:p>
    <w:p>
      <w:pPr>
        <w:widowControl w:val="0"/>
        <w:spacing w:before="0" w:beforeAutospacing="0" w:after="0" w:afterAutospacing="0" w:line="370" w:lineRule="exact"/>
        <w:ind w:firstLine="422" w:firstLineChars="200"/>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8 不可抗力</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任何一方因不可抗力不能履行合同时,应及时以书面形式向对方通报不能履行和不能完全履行的理由，在取得有关主管机关证明以后，允许延期履行、部分履行或者不履行合同，并根据情况可部分或全部免予承担违约责任。</w:t>
      </w:r>
    </w:p>
    <w:p>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9 其他事项</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9.1 本合同自双方签字盖章之日起生效，一式</w:t>
      </w:r>
      <w:r>
        <w:rPr>
          <w:rFonts w:hint="eastAsia" w:asciiTheme="minorEastAsia" w:hAnsiTheme="minorEastAsia" w:eastAsiaTheme="minorEastAsia" w:cstheme="minorEastAsia"/>
          <w:kern w:val="2"/>
          <w:sz w:val="21"/>
          <w:szCs w:val="21"/>
          <w:highlight w:val="none"/>
          <w:u w:val="single"/>
          <w:lang w:eastAsia="zh-CN"/>
        </w:rPr>
        <w:t>伍</w:t>
      </w:r>
      <w:r>
        <w:rPr>
          <w:rFonts w:hint="eastAsia" w:asciiTheme="minorEastAsia" w:hAnsiTheme="minorEastAsia" w:eastAsiaTheme="minorEastAsia" w:cstheme="minorEastAsia"/>
          <w:kern w:val="2"/>
          <w:sz w:val="21"/>
          <w:szCs w:val="21"/>
          <w:highlight w:val="none"/>
          <w:lang w:eastAsia="zh-CN"/>
        </w:rPr>
        <w:t>份，甲方执</w:t>
      </w:r>
      <w:r>
        <w:rPr>
          <w:rFonts w:hint="eastAsia" w:asciiTheme="minorEastAsia" w:hAnsiTheme="minorEastAsia" w:eastAsiaTheme="minorEastAsia" w:cstheme="minorEastAsia"/>
          <w:kern w:val="2"/>
          <w:sz w:val="21"/>
          <w:szCs w:val="21"/>
          <w:highlight w:val="none"/>
          <w:u w:val="single"/>
          <w:lang w:eastAsia="zh-CN"/>
        </w:rPr>
        <w:t>叁</w:t>
      </w:r>
      <w:r>
        <w:rPr>
          <w:rFonts w:hint="eastAsia" w:asciiTheme="minorEastAsia" w:hAnsiTheme="minorEastAsia" w:eastAsiaTheme="minorEastAsia" w:cstheme="minorEastAsia"/>
          <w:kern w:val="2"/>
          <w:sz w:val="21"/>
          <w:szCs w:val="21"/>
          <w:highlight w:val="none"/>
          <w:lang w:eastAsia="zh-CN"/>
        </w:rPr>
        <w:t>份，乙方执</w:t>
      </w:r>
      <w:r>
        <w:rPr>
          <w:rFonts w:hint="eastAsia" w:asciiTheme="minorEastAsia" w:hAnsiTheme="minorEastAsia" w:eastAsiaTheme="minorEastAsia" w:cstheme="minorEastAsia"/>
          <w:kern w:val="2"/>
          <w:sz w:val="21"/>
          <w:szCs w:val="21"/>
          <w:highlight w:val="none"/>
          <w:u w:val="single"/>
          <w:lang w:eastAsia="zh-CN"/>
        </w:rPr>
        <w:t>贰</w:t>
      </w:r>
      <w:r>
        <w:rPr>
          <w:rFonts w:hint="eastAsia" w:asciiTheme="minorEastAsia" w:hAnsiTheme="minorEastAsia" w:eastAsiaTheme="minorEastAsia" w:cstheme="minorEastAsia"/>
          <w:kern w:val="2"/>
          <w:sz w:val="21"/>
          <w:szCs w:val="21"/>
          <w:highlight w:val="none"/>
          <w:lang w:eastAsia="zh-CN"/>
        </w:rPr>
        <w:t>份。</w:t>
      </w:r>
      <w:r>
        <w:rPr>
          <w:rFonts w:hint="eastAsia" w:asciiTheme="minorEastAsia" w:hAnsiTheme="minorEastAsia" w:eastAsiaTheme="minorEastAsia" w:cstheme="minorEastAsia"/>
          <w:bCs/>
          <w:kern w:val="2"/>
          <w:sz w:val="21"/>
          <w:szCs w:val="21"/>
          <w:highlight w:val="none"/>
          <w:lang w:eastAsia="zh-CN"/>
        </w:rPr>
        <w:t>未尽事宜，双方可另行签订补充协议，补充协议是合同的组成部分。</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9.2 因合同引起的或与合同有关的任何争议，双方协商解决，解决不成的，向</w:t>
      </w:r>
      <w:r>
        <w:rPr>
          <w:rFonts w:hint="eastAsia" w:asciiTheme="minorEastAsia" w:hAnsiTheme="minorEastAsia" w:eastAsiaTheme="minorEastAsia" w:cstheme="minorEastAsia"/>
          <w:kern w:val="2"/>
          <w:sz w:val="21"/>
          <w:szCs w:val="21"/>
          <w:highlight w:val="none"/>
          <w:u w:val="single"/>
          <w:lang w:eastAsia="zh-CN"/>
        </w:rPr>
        <w:t>甲方所在地</w:t>
      </w:r>
      <w:r>
        <w:rPr>
          <w:rFonts w:hint="eastAsia" w:asciiTheme="minorEastAsia" w:hAnsiTheme="minorEastAsia" w:eastAsiaTheme="minorEastAsia" w:cstheme="minorEastAsia"/>
          <w:kern w:val="2"/>
          <w:sz w:val="21"/>
          <w:szCs w:val="21"/>
          <w:highlight w:val="none"/>
          <w:lang w:eastAsia="zh-CN"/>
        </w:rPr>
        <w:t>人民法院提起诉讼。</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9.3双方签订的附件包括</w:t>
      </w:r>
      <w:r>
        <w:rPr>
          <w:rFonts w:hint="eastAsia" w:asciiTheme="minorEastAsia" w:hAnsiTheme="minorEastAsia" w:eastAsiaTheme="minorEastAsia" w:cstheme="minorEastAsia"/>
          <w:kern w:val="2"/>
          <w:sz w:val="21"/>
          <w:szCs w:val="21"/>
          <w:highlight w:val="none"/>
          <w:u w:val="single"/>
          <w:lang w:eastAsia="zh-CN"/>
        </w:rPr>
        <w:t xml:space="preserve">（1）（2）（3）（4） </w:t>
      </w:r>
      <w:r>
        <w:rPr>
          <w:rFonts w:hint="eastAsia" w:asciiTheme="minorEastAsia" w:hAnsiTheme="minorEastAsia" w:eastAsiaTheme="minorEastAsia" w:cstheme="minorEastAsia"/>
          <w:kern w:val="2"/>
          <w:sz w:val="21"/>
          <w:szCs w:val="21"/>
          <w:highlight w:val="none"/>
          <w:lang w:eastAsia="zh-CN"/>
        </w:rPr>
        <w:t>：（1）《廉洁合规协议》；（2）《保密协议》；（3）《安全、职卫与环保节能责任协议》；（4）其他：</w:t>
      </w:r>
      <w:r>
        <w:rPr>
          <w:rFonts w:hint="eastAsia" w:asciiTheme="minorEastAsia" w:hAnsiTheme="minorEastAsia" w:eastAsiaTheme="minorEastAsia" w:cstheme="minorEastAsia"/>
          <w:kern w:val="2"/>
          <w:sz w:val="21"/>
          <w:szCs w:val="21"/>
          <w:highlight w:val="none"/>
          <w:u w:val="single"/>
          <w:lang w:eastAsia="zh-CN"/>
        </w:rPr>
        <w:t xml:space="preserve">    /    </w:t>
      </w:r>
      <w:r>
        <w:rPr>
          <w:rFonts w:hint="eastAsia" w:asciiTheme="minorEastAsia" w:hAnsiTheme="minorEastAsia" w:eastAsiaTheme="minorEastAsia" w:cstheme="minorEastAsia"/>
          <w:kern w:val="2"/>
          <w:sz w:val="21"/>
          <w:szCs w:val="21"/>
          <w:highlight w:val="none"/>
          <w:lang w:eastAsia="zh-CN"/>
        </w:rPr>
        <w:t>。</w:t>
      </w: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9.4 其他约定：</w:t>
      </w:r>
      <w:r>
        <w:rPr>
          <w:rFonts w:hint="eastAsia" w:asciiTheme="minorEastAsia" w:hAnsiTheme="minorEastAsia" w:eastAsiaTheme="minorEastAsia" w:cstheme="minorEastAsia"/>
          <w:kern w:val="2"/>
          <w:sz w:val="21"/>
          <w:szCs w:val="21"/>
          <w:highlight w:val="none"/>
          <w:u w:val="single"/>
          <w:lang w:eastAsia="zh-CN"/>
        </w:rPr>
        <w:t xml:space="preserve"> </w:t>
      </w:r>
      <w:bookmarkStart w:id="9" w:name="其他约定"/>
      <w:r>
        <w:rPr>
          <w:rFonts w:hint="eastAsia" w:asciiTheme="minorEastAsia" w:hAnsiTheme="minorEastAsia" w:eastAsiaTheme="minorEastAsia" w:cstheme="minorEastAsia"/>
          <w:kern w:val="2"/>
          <w:sz w:val="21"/>
          <w:szCs w:val="21"/>
          <w:highlight w:val="none"/>
          <w:u w:val="single"/>
          <w:lang w:eastAsia="zh-CN"/>
        </w:rPr>
        <w:t xml:space="preserve">    /          </w:t>
      </w:r>
      <w:bookmarkEnd w:id="9"/>
      <w:r>
        <w:rPr>
          <w:rFonts w:hint="eastAsia" w:asciiTheme="minorEastAsia" w:hAnsiTheme="minorEastAsia" w:eastAsiaTheme="minorEastAsia" w:cstheme="minorEastAsia"/>
          <w:kern w:val="2"/>
          <w:sz w:val="21"/>
          <w:szCs w:val="21"/>
          <w:highlight w:val="none"/>
          <w:u w:val="single"/>
          <w:lang w:eastAsia="zh-CN"/>
        </w:rPr>
        <w:t xml:space="preserve"> </w:t>
      </w:r>
      <w:r>
        <w:rPr>
          <w:rFonts w:hint="eastAsia" w:asciiTheme="minorEastAsia" w:hAnsiTheme="minorEastAsia" w:eastAsiaTheme="minorEastAsia" w:cstheme="minorEastAsia"/>
          <w:kern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firstLine="422" w:firstLineChars="200"/>
        <w:textAlignment w:val="auto"/>
        <w:rPr>
          <w:rFonts w:hint="eastAsia" w:asciiTheme="minorEastAsia" w:hAnsiTheme="minorEastAsia" w:eastAsiaTheme="minorEastAsia" w:cstheme="minorEastAsia"/>
          <w:b/>
          <w:bCs/>
          <w:kern w:val="2"/>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firstLine="422" w:firstLineChars="200"/>
        <w:textAlignment w:val="auto"/>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eastAsia="zh-CN"/>
        </w:rPr>
        <w:t>（以下为合同之签字盖章部分，无正文）</w:t>
      </w:r>
    </w:p>
    <w:p>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bCs/>
          <w:kern w:val="2"/>
          <w:sz w:val="21"/>
          <w:szCs w:val="21"/>
          <w:highlight w:val="none"/>
          <w:lang w:eastAsia="zh-CN"/>
        </w:rPr>
      </w:pPr>
    </w:p>
    <w:p>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p>
    <w:tbl>
      <w:tblPr>
        <w:tblStyle w:val="29"/>
        <w:tblpPr w:leftFromText="180" w:rightFromText="180" w:vertAnchor="text" w:horzAnchor="page" w:tblpXSpec="center" w:tblpY="-3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171" w:right="519" w:rightChars="247" w:hanging="537" w:hangingChars="256"/>
              <w:jc w:val="center"/>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   甲方（盖章）</w:t>
            </w:r>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171" w:right="519" w:rightChars="247" w:hanging="537" w:hangingChars="256"/>
              <w:jc w:val="center"/>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   乙方（盖章）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018" w:leftChars="-21" w:hanging="1062" w:hangingChars="5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单位名称:成都凯天电子股份有限公司</w:t>
            </w:r>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单位名称: </w:t>
            </w:r>
            <w:bookmarkStart w:id="10" w:name="乙方单位名称"/>
            <w:r>
              <w:rPr>
                <w:rFonts w:hint="eastAsia" w:asciiTheme="minorEastAsia" w:hAnsiTheme="minorEastAsia" w:eastAsiaTheme="minorEastAsia" w:cstheme="minorEastAsia"/>
                <w:kern w:val="2"/>
                <w:sz w:val="21"/>
                <w:szCs w:val="21"/>
                <w:highlight w:val="none"/>
                <w:lang w:eastAsia="zh-CN"/>
              </w:rPr>
              <w:t xml:space="preserve">    </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单位地址:</w:t>
            </w:r>
            <w:r>
              <w:rPr>
                <w:rFonts w:hint="eastAsia" w:asciiTheme="minorEastAsia" w:hAnsiTheme="minorEastAsia" w:eastAsiaTheme="minorEastAsia" w:cstheme="minorEastAsia"/>
                <w:bCs/>
                <w:kern w:val="2"/>
                <w:sz w:val="21"/>
                <w:szCs w:val="21"/>
                <w:highlight w:val="none"/>
                <w:lang w:eastAsia="zh-CN"/>
              </w:rPr>
              <w:t>成都市青羊区西货站路515号</w:t>
            </w:r>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单位地址：</w:t>
            </w:r>
            <w:bookmarkStart w:id="11" w:name="乙方单位地址"/>
            <w:r>
              <w:rPr>
                <w:rFonts w:hint="eastAsia" w:asciiTheme="minorEastAsia" w:hAnsiTheme="minorEastAsia" w:eastAsiaTheme="minorEastAsia" w:cstheme="minorEastAsia"/>
                <w:kern w:val="2"/>
                <w:sz w:val="21"/>
                <w:szCs w:val="21"/>
                <w:highlight w:val="none"/>
                <w:lang w:eastAsia="zh-CN"/>
              </w:rPr>
              <w:t xml:space="preserve">      </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授权委托人（签字）：</w:t>
            </w:r>
            <w:bookmarkStart w:id="12" w:name="甲方授权委托人"/>
            <w:r>
              <w:rPr>
                <w:rFonts w:hint="eastAsia" w:asciiTheme="minorEastAsia" w:hAnsiTheme="minorEastAsia" w:eastAsiaTheme="minorEastAsia" w:cstheme="minorEastAsia"/>
                <w:kern w:val="2"/>
                <w:sz w:val="21"/>
                <w:szCs w:val="21"/>
                <w:highlight w:val="none"/>
                <w:lang w:eastAsia="zh-CN"/>
              </w:rPr>
              <w:t xml:space="preserve">    </w:t>
            </w:r>
            <w:bookmarkEnd w:id="12"/>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授权委托人（签字）：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联系人： </w:t>
            </w:r>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联系人：</w:t>
            </w:r>
            <w:bookmarkStart w:id="13" w:name="乙方联系人"/>
            <w:r>
              <w:rPr>
                <w:rFonts w:hint="eastAsia" w:asciiTheme="minorEastAsia" w:hAnsiTheme="minorEastAsia" w:eastAsiaTheme="minorEastAsia" w:cstheme="minorEastAsia"/>
                <w:kern w:val="2"/>
                <w:sz w:val="21"/>
                <w:szCs w:val="21"/>
                <w:highlight w:val="none"/>
                <w:lang w:eastAsia="zh-CN"/>
              </w:rPr>
              <w:t xml:space="preserve">      </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联系电话：  </w:t>
            </w:r>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联系电话：</w:t>
            </w:r>
            <w:bookmarkStart w:id="14" w:name="乙方联系电话"/>
            <w:r>
              <w:rPr>
                <w:rFonts w:hint="eastAsia" w:asciiTheme="minorEastAsia" w:hAnsiTheme="minorEastAsia" w:eastAsiaTheme="minorEastAsia" w:cstheme="minorEastAsia"/>
                <w:kern w:val="2"/>
                <w:sz w:val="21"/>
                <w:szCs w:val="21"/>
                <w:highlight w:val="none"/>
                <w:lang w:eastAsia="zh-CN"/>
              </w:rPr>
              <w:t xml:space="preserve">            </w:t>
            </w:r>
            <w:bookmarkEnd w:id="14"/>
            <w:r>
              <w:rPr>
                <w:rFonts w:hint="eastAsia" w:asciiTheme="minorEastAsia" w:hAnsiTheme="minorEastAsia" w:eastAsiaTheme="minorEastAsia" w:cstheme="minorEastAsia"/>
                <w:kern w:val="2"/>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开户行: 工行黄田坝支行</w:t>
            </w:r>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开户行:</w:t>
            </w:r>
            <w:bookmarkStart w:id="15" w:name="乙方开户行"/>
            <w:r>
              <w:rPr>
                <w:rFonts w:hint="eastAsia" w:asciiTheme="minorEastAsia" w:hAnsiTheme="minorEastAsia" w:eastAsiaTheme="minorEastAsia" w:cstheme="minorEastAsia"/>
                <w:kern w:val="2"/>
                <w:sz w:val="21"/>
                <w:szCs w:val="21"/>
                <w:highlight w:val="none"/>
                <w:lang w:eastAsia="zh-CN"/>
              </w:rPr>
              <w:t xml:space="preserve">         </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账号: 4402219009003500249</w:t>
            </w:r>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tabs>
                <w:tab w:val="left" w:pos="4500"/>
              </w:tabs>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账号: </w:t>
            </w:r>
            <w:bookmarkStart w:id="16" w:name="乙方银行账号"/>
            <w:r>
              <w:rPr>
                <w:rFonts w:hint="eastAsia" w:asciiTheme="minorEastAsia" w:hAnsiTheme="minorEastAsia" w:eastAsiaTheme="minorEastAsia" w:cstheme="minorEastAsia"/>
                <w:kern w:val="2"/>
                <w:sz w:val="21"/>
                <w:szCs w:val="21"/>
                <w:highlight w:val="none"/>
                <w:lang w:eastAsia="zh-CN"/>
              </w:rPr>
              <w:t xml:space="preserve">      </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纳税人识别号：915101002019670822</w:t>
            </w:r>
          </w:p>
        </w:tc>
        <w:tc>
          <w:tcPr>
            <w:tcW w:w="4490" w:type="dxa"/>
            <w:tcBorders>
              <w:top w:val="single" w:color="auto" w:sz="4" w:space="0"/>
              <w:left w:val="single" w:color="auto" w:sz="4" w:space="0"/>
              <w:bottom w:val="single" w:color="auto" w:sz="4" w:space="0"/>
              <w:right w:val="single" w:color="auto" w:sz="4" w:space="0"/>
            </w:tcBorders>
            <w:vAlign w:val="center"/>
          </w:tcPr>
          <w:p>
            <w:pPr>
              <w:widowControl w:val="0"/>
              <w:tabs>
                <w:tab w:val="left" w:pos="4500"/>
              </w:tabs>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纳税人识别号：</w:t>
            </w:r>
            <w:bookmarkStart w:id="17" w:name="乙方纳税人识别号"/>
            <w:r>
              <w:rPr>
                <w:rFonts w:hint="eastAsia" w:asciiTheme="minorEastAsia" w:hAnsiTheme="minorEastAsia" w:eastAsiaTheme="minorEastAsia" w:cstheme="minorEastAsia"/>
                <w:kern w:val="2"/>
                <w:sz w:val="21"/>
                <w:szCs w:val="21"/>
                <w:highlight w:val="none"/>
                <w:lang w:eastAsia="zh-CN"/>
              </w:rPr>
              <w:t xml:space="preserve">      </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4500"/>
              </w:tabs>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签订时间：    年    月    日</w:t>
            </w:r>
          </w:p>
        </w:tc>
      </w:tr>
    </w:tbl>
    <w:p>
      <w:pPr>
        <w:spacing w:before="0" w:beforeAutospacing="0" w:after="0" w:afterAutospacing="0"/>
        <w:rPr>
          <w:rFonts w:hint="eastAsia" w:asciiTheme="minorEastAsia" w:hAnsiTheme="minorEastAsia" w:eastAsiaTheme="minorEastAsia" w:cstheme="minorEastAsia"/>
          <w:sz w:val="21"/>
          <w:szCs w:val="21"/>
          <w:highlight w:val="none"/>
          <w:lang w:eastAsia="zh-CN"/>
        </w:rPr>
      </w:pPr>
    </w:p>
    <w:p>
      <w:pPr>
        <w:snapToGrid w:val="0"/>
        <w:spacing w:line="370" w:lineRule="exact"/>
        <w:ind w:right="-57" w:rightChars="-27" w:firstLine="420" w:firstLineChars="200"/>
        <w:rPr>
          <w:rFonts w:asciiTheme="minorEastAsia" w:hAnsiTheme="minorEastAsia"/>
          <w:szCs w:val="21"/>
          <w:highlight w:val="none"/>
        </w:rPr>
      </w:pPr>
    </w:p>
    <w:p>
      <w:pPr>
        <w:spacing w:line="370" w:lineRule="exact"/>
        <w:rPr>
          <w:rFonts w:cs="仿宋" w:asciiTheme="minorEastAsia" w:hAnsiTheme="minorEastAsia"/>
          <w:szCs w:val="21"/>
          <w:highlight w:val="none"/>
        </w:rPr>
      </w:pPr>
    </w:p>
    <w:p>
      <w:pPr>
        <w:spacing w:line="370" w:lineRule="exact"/>
        <w:rPr>
          <w:rFonts w:cs="仿宋" w:asciiTheme="minorEastAsia" w:hAnsiTheme="minorEastAsia"/>
          <w:szCs w:val="21"/>
          <w:highlight w:val="none"/>
        </w:rPr>
      </w:pPr>
    </w:p>
    <w:p>
      <w:pPr>
        <w:snapToGrid w:val="0"/>
        <w:spacing w:line="440" w:lineRule="exact"/>
        <w:ind w:right="-57" w:rightChars="-27"/>
        <w:rPr>
          <w:rFonts w:asciiTheme="minorEastAsia" w:hAnsiTheme="minorEastAsia"/>
          <w:szCs w:val="21"/>
          <w:highlight w:val="none"/>
        </w:rPr>
      </w:pPr>
    </w:p>
    <w:p>
      <w:pPr>
        <w:snapToGrid w:val="0"/>
        <w:spacing w:line="440" w:lineRule="exact"/>
        <w:ind w:right="-57" w:rightChars="-27"/>
        <w:rPr>
          <w:rFonts w:cs="仿宋" w:asciiTheme="minorEastAsia" w:hAnsiTheme="minorEastAsia"/>
          <w:szCs w:val="21"/>
          <w:highlight w:val="none"/>
        </w:rPr>
      </w:pPr>
    </w:p>
    <w:p>
      <w:pPr>
        <w:widowControl/>
        <w:spacing w:after="156" w:afterLines="50" w:line="360" w:lineRule="exact"/>
        <w:outlineLvl w:val="0"/>
        <w:rPr>
          <w:rFonts w:asciiTheme="minorEastAsia" w:hAnsiTheme="minorEastAsia" w:eastAsiaTheme="minorEastAsia"/>
          <w:b/>
          <w:szCs w:val="21"/>
          <w:highlight w:val="none"/>
        </w:rPr>
      </w:pPr>
    </w:p>
    <w:p>
      <w:pPr>
        <w:pStyle w:val="49"/>
        <w:numPr>
          <w:ilvl w:val="0"/>
          <w:numId w:val="4"/>
        </w:numPr>
        <w:spacing w:before="312" w:beforeLines="100" w:after="156" w:afterLines="50" w:line="360" w:lineRule="exact"/>
        <w:ind w:left="1183" w:hanging="1183" w:hangingChars="421"/>
        <w:jc w:val="center"/>
        <w:outlineLvl w:val="0"/>
        <w:rPr>
          <w:rFonts w:cs="宋体" w:asciiTheme="minorEastAsia" w:hAnsiTheme="minorEastAsia" w:eastAsiaTheme="minorEastAsia"/>
          <w:szCs w:val="28"/>
          <w:highlight w:val="none"/>
        </w:rPr>
      </w:pPr>
      <w:r>
        <w:rPr>
          <w:rFonts w:hint="eastAsia" w:asciiTheme="minorEastAsia" w:hAnsiTheme="minorEastAsia" w:eastAsiaTheme="minorEastAsia"/>
          <w:b/>
          <w:szCs w:val="28"/>
          <w:highlight w:val="none"/>
        </w:rPr>
        <w:t>附件</w:t>
      </w:r>
    </w:p>
    <w:p>
      <w:pPr>
        <w:pStyle w:val="49"/>
        <w:spacing w:before="312" w:beforeLines="100" w:after="156" w:afterLines="50" w:line="360" w:lineRule="exact"/>
        <w:ind w:left="3283" w:firstLine="77" w:firstLineChars="0"/>
        <w:outlineLvl w:val="0"/>
        <w:rPr>
          <w:rFonts w:cs="宋体" w:asciiTheme="minorEastAsia" w:hAnsiTheme="minorEastAsia" w:eastAsiaTheme="minorEastAsia"/>
          <w:szCs w:val="28"/>
          <w:highlight w:val="none"/>
        </w:rPr>
      </w:pPr>
      <w:r>
        <w:rPr>
          <w:rFonts w:hint="eastAsia" w:asciiTheme="minorEastAsia" w:hAnsiTheme="minorEastAsia" w:eastAsiaTheme="minorEastAsia"/>
          <w:szCs w:val="28"/>
          <w:highlight w:val="none"/>
        </w:rPr>
        <w:t>比选文件格式</w:t>
      </w:r>
    </w:p>
    <w:p>
      <w:pPr>
        <w:pageBreakBefore/>
        <w:spacing w:line="380" w:lineRule="exact"/>
        <w:ind w:right="420"/>
        <w:jc w:val="left"/>
        <w:rPr>
          <w:rFonts w:asciiTheme="minorEastAsia" w:hAnsiTheme="minorEastAsia" w:eastAsiaTheme="minorEastAsia"/>
          <w:b/>
          <w:kern w:val="0"/>
          <w:sz w:val="28"/>
          <w:szCs w:val="28"/>
          <w:highlight w:val="none"/>
        </w:rPr>
      </w:pPr>
    </w:p>
    <w:p>
      <w:pPr>
        <w:rPr>
          <w:sz w:val="30"/>
          <w:szCs w:val="30"/>
          <w:highlight w:val="none"/>
        </w:rPr>
      </w:pPr>
      <w:r>
        <w:rPr>
          <w:rFonts w:hint="eastAsia"/>
          <w:sz w:val="30"/>
          <w:szCs w:val="30"/>
          <w:highlight w:val="none"/>
        </w:rPr>
        <w:t xml:space="preserve">密级：公开               </w:t>
      </w:r>
      <w:r>
        <w:rPr>
          <w:rFonts w:hint="eastAsia"/>
          <w:sz w:val="30"/>
          <w:szCs w:val="30"/>
          <w:highlight w:val="none"/>
        </w:rPr>
        <w:tab/>
      </w:r>
      <w:r>
        <w:rPr>
          <w:sz w:val="30"/>
          <w:szCs w:val="30"/>
          <w:highlight w:val="none"/>
        </w:rPr>
        <w:tab/>
      </w:r>
      <w:r>
        <w:rPr>
          <w:sz w:val="30"/>
          <w:szCs w:val="30"/>
          <w:highlight w:val="none"/>
        </w:rPr>
        <w:tab/>
      </w:r>
      <w:r>
        <w:rPr>
          <w:sz w:val="30"/>
          <w:szCs w:val="30"/>
          <w:highlight w:val="none"/>
        </w:rPr>
        <w:tab/>
      </w:r>
      <w:r>
        <w:rPr>
          <w:sz w:val="30"/>
          <w:szCs w:val="30"/>
          <w:highlight w:val="none"/>
        </w:rPr>
        <w:tab/>
      </w:r>
      <w:r>
        <w:rPr>
          <w:sz w:val="30"/>
          <w:szCs w:val="30"/>
          <w:highlight w:val="none"/>
        </w:rPr>
        <w:tab/>
      </w:r>
      <w:r>
        <w:rPr>
          <w:sz w:val="30"/>
          <w:szCs w:val="30"/>
          <w:highlight w:val="none"/>
        </w:rPr>
        <w:tab/>
      </w:r>
      <w:r>
        <w:rPr>
          <w:sz w:val="30"/>
          <w:szCs w:val="30"/>
          <w:highlight w:val="none"/>
        </w:rPr>
        <w:tab/>
      </w:r>
      <w:r>
        <w:rPr>
          <w:rFonts w:hint="eastAsia" w:asciiTheme="minorEastAsia" w:hAnsiTheme="minorEastAsia" w:eastAsiaTheme="minorEastAsia"/>
          <w:kern w:val="0"/>
          <w:sz w:val="30"/>
          <w:szCs w:val="30"/>
          <w:highlight w:val="none"/>
        </w:rPr>
        <w:t>正本/副本</w:t>
      </w:r>
    </w:p>
    <w:p>
      <w:pPr>
        <w:jc w:val="center"/>
        <w:rPr>
          <w:b/>
          <w:bCs/>
          <w:sz w:val="44"/>
          <w:szCs w:val="44"/>
          <w:highlight w:val="none"/>
        </w:rPr>
      </w:pPr>
    </w:p>
    <w:p>
      <w:pPr>
        <w:jc w:val="center"/>
        <w:rPr>
          <w:b/>
          <w:bCs/>
          <w:sz w:val="32"/>
          <w:szCs w:val="32"/>
          <w:highlight w:val="none"/>
        </w:rPr>
      </w:pPr>
    </w:p>
    <w:p>
      <w:pPr>
        <w:jc w:val="center"/>
        <w:rPr>
          <w:rFonts w:asciiTheme="majorEastAsia" w:hAnsiTheme="majorEastAsia" w:eastAsiaTheme="majorEastAsia"/>
          <w:b/>
          <w:bCs/>
          <w:sz w:val="32"/>
          <w:szCs w:val="32"/>
          <w:highlight w:val="none"/>
        </w:rPr>
      </w:pPr>
    </w:p>
    <w:p>
      <w:pPr>
        <w:jc w:val="center"/>
        <w:rPr>
          <w:rFonts w:asciiTheme="majorEastAsia" w:hAnsiTheme="majorEastAsia" w:eastAsiaTheme="majorEastAsia"/>
          <w:b/>
          <w:bCs/>
          <w:sz w:val="32"/>
          <w:szCs w:val="32"/>
          <w:highlight w:val="none"/>
        </w:rPr>
      </w:pPr>
    </w:p>
    <w:p>
      <w:pPr>
        <w:spacing w:line="480" w:lineRule="auto"/>
        <w:jc w:val="center"/>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eastAsia="zh-CN"/>
        </w:rPr>
        <w:t xml:space="preserve"> 验证试验室数据管理平台</w:t>
      </w:r>
    </w:p>
    <w:p>
      <w:pPr>
        <w:spacing w:line="480" w:lineRule="auto"/>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比选文件</w:t>
      </w:r>
    </w:p>
    <w:p>
      <w:pPr>
        <w:spacing w:line="480" w:lineRule="auto"/>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CAIC2026-JZC52260003-004</w:t>
      </w:r>
      <w:r>
        <w:rPr>
          <w:rFonts w:asciiTheme="minorEastAsia" w:hAnsiTheme="minorEastAsia" w:eastAsiaTheme="minorEastAsia"/>
          <w:sz w:val="32"/>
          <w:szCs w:val="32"/>
          <w:highlight w:val="none"/>
        </w:rPr>
        <w:t>）</w:t>
      </w:r>
    </w:p>
    <w:p>
      <w:pPr>
        <w:spacing w:line="480" w:lineRule="auto"/>
        <w:jc w:val="center"/>
        <w:rPr>
          <w:rFonts w:asciiTheme="minorEastAsia" w:hAnsiTheme="minorEastAsia" w:eastAsiaTheme="minorEastAsia"/>
          <w:b/>
          <w:sz w:val="44"/>
          <w:szCs w:val="44"/>
          <w:highlight w:val="none"/>
        </w:rPr>
      </w:pPr>
    </w:p>
    <w:p>
      <w:pPr>
        <w:spacing w:line="480" w:lineRule="auto"/>
        <w:jc w:val="center"/>
        <w:rPr>
          <w:rFonts w:asciiTheme="minorEastAsia" w:hAnsiTheme="minorEastAsia" w:eastAsiaTheme="minorEastAsia"/>
          <w:b/>
          <w:sz w:val="44"/>
          <w:szCs w:val="44"/>
          <w:highlight w:val="none"/>
        </w:rPr>
      </w:pPr>
    </w:p>
    <w:p>
      <w:pPr>
        <w:spacing w:line="480" w:lineRule="auto"/>
        <w:jc w:val="center"/>
        <w:rPr>
          <w:rFonts w:asciiTheme="minorEastAsia" w:hAnsiTheme="minorEastAsia" w:eastAsiaTheme="minorEastAsia"/>
          <w:b/>
          <w:sz w:val="44"/>
          <w:szCs w:val="44"/>
          <w:highlight w:val="none"/>
        </w:rPr>
      </w:pPr>
    </w:p>
    <w:p>
      <w:pPr>
        <w:spacing w:line="480" w:lineRule="auto"/>
        <w:jc w:val="center"/>
        <w:rPr>
          <w:rFonts w:asciiTheme="minorEastAsia" w:hAnsiTheme="minorEastAsia" w:eastAsiaTheme="minorEastAsia"/>
          <w:b/>
          <w:sz w:val="44"/>
          <w:szCs w:val="44"/>
          <w:highlight w:val="none"/>
        </w:rPr>
      </w:pPr>
    </w:p>
    <w:p>
      <w:pPr>
        <w:spacing w:line="480" w:lineRule="auto"/>
        <w:jc w:val="center"/>
        <w:rPr>
          <w:rFonts w:asciiTheme="minorEastAsia" w:hAnsiTheme="minorEastAsia" w:eastAsiaTheme="minorEastAsia"/>
          <w:b/>
          <w:sz w:val="44"/>
          <w:szCs w:val="44"/>
          <w:highlight w:val="none"/>
        </w:rPr>
      </w:pPr>
    </w:p>
    <w:p>
      <w:pPr>
        <w:spacing w:line="480" w:lineRule="auto"/>
        <w:jc w:val="center"/>
        <w:rPr>
          <w:rFonts w:asciiTheme="minorEastAsia" w:hAnsiTheme="minorEastAsia" w:eastAsiaTheme="minorEastAsia"/>
          <w:b/>
          <w:sz w:val="44"/>
          <w:szCs w:val="44"/>
          <w:highlight w:val="none"/>
        </w:rPr>
      </w:pPr>
    </w:p>
    <w:p>
      <w:pPr>
        <w:spacing w:line="480" w:lineRule="auto"/>
        <w:jc w:val="center"/>
        <w:rPr>
          <w:rFonts w:asciiTheme="minorEastAsia" w:hAnsiTheme="minorEastAsia" w:eastAsiaTheme="minorEastAsia"/>
          <w:b/>
          <w:sz w:val="44"/>
          <w:szCs w:val="44"/>
          <w:highlight w:val="none"/>
        </w:rPr>
      </w:pPr>
    </w:p>
    <w:p>
      <w:pPr>
        <w:spacing w:line="480" w:lineRule="auto"/>
        <w:jc w:val="center"/>
        <w:rPr>
          <w:rFonts w:asciiTheme="minorEastAsia" w:hAnsiTheme="minorEastAsia" w:eastAsiaTheme="minorEastAsia"/>
          <w:b/>
          <w:sz w:val="44"/>
          <w:szCs w:val="44"/>
          <w:highlight w:val="none"/>
        </w:rPr>
      </w:pPr>
    </w:p>
    <w:p>
      <w:pPr>
        <w:spacing w:line="480" w:lineRule="auto"/>
        <w:jc w:val="center"/>
        <w:rPr>
          <w:rFonts w:asciiTheme="minorEastAsia" w:hAnsiTheme="minorEastAsia" w:eastAsiaTheme="minorEastAsia"/>
          <w:b/>
          <w:sz w:val="44"/>
          <w:szCs w:val="44"/>
          <w:highlight w:val="none"/>
        </w:rPr>
      </w:pPr>
    </w:p>
    <w:p>
      <w:pPr>
        <w:rPr>
          <w:b/>
          <w:bCs/>
          <w:sz w:val="30"/>
          <w:szCs w:val="30"/>
          <w:highlight w:val="none"/>
        </w:rPr>
      </w:pPr>
    </w:p>
    <w:p>
      <w:pPr>
        <w:ind w:firstLine="1350" w:firstLineChars="450"/>
        <w:rPr>
          <w:bCs/>
          <w:sz w:val="30"/>
          <w:szCs w:val="30"/>
          <w:highlight w:val="none"/>
          <w:u w:val="single"/>
        </w:rPr>
      </w:pPr>
      <w:r>
        <w:rPr>
          <w:rFonts w:hint="eastAsia"/>
          <w:bCs/>
          <w:sz w:val="30"/>
          <w:szCs w:val="30"/>
          <w:highlight w:val="none"/>
        </w:rPr>
        <w:t>比选人</w:t>
      </w:r>
      <w:r>
        <w:rPr>
          <w:bCs/>
          <w:sz w:val="30"/>
          <w:szCs w:val="30"/>
          <w:highlight w:val="none"/>
        </w:rPr>
        <w:t>：</w:t>
      </w:r>
      <w:r>
        <w:rPr>
          <w:rFonts w:hint="eastAsia" w:asciiTheme="minorEastAsia" w:hAnsiTheme="minorEastAsia" w:eastAsiaTheme="minorEastAsia"/>
          <w:bCs/>
          <w:sz w:val="30"/>
          <w:szCs w:val="30"/>
          <w:highlight w:val="none"/>
          <w:u w:val="single"/>
        </w:rPr>
        <w:t xml:space="preserve">     </w:t>
      </w:r>
      <w:r>
        <w:rPr>
          <w:rFonts w:hint="eastAsia"/>
          <w:bCs/>
          <w:i/>
          <w:sz w:val="30"/>
          <w:szCs w:val="30"/>
          <w:highlight w:val="none"/>
          <w:u w:val="single"/>
        </w:rPr>
        <w:t xml:space="preserve">（单位名称）  </w:t>
      </w:r>
      <w:r>
        <w:rPr>
          <w:bCs/>
          <w:i/>
          <w:sz w:val="30"/>
          <w:szCs w:val="30"/>
          <w:highlight w:val="none"/>
        </w:rPr>
        <w:t>（盖单位章）</w:t>
      </w:r>
    </w:p>
    <w:p>
      <w:pPr>
        <w:spacing w:line="380" w:lineRule="exact"/>
        <w:jc w:val="left"/>
        <w:rPr>
          <w:sz w:val="30"/>
          <w:szCs w:val="30"/>
          <w:highlight w:val="none"/>
        </w:rPr>
      </w:pPr>
    </w:p>
    <w:p>
      <w:pPr>
        <w:spacing w:line="380" w:lineRule="exact"/>
        <w:jc w:val="center"/>
        <w:rPr>
          <w:rFonts w:asciiTheme="minorEastAsia" w:hAnsiTheme="minorEastAsia" w:eastAsiaTheme="minorEastAsia"/>
          <w:sz w:val="30"/>
          <w:szCs w:val="30"/>
          <w:highlight w:val="none"/>
        </w:rPr>
      </w:pPr>
      <w:r>
        <w:rPr>
          <w:bCs/>
          <w:sz w:val="30"/>
          <w:szCs w:val="30"/>
          <w:highlight w:val="none"/>
        </w:rPr>
        <w:t>年</w:t>
      </w:r>
      <w:r>
        <w:rPr>
          <w:rFonts w:hint="eastAsia"/>
          <w:bCs/>
          <w:sz w:val="30"/>
          <w:szCs w:val="30"/>
          <w:highlight w:val="none"/>
        </w:rPr>
        <w:t xml:space="preserve">  </w:t>
      </w:r>
      <w:r>
        <w:rPr>
          <w:bCs/>
          <w:sz w:val="30"/>
          <w:szCs w:val="30"/>
          <w:highlight w:val="none"/>
        </w:rPr>
        <w:t>月</w:t>
      </w:r>
      <w:r>
        <w:rPr>
          <w:rFonts w:hint="eastAsia"/>
          <w:bCs/>
          <w:sz w:val="30"/>
          <w:szCs w:val="30"/>
          <w:highlight w:val="none"/>
        </w:rPr>
        <w:t xml:space="preserve">  </w:t>
      </w:r>
      <w:r>
        <w:rPr>
          <w:bCs/>
          <w:sz w:val="30"/>
          <w:szCs w:val="30"/>
          <w:highlight w:val="none"/>
        </w:rPr>
        <w:t>日</w:t>
      </w:r>
    </w:p>
    <w:p>
      <w:pPr>
        <w:spacing w:line="380" w:lineRule="exact"/>
        <w:jc w:val="center"/>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before="312" w:beforeLines="100" w:after="312" w:afterLines="100" w:line="380" w:lineRule="exact"/>
        <w:jc w:val="center"/>
        <w:rPr>
          <w:rFonts w:asciiTheme="minorEastAsia" w:hAnsiTheme="minorEastAsia" w:eastAsiaTheme="minorEastAsia"/>
          <w:b/>
          <w:sz w:val="32"/>
          <w:szCs w:val="32"/>
          <w:highlight w:val="none"/>
        </w:rPr>
      </w:pPr>
    </w:p>
    <w:p>
      <w:pPr>
        <w:spacing w:before="312" w:beforeLines="100" w:after="312" w:afterLines="100" w:line="380" w:lineRule="exact"/>
        <w:jc w:val="center"/>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目  录</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比选函</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比选开标一览表</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分项报价表</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营业执照</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授权委托书</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制造商授权书</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技术条款响应表/偏离表</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商务条款响应表/偏离表</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比选设备技术性能指标的详细描述及技术支持资料</w:t>
      </w:r>
    </w:p>
    <w:p>
      <w:pPr>
        <w:pStyle w:val="49"/>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技术服务和质保期服务计划</w:t>
      </w:r>
    </w:p>
    <w:p>
      <w:pPr>
        <w:pStyle w:val="49"/>
        <w:numPr>
          <w:ilvl w:val="0"/>
          <w:numId w:val="8"/>
        </w:numPr>
        <w:spacing w:line="240" w:lineRule="auto"/>
        <w:ind w:firstLineChars="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其他资料</w:t>
      </w:r>
    </w:p>
    <w:p>
      <w:pPr>
        <w:pStyle w:val="49"/>
        <w:numPr>
          <w:ilvl w:val="0"/>
          <w:numId w:val="8"/>
        </w:numPr>
        <w:spacing w:line="240" w:lineRule="auto"/>
        <w:ind w:firstLineChars="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廉洁承诺书</w:t>
      </w:r>
    </w:p>
    <w:p>
      <w:pPr>
        <w:pStyle w:val="49"/>
        <w:numPr>
          <w:ilvl w:val="0"/>
          <w:numId w:val="8"/>
        </w:numPr>
        <w:spacing w:line="240" w:lineRule="auto"/>
        <w:ind w:firstLineChars="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单位负责人、股东及高管的亲属和其他特定关系人</w:t>
      </w:r>
    </w:p>
    <w:p>
      <w:pPr>
        <w:pStyle w:val="49"/>
        <w:spacing w:line="240" w:lineRule="auto"/>
        <w:ind w:left="420" w:leftChars="200" w:firstLine="450" w:firstLineChars="15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在凯天公司或凯天所属单位任职情况申报表</w:t>
      </w: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spacing w:line="380" w:lineRule="exact"/>
        <w:rPr>
          <w:rFonts w:asciiTheme="minorEastAsia" w:hAnsiTheme="minorEastAsia" w:eastAsiaTheme="minorEastAsia"/>
          <w:b/>
          <w:sz w:val="28"/>
          <w:szCs w:val="28"/>
          <w:highlight w:val="none"/>
        </w:rPr>
      </w:pPr>
    </w:p>
    <w:p>
      <w:pPr>
        <w:pStyle w:val="49"/>
        <w:numPr>
          <w:ilvl w:val="0"/>
          <w:numId w:val="9"/>
        </w:numPr>
        <w:spacing w:line="380" w:lineRule="exact"/>
        <w:ind w:firstLineChars="0"/>
        <w:jc w:val="center"/>
        <w:rPr>
          <w:rFonts w:asciiTheme="minorEastAsia" w:hAnsiTheme="minorEastAsia" w:eastAsiaTheme="minorEastAsia"/>
          <w:szCs w:val="28"/>
          <w:highlight w:val="none"/>
        </w:rPr>
      </w:pPr>
      <w:r>
        <w:rPr>
          <w:rFonts w:hint="eastAsia" w:asciiTheme="minorEastAsia" w:hAnsiTheme="minorEastAsia" w:eastAsiaTheme="minorEastAsia"/>
          <w:b/>
          <w:szCs w:val="28"/>
          <w:highlight w:val="none"/>
        </w:rPr>
        <w:t>比选函</w:t>
      </w:r>
    </w:p>
    <w:p>
      <w:pPr>
        <w:spacing w:before="312" w:beforeLines="100" w:line="38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致：成都凯天电子股份有限公司</w:t>
      </w:r>
    </w:p>
    <w:p>
      <w:pPr>
        <w:spacing w:line="400" w:lineRule="exact"/>
        <w:ind w:firstLine="482"/>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根据贵方为</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项目比选采购货物及服务的比选邀请</w:t>
      </w:r>
      <w:r>
        <w:rPr>
          <w:rFonts w:hint="eastAsia" w:asciiTheme="minorEastAsia" w:hAnsiTheme="minorEastAsia" w:eastAsiaTheme="minorEastAsia"/>
          <w:szCs w:val="21"/>
          <w:highlight w:val="none"/>
          <w:u w:val="single"/>
        </w:rPr>
        <w:t>　　　　（比选编号）</w:t>
      </w:r>
      <w:r>
        <w:rPr>
          <w:rFonts w:hint="eastAsia" w:asciiTheme="minorEastAsia" w:hAnsiTheme="minorEastAsia" w:eastAsiaTheme="minorEastAsia"/>
          <w:szCs w:val="21"/>
          <w:highlight w:val="none"/>
        </w:rPr>
        <w:t>，签字代表</w:t>
      </w:r>
      <w:r>
        <w:rPr>
          <w:rFonts w:hint="eastAsia" w:asciiTheme="minorEastAsia" w:hAnsiTheme="minorEastAsia" w:eastAsiaTheme="minorEastAsia"/>
          <w:szCs w:val="21"/>
          <w:highlight w:val="none"/>
          <w:u w:val="single"/>
        </w:rPr>
        <w:t>　　　　（印刷体，全名、职务）　</w:t>
      </w:r>
      <w:r>
        <w:rPr>
          <w:rFonts w:hint="eastAsia" w:asciiTheme="minorEastAsia" w:hAnsiTheme="minorEastAsia" w:eastAsiaTheme="minorEastAsia"/>
          <w:szCs w:val="21"/>
          <w:highlight w:val="none"/>
        </w:rPr>
        <w:t>经正式授权并代表比选申请方</w:t>
      </w:r>
      <w:r>
        <w:rPr>
          <w:rFonts w:hint="eastAsia" w:asciiTheme="minorEastAsia" w:hAnsiTheme="minorEastAsia" w:eastAsiaTheme="minorEastAsia"/>
          <w:szCs w:val="21"/>
          <w:highlight w:val="none"/>
          <w:u w:val="single"/>
        </w:rPr>
        <w:t>　　（名称、地址）</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货物进行比选申请。为此，我们提交：</w:t>
      </w:r>
    </w:p>
    <w:p>
      <w:pPr>
        <w:spacing w:line="400" w:lineRule="exact"/>
        <w:ind w:firstLine="482"/>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按比选邀请文件中比选申请人须知及比选文件格式编制的比选文件</w:t>
      </w:r>
      <w:r>
        <w:rPr>
          <w:rFonts w:hint="eastAsia" w:asciiTheme="minorEastAsia" w:hAnsiTheme="minorEastAsia" w:eastAsiaTheme="minorEastAsia"/>
          <w:b/>
          <w:szCs w:val="21"/>
          <w:highlight w:val="none"/>
        </w:rPr>
        <w:t>正本一份和副本</w:t>
      </w:r>
      <w:r>
        <w:rPr>
          <w:rFonts w:hint="eastAsia" w:asciiTheme="minorEastAsia" w:hAnsiTheme="minorEastAsia" w:eastAsiaTheme="minorEastAsia"/>
          <w:b/>
          <w:szCs w:val="21"/>
          <w:highlight w:val="none"/>
          <w:lang w:eastAsia="zh-CN"/>
        </w:rPr>
        <w:t>叁</w:t>
      </w:r>
      <w:r>
        <w:rPr>
          <w:rFonts w:hint="eastAsia" w:asciiTheme="minorEastAsia" w:hAnsiTheme="minorEastAsia" w:eastAsiaTheme="minorEastAsia"/>
          <w:b/>
          <w:szCs w:val="21"/>
          <w:highlight w:val="none"/>
        </w:rPr>
        <w:t>份</w:t>
      </w:r>
      <w:r>
        <w:rPr>
          <w:rFonts w:hint="eastAsia" w:asciiTheme="minorEastAsia" w:hAnsiTheme="minorEastAsia" w:eastAsiaTheme="minorEastAsia"/>
          <w:szCs w:val="21"/>
          <w:highlight w:val="none"/>
        </w:rPr>
        <w:t>。</w:t>
      </w:r>
    </w:p>
    <w:p>
      <w:pPr>
        <w:spacing w:line="400" w:lineRule="exact"/>
        <w:ind w:firstLine="48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据此函，签字代表宣布同意如下：</w:t>
      </w:r>
    </w:p>
    <w:p>
      <w:pPr>
        <w:pStyle w:val="49"/>
        <w:numPr>
          <w:ilvl w:val="0"/>
          <w:numId w:val="10"/>
        </w:numPr>
        <w:spacing w:line="400" w:lineRule="exact"/>
        <w:ind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我方将按比选邀请文件的规定履行合同责任和义务。</w:t>
      </w:r>
    </w:p>
    <w:p>
      <w:pPr>
        <w:pStyle w:val="49"/>
        <w:numPr>
          <w:ilvl w:val="0"/>
          <w:numId w:val="10"/>
        </w:numPr>
        <w:spacing w:line="400" w:lineRule="exact"/>
        <w:ind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我方已详细审查全部比选邀请文件，包括修改文件（如果有的话）以及全部参考资料。我们完全理解并同意放弃对这方面有不明及误解的权力。</w:t>
      </w:r>
    </w:p>
    <w:p>
      <w:pPr>
        <w:pStyle w:val="49"/>
        <w:numPr>
          <w:ilvl w:val="0"/>
          <w:numId w:val="10"/>
        </w:numPr>
        <w:spacing w:line="400" w:lineRule="exact"/>
        <w:ind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比选投标有效期为比选投标截止之后</w:t>
      </w:r>
      <w:r>
        <w:rPr>
          <w:rFonts w:hint="eastAsia" w:asciiTheme="minorEastAsia" w:hAnsiTheme="minorEastAsia" w:eastAsiaTheme="minorEastAsia"/>
          <w:sz w:val="21"/>
          <w:szCs w:val="21"/>
          <w:highlight w:val="none"/>
          <w:u w:val="single"/>
        </w:rPr>
        <w:t>90</w:t>
      </w:r>
      <w:r>
        <w:rPr>
          <w:rFonts w:hint="eastAsia" w:asciiTheme="minorEastAsia" w:hAnsiTheme="minorEastAsia" w:eastAsiaTheme="minorEastAsia"/>
          <w:sz w:val="21"/>
          <w:szCs w:val="21"/>
          <w:highlight w:val="none"/>
        </w:rPr>
        <w:t>个日历日。</w:t>
      </w:r>
    </w:p>
    <w:p>
      <w:pPr>
        <w:spacing w:line="380" w:lineRule="exact"/>
        <w:ind w:left="465"/>
        <w:rPr>
          <w:rFonts w:asciiTheme="minorEastAsia" w:hAnsiTheme="minorEastAsia" w:eastAsiaTheme="minorEastAsia"/>
          <w:szCs w:val="21"/>
          <w:highlight w:val="none"/>
        </w:rPr>
      </w:pP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与本比选申请（投标）有关的一切正式往来通讯请寄：</w:t>
      </w:r>
    </w:p>
    <w:p>
      <w:pPr>
        <w:spacing w:line="400" w:lineRule="exact"/>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地址：</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　　邮编：</w:t>
      </w:r>
      <w:r>
        <w:rPr>
          <w:rFonts w:hint="eastAsia" w:asciiTheme="minorEastAsia" w:hAnsiTheme="minorEastAsia" w:eastAsiaTheme="minorEastAsia"/>
          <w:szCs w:val="21"/>
          <w:highlight w:val="none"/>
          <w:u w:val="single"/>
        </w:rPr>
        <w:t>　　　　　　</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电话：</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　　传真：</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电子邮箱：</w:t>
      </w:r>
      <w:r>
        <w:rPr>
          <w:rFonts w:hint="eastAsia" w:asciiTheme="minorEastAsia" w:hAnsiTheme="minorEastAsia" w:eastAsiaTheme="minorEastAsia"/>
          <w:szCs w:val="21"/>
          <w:highlight w:val="none"/>
          <w:u w:val="single"/>
        </w:rPr>
        <w:t>　　　　　　　　　</w:t>
      </w:r>
    </w:p>
    <w:p>
      <w:pPr>
        <w:spacing w:line="400" w:lineRule="exact"/>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比选申请方代表姓名、职务（印刷体）</w:t>
      </w:r>
      <w:r>
        <w:rPr>
          <w:rFonts w:hint="eastAsia" w:asciiTheme="minorEastAsia" w:hAnsiTheme="minorEastAsia" w:eastAsiaTheme="minorEastAsia"/>
          <w:szCs w:val="21"/>
          <w:highlight w:val="none"/>
          <w:u w:val="single"/>
        </w:rPr>
        <w:t>：　　　　　　　　</w:t>
      </w:r>
    </w:p>
    <w:p>
      <w:pPr>
        <w:spacing w:line="400" w:lineRule="exact"/>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比选申请方名称：</w:t>
      </w:r>
      <w:r>
        <w:rPr>
          <w:rFonts w:hint="eastAsia" w:asciiTheme="minorEastAsia" w:hAnsiTheme="minorEastAsia" w:eastAsiaTheme="minorEastAsia"/>
          <w:szCs w:val="21"/>
          <w:highlight w:val="none"/>
          <w:u w:val="single"/>
        </w:rPr>
        <w:t>　　　　　　　　　　　　　　</w:t>
      </w:r>
    </w:p>
    <w:p>
      <w:pPr>
        <w:spacing w:before="156" w:beforeLines="50" w:after="156" w:afterLines="50" w:line="400" w:lineRule="exact"/>
        <w:ind w:firstLine="316" w:firstLineChars="15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（公章）</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日</w:t>
      </w:r>
    </w:p>
    <w:p>
      <w:pPr>
        <w:spacing w:line="38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w:t>
      </w:r>
    </w:p>
    <w:p>
      <w:pPr>
        <w:spacing w:line="380" w:lineRule="exact"/>
        <w:ind w:firstLine="465"/>
        <w:jc w:val="left"/>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授权代表（被授权人）签字：</w:t>
      </w:r>
      <w:r>
        <w:rPr>
          <w:rFonts w:hint="eastAsia" w:asciiTheme="minorEastAsia" w:hAnsiTheme="minorEastAsia" w:eastAsiaTheme="minorEastAsia"/>
          <w:szCs w:val="21"/>
          <w:highlight w:val="none"/>
          <w:u w:val="single"/>
        </w:rPr>
        <w:t>　　　　　　　　</w:t>
      </w: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spacing w:line="380" w:lineRule="exact"/>
        <w:jc w:val="left"/>
        <w:rPr>
          <w:rFonts w:asciiTheme="minorEastAsia" w:hAnsiTheme="minorEastAsia" w:eastAsiaTheme="minorEastAsia"/>
          <w:sz w:val="24"/>
          <w:szCs w:val="24"/>
          <w:highlight w:val="none"/>
          <w:u w:val="single"/>
        </w:rPr>
      </w:pPr>
    </w:p>
    <w:p>
      <w:pPr>
        <w:pStyle w:val="49"/>
        <w:numPr>
          <w:ilvl w:val="0"/>
          <w:numId w:val="9"/>
        </w:numPr>
        <w:spacing w:after="156" w:afterLines="50" w:line="380" w:lineRule="exact"/>
        <w:ind w:left="562" w:hanging="562" w:hangingChars="20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比选开标一览表　　　（单独密封）</w:t>
      </w:r>
    </w:p>
    <w:p>
      <w:pPr>
        <w:spacing w:before="312" w:beforeLines="100" w:after="312" w:afterLines="100"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比选申请人名称:_________________             制造商名称：____________________</w:t>
      </w:r>
    </w:p>
    <w:p>
      <w:pPr>
        <w:spacing w:before="156" w:beforeLines="50" w:after="156" w:afterLines="50"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比选编号：___________________</w:t>
      </w:r>
    </w:p>
    <w:tbl>
      <w:tblPr>
        <w:tblStyle w:val="29"/>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2778"/>
        <w:gridCol w:w="737"/>
        <w:gridCol w:w="73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5" w:hRule="atLeast"/>
          <w:jc w:val="center"/>
        </w:trPr>
        <w:tc>
          <w:tcPr>
            <w:tcW w:w="2778" w:type="dxa"/>
            <w:vMerge w:val="restart"/>
            <w:vAlign w:val="center"/>
          </w:tcPr>
          <w:p>
            <w:pPr>
              <w:spacing w:line="380" w:lineRule="exact"/>
              <w:ind w:firstLine="210"/>
              <w:jc w:val="center"/>
              <w:rPr>
                <w:rFonts w:asciiTheme="minorEastAsia" w:hAnsiTheme="minorEastAsia" w:eastAsiaTheme="minorEastAsia"/>
                <w:b/>
                <w:highlight w:val="none"/>
              </w:rPr>
            </w:pPr>
            <w:r>
              <w:rPr>
                <w:rFonts w:hint="eastAsia" w:asciiTheme="minorEastAsia" w:hAnsiTheme="minorEastAsia" w:eastAsiaTheme="minorEastAsia"/>
                <w:b/>
                <w:highlight w:val="none"/>
              </w:rPr>
              <w:t>货物名称</w:t>
            </w:r>
          </w:p>
        </w:tc>
        <w:tc>
          <w:tcPr>
            <w:tcW w:w="2778" w:type="dxa"/>
            <w:vMerge w:val="restart"/>
            <w:vAlign w:val="center"/>
          </w:tcPr>
          <w:p>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型号规格</w:t>
            </w:r>
          </w:p>
        </w:tc>
        <w:tc>
          <w:tcPr>
            <w:tcW w:w="737" w:type="dxa"/>
            <w:vMerge w:val="restart"/>
            <w:vAlign w:val="center"/>
          </w:tcPr>
          <w:p>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数量</w:t>
            </w:r>
          </w:p>
        </w:tc>
        <w:tc>
          <w:tcPr>
            <w:tcW w:w="737" w:type="dxa"/>
            <w:vMerge w:val="restart"/>
            <w:vAlign w:val="center"/>
          </w:tcPr>
          <w:p>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税率</w:t>
            </w:r>
          </w:p>
        </w:tc>
        <w:tc>
          <w:tcPr>
            <w:tcW w:w="1925" w:type="dxa"/>
            <w:vAlign w:val="center"/>
          </w:tcPr>
          <w:p>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778" w:type="dxa"/>
            <w:vMerge w:val="continue"/>
            <w:vAlign w:val="center"/>
          </w:tcPr>
          <w:p>
            <w:pPr>
              <w:spacing w:line="380" w:lineRule="exact"/>
              <w:ind w:firstLine="210"/>
              <w:jc w:val="center"/>
              <w:rPr>
                <w:rFonts w:asciiTheme="minorEastAsia" w:hAnsiTheme="minorEastAsia" w:eastAsiaTheme="minorEastAsia"/>
                <w:highlight w:val="none"/>
              </w:rPr>
            </w:pPr>
          </w:p>
        </w:tc>
        <w:tc>
          <w:tcPr>
            <w:tcW w:w="2778" w:type="dxa"/>
            <w:vMerge w:val="continue"/>
            <w:vAlign w:val="center"/>
          </w:tcPr>
          <w:p>
            <w:pPr>
              <w:spacing w:line="380" w:lineRule="exact"/>
              <w:jc w:val="center"/>
              <w:rPr>
                <w:rFonts w:asciiTheme="minorEastAsia" w:hAnsiTheme="minorEastAsia" w:eastAsiaTheme="minorEastAsia"/>
                <w:highlight w:val="none"/>
              </w:rPr>
            </w:pPr>
          </w:p>
        </w:tc>
        <w:tc>
          <w:tcPr>
            <w:tcW w:w="737" w:type="dxa"/>
            <w:vMerge w:val="continue"/>
            <w:vAlign w:val="center"/>
          </w:tcPr>
          <w:p>
            <w:pPr>
              <w:spacing w:line="380" w:lineRule="exact"/>
              <w:jc w:val="center"/>
              <w:rPr>
                <w:rFonts w:asciiTheme="minorEastAsia" w:hAnsiTheme="minorEastAsia" w:eastAsiaTheme="minorEastAsia"/>
                <w:highlight w:val="none"/>
              </w:rPr>
            </w:pPr>
          </w:p>
        </w:tc>
        <w:tc>
          <w:tcPr>
            <w:tcW w:w="737" w:type="dxa"/>
            <w:vMerge w:val="continue"/>
            <w:vAlign w:val="center"/>
          </w:tcPr>
          <w:p>
            <w:pPr>
              <w:spacing w:line="380" w:lineRule="exact"/>
              <w:jc w:val="center"/>
              <w:rPr>
                <w:rFonts w:asciiTheme="minorEastAsia" w:hAnsiTheme="minorEastAsia" w:eastAsiaTheme="minorEastAsia"/>
                <w:highlight w:val="none"/>
              </w:rPr>
            </w:pPr>
          </w:p>
        </w:tc>
        <w:tc>
          <w:tcPr>
            <w:tcW w:w="1925" w:type="dxa"/>
            <w:vAlign w:val="center"/>
          </w:tcPr>
          <w:p>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买方现场价(含一切税费）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778" w:type="dxa"/>
          </w:tcPr>
          <w:p>
            <w:pPr>
              <w:jc w:val="center"/>
              <w:rPr>
                <w:rFonts w:asciiTheme="minorEastAsia" w:hAnsiTheme="minorEastAsia" w:eastAsiaTheme="minorEastAsia"/>
                <w:b/>
                <w:highlight w:val="none"/>
              </w:rPr>
            </w:pPr>
          </w:p>
        </w:tc>
        <w:tc>
          <w:tcPr>
            <w:tcW w:w="2778" w:type="dxa"/>
          </w:tcPr>
          <w:p>
            <w:pPr>
              <w:spacing w:line="380" w:lineRule="exact"/>
              <w:jc w:val="center"/>
              <w:rPr>
                <w:rFonts w:asciiTheme="minorEastAsia" w:hAnsiTheme="minorEastAsia" w:eastAsiaTheme="minorEastAsia"/>
                <w:highlight w:val="none"/>
              </w:rPr>
            </w:pPr>
          </w:p>
        </w:tc>
        <w:tc>
          <w:tcPr>
            <w:tcW w:w="737" w:type="dxa"/>
          </w:tcPr>
          <w:p>
            <w:pPr>
              <w:spacing w:line="380" w:lineRule="exact"/>
              <w:jc w:val="center"/>
              <w:rPr>
                <w:rFonts w:asciiTheme="minorEastAsia" w:hAnsiTheme="minorEastAsia" w:eastAsiaTheme="minorEastAsia"/>
                <w:highlight w:val="none"/>
              </w:rPr>
            </w:pPr>
          </w:p>
        </w:tc>
        <w:tc>
          <w:tcPr>
            <w:tcW w:w="737" w:type="dxa"/>
          </w:tcPr>
          <w:p>
            <w:pPr>
              <w:spacing w:line="380" w:lineRule="exact"/>
              <w:jc w:val="center"/>
              <w:rPr>
                <w:rFonts w:asciiTheme="minorEastAsia" w:hAnsiTheme="minorEastAsia" w:eastAsiaTheme="minorEastAsia"/>
                <w:highlight w:val="none"/>
              </w:rPr>
            </w:pPr>
          </w:p>
        </w:tc>
        <w:tc>
          <w:tcPr>
            <w:tcW w:w="1925" w:type="dxa"/>
          </w:tcPr>
          <w:p>
            <w:pPr>
              <w:spacing w:line="380" w:lineRule="exact"/>
              <w:jc w:val="center"/>
              <w:rPr>
                <w:rFonts w:asciiTheme="minorEastAsia" w:hAnsiTheme="minorEastAsia" w:eastAsiaTheme="minorEastAsia"/>
                <w:highlight w:val="none"/>
              </w:rPr>
            </w:pPr>
          </w:p>
        </w:tc>
      </w:tr>
    </w:tbl>
    <w:p>
      <w:pPr>
        <w:spacing w:before="156" w:beforeLines="50" w:after="156" w:afterLines="50"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pacing w:before="312" w:beforeLines="100" w:after="312" w:afterLines="100"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比选申请人代表签字:</w:t>
      </w:r>
    </w:p>
    <w:p>
      <w:pPr>
        <w:spacing w:before="312" w:beforeLines="100" w:after="312" w:afterLines="100"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单位盖章：</w:t>
      </w:r>
    </w:p>
    <w:p>
      <w:pPr>
        <w:spacing w:before="312" w:beforeLines="100" w:after="312" w:afterLines="100" w:line="360" w:lineRule="exact"/>
        <w:rPr>
          <w:rFonts w:asciiTheme="minorEastAsia" w:hAnsiTheme="minorEastAsia" w:eastAsiaTheme="minorEastAsia"/>
          <w:b/>
          <w:highlight w:val="none"/>
        </w:rPr>
      </w:pPr>
      <w:r>
        <w:rPr>
          <w:rFonts w:hint="eastAsia" w:asciiTheme="minorEastAsia" w:hAnsiTheme="minorEastAsia" w:eastAsiaTheme="minorEastAsia"/>
          <w:b/>
          <w:highlight w:val="none"/>
        </w:rPr>
        <w:t>备注：</w:t>
      </w:r>
    </w:p>
    <w:p>
      <w:pPr>
        <w:spacing w:line="360" w:lineRule="exact"/>
        <w:rPr>
          <w:rFonts w:asciiTheme="minorEastAsia" w:hAnsiTheme="minorEastAsia" w:eastAsiaTheme="minorEastAsia"/>
          <w:b/>
          <w:highlight w:val="none"/>
        </w:rPr>
      </w:pPr>
    </w:p>
    <w:p>
      <w:pPr>
        <w:spacing w:line="360" w:lineRule="exact"/>
        <w:rPr>
          <w:rFonts w:asciiTheme="minorEastAsia" w:hAnsiTheme="minorEastAsia" w:eastAsiaTheme="minorEastAsia"/>
          <w:b/>
          <w:highlight w:val="none"/>
        </w:rPr>
      </w:pPr>
    </w:p>
    <w:p>
      <w:pPr>
        <w:spacing w:line="360" w:lineRule="exact"/>
        <w:rPr>
          <w:rFonts w:asciiTheme="minorEastAsia" w:hAnsiTheme="minorEastAsia" w:eastAsiaTheme="minorEastAsia"/>
          <w:b/>
          <w:highlight w:val="none"/>
        </w:rPr>
      </w:pPr>
    </w:p>
    <w:p>
      <w:pPr>
        <w:pStyle w:val="49"/>
        <w:numPr>
          <w:ilvl w:val="0"/>
          <w:numId w:val="9"/>
        </w:numPr>
        <w:spacing w:after="156" w:afterLines="50" w:line="380" w:lineRule="exact"/>
        <w:ind w:left="562" w:hanging="562" w:hangingChars="20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分项报价表　　　（单独密封）</w:t>
      </w:r>
    </w:p>
    <w:p>
      <w:pPr>
        <w:spacing w:before="312" w:beforeLines="100" w:after="156" w:afterLines="50"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比选申请人名称:_________________       比选编号：___________________</w:t>
      </w:r>
    </w:p>
    <w:tbl>
      <w:tblPr>
        <w:tblStyle w:val="29"/>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81"/>
        <w:gridCol w:w="1134"/>
        <w:gridCol w:w="850"/>
        <w:gridCol w:w="1134"/>
        <w:gridCol w:w="1276"/>
        <w:gridCol w:w="92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8835" w:type="dxa"/>
            <w:gridSpan w:val="8"/>
          </w:tcPr>
          <w:p>
            <w:pPr>
              <w:spacing w:line="380" w:lineRule="exact"/>
              <w:rPr>
                <w:rFonts w:asciiTheme="minorEastAsia" w:hAnsiTheme="minorEastAsia" w:eastAsiaTheme="minorEastAsia"/>
                <w:highlight w:val="none"/>
              </w:rPr>
            </w:pPr>
            <w:r>
              <w:rPr>
                <w:rFonts w:hint="eastAsia" w:asciiTheme="minorEastAsia" w:hAnsiTheme="minorEastAsia" w:eastAsiaTheme="minorEastAsia"/>
                <w:highlight w:val="none"/>
              </w:rPr>
              <w:t>设备明细报价：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rPr>
                <w:rFonts w:asciiTheme="minorEastAsia" w:hAnsiTheme="minorEastAsia" w:eastAsiaTheme="minorEastAsia"/>
                <w:highlight w:val="none"/>
              </w:rPr>
            </w:pPr>
            <w:r>
              <w:rPr>
                <w:rFonts w:hint="eastAsia" w:asciiTheme="minorEastAsia" w:hAnsiTheme="minorEastAsia" w:eastAsiaTheme="minorEastAsia"/>
                <w:highlight w:val="none"/>
              </w:rPr>
              <w:t>序号</w:t>
            </w:r>
          </w:p>
        </w:tc>
        <w:tc>
          <w:tcPr>
            <w:tcW w:w="1781" w:type="dxa"/>
          </w:tcPr>
          <w:p>
            <w:pPr>
              <w:spacing w:line="380" w:lineRule="exact"/>
              <w:ind w:firstLine="210"/>
              <w:jc w:val="center"/>
              <w:rPr>
                <w:rFonts w:asciiTheme="minorEastAsia" w:hAnsiTheme="minorEastAsia" w:eastAsiaTheme="minorEastAsia"/>
                <w:highlight w:val="none"/>
              </w:rPr>
            </w:pPr>
            <w:r>
              <w:rPr>
                <w:rFonts w:hint="eastAsia" w:asciiTheme="minorEastAsia" w:hAnsiTheme="minorEastAsia" w:eastAsiaTheme="minorEastAsia"/>
                <w:highlight w:val="none"/>
              </w:rPr>
              <w:t>名　称</w:t>
            </w:r>
          </w:p>
        </w:tc>
        <w:tc>
          <w:tcPr>
            <w:tcW w:w="1134" w:type="dxa"/>
          </w:tcPr>
          <w:p>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型号规格</w:t>
            </w:r>
          </w:p>
        </w:tc>
        <w:tc>
          <w:tcPr>
            <w:tcW w:w="850" w:type="dxa"/>
          </w:tcPr>
          <w:p>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数量</w:t>
            </w:r>
          </w:p>
        </w:tc>
        <w:tc>
          <w:tcPr>
            <w:tcW w:w="1134" w:type="dxa"/>
          </w:tcPr>
          <w:p>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单价（元）</w:t>
            </w:r>
          </w:p>
        </w:tc>
        <w:tc>
          <w:tcPr>
            <w:tcW w:w="1276" w:type="dxa"/>
          </w:tcPr>
          <w:p>
            <w:pPr>
              <w:spacing w:line="380" w:lineRule="exact"/>
              <w:ind w:firstLine="210"/>
              <w:jc w:val="center"/>
              <w:rPr>
                <w:rFonts w:asciiTheme="minorEastAsia" w:hAnsiTheme="minorEastAsia" w:eastAsiaTheme="minorEastAsia"/>
                <w:highlight w:val="none"/>
              </w:rPr>
            </w:pPr>
            <w:r>
              <w:rPr>
                <w:rFonts w:hint="eastAsia" w:asciiTheme="minorEastAsia" w:hAnsiTheme="minorEastAsia" w:eastAsiaTheme="minorEastAsia"/>
                <w:highlight w:val="none"/>
              </w:rPr>
              <w:t>总价（元）</w:t>
            </w:r>
          </w:p>
        </w:tc>
        <w:tc>
          <w:tcPr>
            <w:tcW w:w="921" w:type="dxa"/>
          </w:tcPr>
          <w:p>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原产地</w:t>
            </w:r>
          </w:p>
        </w:tc>
        <w:tc>
          <w:tcPr>
            <w:tcW w:w="922" w:type="dxa"/>
          </w:tcPr>
          <w:p>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1781"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850"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left="71" w:hanging="71" w:hangingChars="34"/>
              <w:rPr>
                <w:rFonts w:asciiTheme="minorEastAsia" w:hAnsiTheme="minorEastAsia" w:eastAsiaTheme="minorEastAsia"/>
                <w:highlight w:val="none"/>
              </w:rPr>
            </w:pPr>
          </w:p>
        </w:tc>
        <w:tc>
          <w:tcPr>
            <w:tcW w:w="1276" w:type="dxa"/>
          </w:tcPr>
          <w:p>
            <w:pPr>
              <w:spacing w:line="380" w:lineRule="exact"/>
              <w:ind w:firstLine="210"/>
              <w:rPr>
                <w:rFonts w:asciiTheme="minorEastAsia" w:hAnsiTheme="minorEastAsia" w:eastAsiaTheme="minorEastAsia"/>
                <w:highlight w:val="none"/>
              </w:rPr>
            </w:pPr>
          </w:p>
        </w:tc>
        <w:tc>
          <w:tcPr>
            <w:tcW w:w="921" w:type="dxa"/>
          </w:tcPr>
          <w:p>
            <w:pPr>
              <w:spacing w:line="380" w:lineRule="exact"/>
              <w:ind w:firstLine="210"/>
              <w:rPr>
                <w:rFonts w:asciiTheme="minorEastAsia" w:hAnsiTheme="minorEastAsia" w:eastAsiaTheme="minorEastAsia"/>
                <w:highlight w:val="none"/>
              </w:rPr>
            </w:pPr>
          </w:p>
        </w:tc>
        <w:tc>
          <w:tcPr>
            <w:tcW w:w="922" w:type="dxa"/>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2</w:t>
            </w:r>
          </w:p>
        </w:tc>
        <w:tc>
          <w:tcPr>
            <w:tcW w:w="1781"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850"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left="71" w:hanging="71" w:hangingChars="34"/>
              <w:rPr>
                <w:rFonts w:asciiTheme="minorEastAsia" w:hAnsiTheme="minorEastAsia" w:eastAsiaTheme="minorEastAsia"/>
                <w:highlight w:val="none"/>
              </w:rPr>
            </w:pPr>
          </w:p>
        </w:tc>
        <w:tc>
          <w:tcPr>
            <w:tcW w:w="1276" w:type="dxa"/>
          </w:tcPr>
          <w:p>
            <w:pPr>
              <w:spacing w:line="380" w:lineRule="exact"/>
              <w:ind w:firstLine="210"/>
              <w:rPr>
                <w:rFonts w:asciiTheme="minorEastAsia" w:hAnsiTheme="minorEastAsia" w:eastAsiaTheme="minorEastAsia"/>
                <w:highlight w:val="none"/>
              </w:rPr>
            </w:pPr>
          </w:p>
        </w:tc>
        <w:tc>
          <w:tcPr>
            <w:tcW w:w="921" w:type="dxa"/>
          </w:tcPr>
          <w:p>
            <w:pPr>
              <w:spacing w:line="380" w:lineRule="exact"/>
              <w:ind w:firstLine="210"/>
              <w:rPr>
                <w:rFonts w:asciiTheme="minorEastAsia" w:hAnsiTheme="minorEastAsia" w:eastAsiaTheme="minorEastAsia"/>
                <w:highlight w:val="none"/>
              </w:rPr>
            </w:pPr>
          </w:p>
        </w:tc>
        <w:tc>
          <w:tcPr>
            <w:tcW w:w="922" w:type="dxa"/>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3</w:t>
            </w:r>
          </w:p>
        </w:tc>
        <w:tc>
          <w:tcPr>
            <w:tcW w:w="1781"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850"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left="71" w:hanging="71" w:hangingChars="34"/>
              <w:rPr>
                <w:rFonts w:asciiTheme="minorEastAsia" w:hAnsiTheme="minorEastAsia" w:eastAsiaTheme="minorEastAsia"/>
                <w:highlight w:val="none"/>
              </w:rPr>
            </w:pPr>
          </w:p>
        </w:tc>
        <w:tc>
          <w:tcPr>
            <w:tcW w:w="1276" w:type="dxa"/>
          </w:tcPr>
          <w:p>
            <w:pPr>
              <w:spacing w:line="380" w:lineRule="exact"/>
              <w:ind w:firstLine="210"/>
              <w:rPr>
                <w:rFonts w:asciiTheme="minorEastAsia" w:hAnsiTheme="minorEastAsia" w:eastAsiaTheme="minorEastAsia"/>
                <w:highlight w:val="none"/>
              </w:rPr>
            </w:pPr>
          </w:p>
        </w:tc>
        <w:tc>
          <w:tcPr>
            <w:tcW w:w="921" w:type="dxa"/>
          </w:tcPr>
          <w:p>
            <w:pPr>
              <w:spacing w:line="380" w:lineRule="exact"/>
              <w:ind w:firstLine="210"/>
              <w:rPr>
                <w:rFonts w:asciiTheme="minorEastAsia" w:hAnsiTheme="minorEastAsia" w:eastAsiaTheme="minorEastAsia"/>
                <w:highlight w:val="none"/>
              </w:rPr>
            </w:pPr>
          </w:p>
        </w:tc>
        <w:tc>
          <w:tcPr>
            <w:tcW w:w="922" w:type="dxa"/>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781"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850"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left="71" w:hanging="71" w:hangingChars="34"/>
              <w:rPr>
                <w:rFonts w:asciiTheme="minorEastAsia" w:hAnsiTheme="minorEastAsia" w:eastAsiaTheme="minorEastAsia"/>
                <w:highlight w:val="none"/>
              </w:rPr>
            </w:pPr>
          </w:p>
        </w:tc>
        <w:tc>
          <w:tcPr>
            <w:tcW w:w="1276" w:type="dxa"/>
          </w:tcPr>
          <w:p>
            <w:pPr>
              <w:spacing w:line="380" w:lineRule="exact"/>
              <w:ind w:firstLine="210"/>
              <w:rPr>
                <w:rFonts w:asciiTheme="minorEastAsia" w:hAnsiTheme="minorEastAsia" w:eastAsiaTheme="minorEastAsia"/>
                <w:highlight w:val="none"/>
              </w:rPr>
            </w:pPr>
          </w:p>
        </w:tc>
        <w:tc>
          <w:tcPr>
            <w:tcW w:w="921" w:type="dxa"/>
          </w:tcPr>
          <w:p>
            <w:pPr>
              <w:spacing w:line="380" w:lineRule="exact"/>
              <w:ind w:firstLine="210"/>
              <w:rPr>
                <w:rFonts w:asciiTheme="minorEastAsia" w:hAnsiTheme="minorEastAsia" w:eastAsiaTheme="minorEastAsia"/>
                <w:highlight w:val="none"/>
              </w:rPr>
            </w:pPr>
          </w:p>
        </w:tc>
        <w:tc>
          <w:tcPr>
            <w:tcW w:w="922" w:type="dxa"/>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6" w:type="dxa"/>
            <w:gridSpan w:val="5"/>
          </w:tcPr>
          <w:p>
            <w:pPr>
              <w:spacing w:line="380" w:lineRule="exact"/>
              <w:ind w:firstLine="210"/>
              <w:jc w:val="right"/>
              <w:rPr>
                <w:rFonts w:asciiTheme="minorEastAsia" w:hAnsiTheme="minorEastAsia" w:eastAsiaTheme="minorEastAsia"/>
                <w:highlight w:val="none"/>
              </w:rPr>
            </w:pPr>
            <w:r>
              <w:rPr>
                <w:rFonts w:hint="eastAsia" w:asciiTheme="minorEastAsia" w:hAnsiTheme="minorEastAsia" w:eastAsiaTheme="minorEastAsia"/>
                <w:highlight w:val="none"/>
              </w:rPr>
              <w:t>小计</w:t>
            </w:r>
          </w:p>
        </w:tc>
        <w:tc>
          <w:tcPr>
            <w:tcW w:w="3119" w:type="dxa"/>
            <w:gridSpan w:val="3"/>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5" w:type="dxa"/>
            <w:gridSpan w:val="8"/>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其他报价：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1781" w:type="dxa"/>
          </w:tcPr>
          <w:p>
            <w:pPr>
              <w:spacing w:line="380" w:lineRule="exact"/>
              <w:jc w:val="left"/>
              <w:rPr>
                <w:rFonts w:asciiTheme="minorEastAsia" w:hAnsiTheme="minorEastAsia" w:eastAsiaTheme="minorEastAsia"/>
                <w:highlight w:val="none"/>
              </w:rPr>
            </w:pPr>
            <w:r>
              <w:rPr>
                <w:rFonts w:hint="eastAsia" w:asciiTheme="minorEastAsia" w:hAnsiTheme="minorEastAsia" w:eastAsiaTheme="minorEastAsia"/>
                <w:highlight w:val="none"/>
              </w:rPr>
              <w:t>包装费</w:t>
            </w:r>
          </w:p>
        </w:tc>
        <w:tc>
          <w:tcPr>
            <w:tcW w:w="1134" w:type="dxa"/>
          </w:tcPr>
          <w:p>
            <w:pPr>
              <w:spacing w:line="380" w:lineRule="exact"/>
              <w:ind w:firstLine="210"/>
              <w:rPr>
                <w:rFonts w:asciiTheme="minorEastAsia" w:hAnsiTheme="minorEastAsia" w:eastAsiaTheme="minorEastAsia"/>
                <w:highlight w:val="none"/>
              </w:rPr>
            </w:pPr>
          </w:p>
        </w:tc>
        <w:tc>
          <w:tcPr>
            <w:tcW w:w="850"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1276" w:type="dxa"/>
          </w:tcPr>
          <w:p>
            <w:pPr>
              <w:spacing w:line="380" w:lineRule="exact"/>
              <w:ind w:firstLine="210"/>
              <w:rPr>
                <w:rFonts w:asciiTheme="minorEastAsia" w:hAnsiTheme="minorEastAsia" w:eastAsiaTheme="minorEastAsia"/>
                <w:highlight w:val="none"/>
              </w:rPr>
            </w:pPr>
          </w:p>
        </w:tc>
        <w:tc>
          <w:tcPr>
            <w:tcW w:w="921" w:type="dxa"/>
          </w:tcPr>
          <w:p>
            <w:pPr>
              <w:spacing w:line="380" w:lineRule="exact"/>
              <w:ind w:firstLine="210"/>
              <w:rPr>
                <w:rFonts w:asciiTheme="minorEastAsia" w:hAnsiTheme="minorEastAsia" w:eastAsiaTheme="minorEastAsia"/>
                <w:highlight w:val="none"/>
              </w:rPr>
            </w:pPr>
          </w:p>
        </w:tc>
        <w:tc>
          <w:tcPr>
            <w:tcW w:w="922" w:type="dxa"/>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2</w:t>
            </w:r>
          </w:p>
        </w:tc>
        <w:tc>
          <w:tcPr>
            <w:tcW w:w="1781" w:type="dxa"/>
          </w:tcPr>
          <w:p>
            <w:pPr>
              <w:spacing w:line="380" w:lineRule="exact"/>
              <w:jc w:val="left"/>
              <w:rPr>
                <w:rFonts w:asciiTheme="minorEastAsia" w:hAnsiTheme="minorEastAsia" w:eastAsiaTheme="minorEastAsia"/>
                <w:highlight w:val="none"/>
              </w:rPr>
            </w:pPr>
            <w:r>
              <w:rPr>
                <w:rFonts w:hint="eastAsia" w:asciiTheme="minorEastAsia" w:hAnsiTheme="minorEastAsia" w:eastAsiaTheme="minorEastAsia"/>
                <w:highlight w:val="none"/>
              </w:rPr>
              <w:t>运输费、保险费</w:t>
            </w:r>
          </w:p>
        </w:tc>
        <w:tc>
          <w:tcPr>
            <w:tcW w:w="1134" w:type="dxa"/>
          </w:tcPr>
          <w:p>
            <w:pPr>
              <w:spacing w:line="380" w:lineRule="exact"/>
              <w:ind w:firstLine="210"/>
              <w:rPr>
                <w:rFonts w:asciiTheme="minorEastAsia" w:hAnsiTheme="minorEastAsia" w:eastAsiaTheme="minorEastAsia"/>
                <w:highlight w:val="none"/>
              </w:rPr>
            </w:pPr>
          </w:p>
        </w:tc>
        <w:tc>
          <w:tcPr>
            <w:tcW w:w="850"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1276" w:type="dxa"/>
          </w:tcPr>
          <w:p>
            <w:pPr>
              <w:spacing w:line="380" w:lineRule="exact"/>
              <w:ind w:firstLine="210"/>
              <w:rPr>
                <w:rFonts w:asciiTheme="minorEastAsia" w:hAnsiTheme="minorEastAsia" w:eastAsiaTheme="minorEastAsia"/>
                <w:highlight w:val="none"/>
              </w:rPr>
            </w:pPr>
          </w:p>
        </w:tc>
        <w:tc>
          <w:tcPr>
            <w:tcW w:w="921" w:type="dxa"/>
          </w:tcPr>
          <w:p>
            <w:pPr>
              <w:spacing w:line="380" w:lineRule="exact"/>
              <w:ind w:firstLine="210"/>
              <w:rPr>
                <w:rFonts w:asciiTheme="minorEastAsia" w:hAnsiTheme="minorEastAsia" w:eastAsiaTheme="minorEastAsia"/>
                <w:highlight w:val="none"/>
              </w:rPr>
            </w:pPr>
          </w:p>
        </w:tc>
        <w:tc>
          <w:tcPr>
            <w:tcW w:w="922" w:type="dxa"/>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3</w:t>
            </w:r>
          </w:p>
        </w:tc>
        <w:tc>
          <w:tcPr>
            <w:tcW w:w="1781" w:type="dxa"/>
          </w:tcPr>
          <w:p>
            <w:pPr>
              <w:spacing w:line="380" w:lineRule="exact"/>
              <w:jc w:val="left"/>
              <w:rPr>
                <w:rFonts w:asciiTheme="minorEastAsia" w:hAnsiTheme="minorEastAsia" w:eastAsiaTheme="minorEastAsia"/>
                <w:highlight w:val="none"/>
              </w:rPr>
            </w:pPr>
            <w:r>
              <w:rPr>
                <w:rFonts w:hint="eastAsia" w:asciiTheme="minorEastAsia" w:hAnsiTheme="minorEastAsia" w:eastAsiaTheme="minorEastAsia"/>
                <w:highlight w:val="none"/>
              </w:rPr>
              <w:t>安装、调试、检验</w:t>
            </w:r>
          </w:p>
        </w:tc>
        <w:tc>
          <w:tcPr>
            <w:tcW w:w="1134" w:type="dxa"/>
          </w:tcPr>
          <w:p>
            <w:pPr>
              <w:spacing w:line="380" w:lineRule="exact"/>
              <w:ind w:firstLine="210"/>
              <w:rPr>
                <w:rFonts w:asciiTheme="minorEastAsia" w:hAnsiTheme="minorEastAsia" w:eastAsiaTheme="minorEastAsia"/>
                <w:highlight w:val="none"/>
              </w:rPr>
            </w:pPr>
          </w:p>
        </w:tc>
        <w:tc>
          <w:tcPr>
            <w:tcW w:w="850"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1276" w:type="dxa"/>
          </w:tcPr>
          <w:p>
            <w:pPr>
              <w:spacing w:line="380" w:lineRule="exact"/>
              <w:ind w:firstLine="210"/>
              <w:rPr>
                <w:rFonts w:asciiTheme="minorEastAsia" w:hAnsiTheme="minorEastAsia" w:eastAsiaTheme="minorEastAsia"/>
                <w:highlight w:val="none"/>
              </w:rPr>
            </w:pPr>
          </w:p>
        </w:tc>
        <w:tc>
          <w:tcPr>
            <w:tcW w:w="921" w:type="dxa"/>
          </w:tcPr>
          <w:p>
            <w:pPr>
              <w:spacing w:line="380" w:lineRule="exact"/>
              <w:ind w:firstLine="210"/>
              <w:rPr>
                <w:rFonts w:asciiTheme="minorEastAsia" w:hAnsiTheme="minorEastAsia" w:eastAsiaTheme="minorEastAsia"/>
                <w:highlight w:val="none"/>
              </w:rPr>
            </w:pPr>
          </w:p>
        </w:tc>
        <w:tc>
          <w:tcPr>
            <w:tcW w:w="922" w:type="dxa"/>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781" w:type="dxa"/>
          </w:tcPr>
          <w:p>
            <w:pPr>
              <w:spacing w:line="380" w:lineRule="exact"/>
              <w:jc w:val="left"/>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850" w:type="dxa"/>
          </w:tcPr>
          <w:p>
            <w:pPr>
              <w:spacing w:line="380" w:lineRule="exact"/>
              <w:ind w:firstLine="210"/>
              <w:rPr>
                <w:rFonts w:asciiTheme="minorEastAsia" w:hAnsiTheme="minorEastAsia" w:eastAsiaTheme="minorEastAsia"/>
                <w:highlight w:val="none"/>
              </w:rPr>
            </w:pPr>
          </w:p>
        </w:tc>
        <w:tc>
          <w:tcPr>
            <w:tcW w:w="1134" w:type="dxa"/>
          </w:tcPr>
          <w:p>
            <w:pPr>
              <w:spacing w:line="380" w:lineRule="exact"/>
              <w:ind w:firstLine="210"/>
              <w:rPr>
                <w:rFonts w:asciiTheme="minorEastAsia" w:hAnsiTheme="minorEastAsia" w:eastAsiaTheme="minorEastAsia"/>
                <w:highlight w:val="none"/>
              </w:rPr>
            </w:pPr>
          </w:p>
        </w:tc>
        <w:tc>
          <w:tcPr>
            <w:tcW w:w="1276" w:type="dxa"/>
          </w:tcPr>
          <w:p>
            <w:pPr>
              <w:spacing w:line="380" w:lineRule="exact"/>
              <w:ind w:firstLine="210"/>
              <w:rPr>
                <w:rFonts w:asciiTheme="minorEastAsia" w:hAnsiTheme="minorEastAsia" w:eastAsiaTheme="minorEastAsia"/>
                <w:highlight w:val="none"/>
              </w:rPr>
            </w:pPr>
          </w:p>
        </w:tc>
        <w:tc>
          <w:tcPr>
            <w:tcW w:w="921" w:type="dxa"/>
          </w:tcPr>
          <w:p>
            <w:pPr>
              <w:spacing w:line="380" w:lineRule="exact"/>
              <w:ind w:firstLine="210"/>
              <w:rPr>
                <w:rFonts w:asciiTheme="minorEastAsia" w:hAnsiTheme="minorEastAsia" w:eastAsiaTheme="minorEastAsia"/>
                <w:highlight w:val="none"/>
              </w:rPr>
            </w:pPr>
          </w:p>
        </w:tc>
        <w:tc>
          <w:tcPr>
            <w:tcW w:w="922" w:type="dxa"/>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6" w:type="dxa"/>
            <w:gridSpan w:val="5"/>
          </w:tcPr>
          <w:p>
            <w:pPr>
              <w:spacing w:line="380" w:lineRule="exact"/>
              <w:ind w:firstLine="210"/>
              <w:jc w:val="right"/>
              <w:rPr>
                <w:rFonts w:asciiTheme="minorEastAsia" w:hAnsiTheme="minorEastAsia" w:eastAsiaTheme="minorEastAsia"/>
                <w:highlight w:val="none"/>
              </w:rPr>
            </w:pPr>
            <w:r>
              <w:rPr>
                <w:rFonts w:hint="eastAsia" w:asciiTheme="minorEastAsia" w:hAnsiTheme="minorEastAsia" w:eastAsiaTheme="minorEastAsia"/>
                <w:highlight w:val="none"/>
              </w:rPr>
              <w:t>小计</w:t>
            </w:r>
          </w:p>
        </w:tc>
        <w:tc>
          <w:tcPr>
            <w:tcW w:w="3119" w:type="dxa"/>
            <w:gridSpan w:val="3"/>
          </w:tcPr>
          <w:p>
            <w:pPr>
              <w:spacing w:line="380" w:lineRule="exact"/>
              <w:ind w:firstLine="210"/>
              <w:rPr>
                <w:rFonts w:asciiTheme="minorEastAsia" w:hAnsiTheme="minorEastAsia" w:eastAsiaTheme="min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6" w:type="dxa"/>
            <w:gridSpan w:val="5"/>
          </w:tcPr>
          <w:p>
            <w:pPr>
              <w:spacing w:line="380" w:lineRule="exact"/>
              <w:ind w:firstLine="210"/>
              <w:jc w:val="right"/>
              <w:rPr>
                <w:rFonts w:asciiTheme="minorEastAsia" w:hAnsiTheme="minorEastAsia" w:eastAsiaTheme="minorEastAsia"/>
                <w:highlight w:val="none"/>
              </w:rPr>
            </w:pPr>
            <w:r>
              <w:rPr>
                <w:rFonts w:hint="eastAsia" w:asciiTheme="minorEastAsia" w:hAnsiTheme="minorEastAsia" w:eastAsiaTheme="minorEastAsia"/>
                <w:highlight w:val="none"/>
              </w:rPr>
              <w:t>投标总价</w:t>
            </w:r>
          </w:p>
        </w:tc>
        <w:tc>
          <w:tcPr>
            <w:tcW w:w="3119" w:type="dxa"/>
            <w:gridSpan w:val="3"/>
          </w:tcPr>
          <w:p>
            <w:pPr>
              <w:spacing w:line="380" w:lineRule="exact"/>
              <w:ind w:firstLine="210"/>
              <w:rPr>
                <w:rFonts w:asciiTheme="minorEastAsia" w:hAnsiTheme="minorEastAsia" w:eastAsiaTheme="minorEastAsia"/>
                <w:highlight w:val="none"/>
              </w:rPr>
            </w:pPr>
          </w:p>
        </w:tc>
      </w:tr>
    </w:tbl>
    <w:p>
      <w:pPr>
        <w:spacing w:before="312" w:beforeLines="100" w:after="156" w:afterLines="50" w:line="360" w:lineRule="exact"/>
        <w:rPr>
          <w:rFonts w:asciiTheme="minorEastAsia" w:hAnsiTheme="minorEastAsia" w:eastAsiaTheme="minorEastAsia"/>
          <w:highlight w:val="none"/>
        </w:rPr>
      </w:pPr>
    </w:p>
    <w:p>
      <w:pPr>
        <w:spacing w:line="360" w:lineRule="exact"/>
        <w:ind w:firstLine="211" w:firstLineChars="100"/>
        <w:rPr>
          <w:rFonts w:asciiTheme="minorEastAsia" w:hAnsiTheme="minorEastAsia" w:eastAsiaTheme="minorEastAsia"/>
          <w:highlight w:val="none"/>
        </w:rPr>
      </w:pPr>
      <w:r>
        <w:rPr>
          <w:rFonts w:hint="eastAsia" w:asciiTheme="minorEastAsia" w:hAnsiTheme="minorEastAsia" w:eastAsiaTheme="minorEastAsia"/>
          <w:b/>
          <w:highlight w:val="none"/>
        </w:rPr>
        <w:t>填报说明</w:t>
      </w:r>
      <w:r>
        <w:rPr>
          <w:rFonts w:hint="eastAsia" w:asciiTheme="minorEastAsia" w:hAnsiTheme="minorEastAsia" w:eastAsiaTheme="minorEastAsia"/>
          <w:highlight w:val="none"/>
        </w:rPr>
        <w:t>：</w:t>
      </w:r>
    </w:p>
    <w:p>
      <w:pPr>
        <w:spacing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1.“设备明细报价”填写比选设备主机或选配配置的报价；</w:t>
      </w:r>
    </w:p>
    <w:p>
      <w:pPr>
        <w:spacing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2.分项报价不局限于以上内容，表中未列出内容请比选申请人一并表明列出。</w:t>
      </w:r>
    </w:p>
    <w:p>
      <w:pPr>
        <w:spacing w:line="360" w:lineRule="exact"/>
        <w:ind w:firstLine="210" w:firstLineChars="100"/>
        <w:rPr>
          <w:rFonts w:asciiTheme="minorEastAsia" w:hAnsiTheme="minorEastAsia" w:eastAsiaTheme="minorEastAsia"/>
          <w:highlight w:val="none"/>
        </w:rPr>
      </w:pPr>
    </w:p>
    <w:p>
      <w:pPr>
        <w:spacing w:before="312" w:beforeLines="100" w:after="312" w:afterLines="100"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比选申请人代表签字:</w:t>
      </w:r>
    </w:p>
    <w:p>
      <w:pPr>
        <w:spacing w:before="312" w:beforeLines="100" w:after="312" w:afterLines="100"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单位盖章：</w:t>
      </w:r>
    </w:p>
    <w:p>
      <w:pPr>
        <w:spacing w:line="360" w:lineRule="exact"/>
        <w:ind w:firstLine="210" w:firstLineChars="100"/>
        <w:rPr>
          <w:rFonts w:asciiTheme="minorEastAsia" w:hAnsiTheme="minorEastAsia" w:eastAsiaTheme="minorEastAsia"/>
          <w:highlight w:val="none"/>
        </w:rPr>
      </w:pPr>
    </w:p>
    <w:p>
      <w:pPr>
        <w:spacing w:line="360" w:lineRule="exact"/>
        <w:ind w:firstLine="210" w:firstLineChars="100"/>
        <w:rPr>
          <w:rFonts w:asciiTheme="minorEastAsia" w:hAnsiTheme="minorEastAsia" w:eastAsiaTheme="minorEastAsia"/>
          <w:highlight w:val="none"/>
        </w:rPr>
      </w:pPr>
    </w:p>
    <w:p>
      <w:pPr>
        <w:spacing w:line="360" w:lineRule="exact"/>
        <w:ind w:firstLine="210" w:firstLineChars="100"/>
        <w:rPr>
          <w:rFonts w:asciiTheme="minorEastAsia" w:hAnsiTheme="minorEastAsia" w:eastAsiaTheme="minorEastAsia"/>
          <w:highlight w:val="none"/>
        </w:rPr>
      </w:pP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营业执照(或具有同等法律效力的证明文件）</w:t>
      </w:r>
    </w:p>
    <w:p>
      <w:pPr>
        <w:spacing w:line="380" w:lineRule="exact"/>
        <w:jc w:val="center"/>
        <w:rPr>
          <w:rFonts w:asciiTheme="minorEastAsia" w:hAnsiTheme="minorEastAsia" w:eastAsiaTheme="minorEastAsia"/>
          <w:szCs w:val="28"/>
          <w:highlight w:val="none"/>
        </w:rPr>
      </w:pPr>
    </w:p>
    <w:p>
      <w:pPr>
        <w:spacing w:line="380" w:lineRule="exact"/>
        <w:jc w:val="center"/>
        <w:rPr>
          <w:rFonts w:asciiTheme="minorEastAsia" w:hAnsiTheme="minorEastAsia" w:eastAsiaTheme="minorEastAsia"/>
          <w:szCs w:val="28"/>
          <w:highlight w:val="none"/>
        </w:rPr>
      </w:pPr>
    </w:p>
    <w:p>
      <w:pPr>
        <w:spacing w:line="38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(复印件盖单位鲜章)</w:t>
      </w:r>
    </w:p>
    <w:p>
      <w:pPr>
        <w:spacing w:line="380" w:lineRule="exact"/>
        <w:jc w:val="center"/>
        <w:rPr>
          <w:rFonts w:asciiTheme="minorEastAsia" w:hAnsiTheme="minorEastAsia" w:eastAsiaTheme="minorEastAsia"/>
          <w:b/>
          <w:szCs w:val="28"/>
          <w:highlight w:val="none"/>
        </w:rPr>
      </w:pPr>
    </w:p>
    <w:p>
      <w:pPr>
        <w:spacing w:line="380" w:lineRule="exact"/>
        <w:jc w:val="center"/>
        <w:rPr>
          <w:rFonts w:asciiTheme="minorEastAsia" w:hAnsiTheme="minorEastAsia" w:eastAsiaTheme="minorEastAsia"/>
          <w:b/>
          <w:szCs w:val="28"/>
          <w:highlight w:val="none"/>
        </w:rPr>
      </w:pPr>
    </w:p>
    <w:p>
      <w:pPr>
        <w:spacing w:line="380" w:lineRule="exact"/>
        <w:jc w:val="center"/>
        <w:rPr>
          <w:rFonts w:asciiTheme="minorEastAsia" w:hAnsiTheme="minorEastAsia" w:eastAsiaTheme="minorEastAsia"/>
          <w:b/>
          <w:szCs w:val="28"/>
          <w:highlight w:val="none"/>
        </w:rPr>
      </w:pP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asciiTheme="minorEastAsia" w:hAnsiTheme="minorEastAsia" w:eastAsiaTheme="minorEastAsia"/>
          <w:b/>
          <w:szCs w:val="28"/>
          <w:highlight w:val="none"/>
        </w:rPr>
        <w:t>授权委托书</w:t>
      </w:r>
    </w:p>
    <w:p>
      <w:pPr>
        <w:spacing w:before="156" w:beforeLines="50" w:after="156" w:afterLines="50" w:line="360" w:lineRule="exact"/>
        <w:ind w:firstLine="210" w:firstLineChars="100"/>
        <w:jc w:val="center"/>
        <w:rPr>
          <w:rFonts w:asciiTheme="minorEastAsia" w:hAnsiTheme="minorEastAsia" w:eastAsiaTheme="minorEastAsia"/>
          <w:highlight w:val="none"/>
        </w:rPr>
      </w:pPr>
      <w:r>
        <w:rPr>
          <w:rFonts w:hint="eastAsia" w:asciiTheme="minorEastAsia" w:hAnsiTheme="minorEastAsia" w:eastAsiaTheme="minorEastAsia"/>
          <w:highlight w:val="none"/>
        </w:rPr>
        <w:t>（如有，格式仅供参考）</w:t>
      </w:r>
    </w:p>
    <w:p>
      <w:pPr>
        <w:spacing w:after="27" w:line="370" w:lineRule="auto"/>
        <w:ind w:left="-15" w:right="596" w:firstLine="410"/>
        <w:rPr>
          <w:highlight w:val="none"/>
        </w:rPr>
      </w:pPr>
      <w:r>
        <w:rPr>
          <w:rFonts w:hint="eastAsia" w:ascii="宋体" w:hAnsi="宋体" w:cs="宋体"/>
          <w:highlight w:val="none"/>
        </w:rPr>
        <w:t>本人（姓名）系（比选申请人名称）的法定代表人，现委托（姓名）为我方代理人。代理人根据授权，以我方名义签署、澄清确认、递交、撤回、修改设备采购比选项目比选文件、签订合同和处理有关事宜，其法律后果由我方承担。</w:t>
      </w:r>
    </w:p>
    <w:p>
      <w:pPr>
        <w:spacing w:after="149" w:line="265" w:lineRule="auto"/>
        <w:ind w:left="-5" w:right="590" w:hanging="10"/>
        <w:rPr>
          <w:highlight w:val="none"/>
        </w:rPr>
      </w:pPr>
      <w:r>
        <w:rPr>
          <w:rFonts w:hint="eastAsia" w:ascii="宋体" w:hAnsi="宋体" w:cs="宋体"/>
          <w:highlight w:val="none"/>
        </w:rPr>
        <w:t>委托期限：即日起至投标有效期截止。</w:t>
      </w:r>
    </w:p>
    <w:p>
      <w:pPr>
        <w:spacing w:after="27" w:line="370" w:lineRule="auto"/>
        <w:ind w:left="-15" w:right="596" w:firstLine="410"/>
        <w:rPr>
          <w:rFonts w:ascii="宋体" w:hAnsi="宋体" w:cs="宋体"/>
          <w:highlight w:val="none"/>
        </w:rPr>
      </w:pPr>
      <w:r>
        <w:rPr>
          <w:rFonts w:ascii="宋体" w:hAnsi="宋体" w:cs="宋体"/>
          <w:highlight w:val="none"/>
        </w:rPr>
        <w:t>委托期限：自即日起，覆盖</w:t>
      </w:r>
      <w:r>
        <w:rPr>
          <w:rFonts w:hint="eastAsia" w:ascii="宋体" w:hAnsi="宋体" w:cs="宋体"/>
          <w:highlight w:val="none"/>
        </w:rPr>
        <w:t>比选</w:t>
      </w:r>
      <w:r>
        <w:rPr>
          <w:rFonts w:ascii="宋体" w:hAnsi="宋体" w:cs="宋体"/>
          <w:highlight w:val="none"/>
        </w:rPr>
        <w:t>有效期。</w:t>
      </w:r>
    </w:p>
    <w:p>
      <w:pPr>
        <w:spacing w:line="370" w:lineRule="auto"/>
        <w:ind w:left="-17" w:right="595" w:firstLine="408"/>
        <w:rPr>
          <w:rFonts w:ascii="宋体" w:hAnsi="宋体" w:cs="宋体"/>
          <w:highlight w:val="none"/>
        </w:rPr>
      </w:pPr>
      <w:r>
        <w:rPr>
          <w:rFonts w:ascii="宋体" w:hAnsi="宋体" w:cs="宋体"/>
          <w:highlight w:val="none"/>
        </w:rPr>
        <w:t>委托代理人无转委托权。</w:t>
      </w:r>
    </w:p>
    <w:p>
      <w:pPr>
        <w:rPr>
          <w:b/>
          <w:bCs/>
          <w:sz w:val="24"/>
          <w:szCs w:val="24"/>
          <w:highlight w:val="none"/>
        </w:rPr>
      </w:pPr>
    </w:p>
    <w:p>
      <w:pPr>
        <w:ind w:firstLine="482"/>
        <w:rPr>
          <w:b/>
          <w:bCs/>
          <w:sz w:val="24"/>
          <w:szCs w:val="24"/>
          <w:highlight w:val="none"/>
        </w:rPr>
      </w:pPr>
      <w:r>
        <w:rPr>
          <w:b/>
          <w:bCs/>
          <w:sz w:val="24"/>
          <w:szCs w:val="24"/>
          <w:highlight w:val="none"/>
        </w:rPr>
        <w:t>附：法定代表人（单位负责人）身份证复印件</w:t>
      </w:r>
    </w:p>
    <w:p>
      <w:pPr>
        <w:rPr>
          <w:b/>
          <w:bCs/>
          <w:sz w:val="24"/>
          <w:szCs w:val="24"/>
          <w:highlight w:val="none"/>
        </w:rPr>
      </w:pPr>
    </w:p>
    <w:p>
      <w:pPr>
        <w:ind w:firstLine="482"/>
        <w:rPr>
          <w:b/>
          <w:bCs/>
          <w:sz w:val="24"/>
          <w:szCs w:val="24"/>
          <w:highlight w:val="none"/>
        </w:rPr>
      </w:pPr>
    </w:p>
    <w:p>
      <w:pPr>
        <w:ind w:firstLine="482"/>
        <w:rPr>
          <w:b/>
          <w:bCs/>
          <w:sz w:val="24"/>
          <w:szCs w:val="24"/>
          <w:highlight w:val="none"/>
        </w:rPr>
      </w:pPr>
    </w:p>
    <w:p>
      <w:pPr>
        <w:ind w:firstLine="964" w:firstLineChars="400"/>
        <w:rPr>
          <w:b/>
          <w:bCs/>
          <w:sz w:val="24"/>
          <w:szCs w:val="24"/>
          <w:highlight w:val="none"/>
        </w:rPr>
      </w:pPr>
      <w:r>
        <w:rPr>
          <w:b/>
          <w:bCs/>
          <w:sz w:val="24"/>
          <w:szCs w:val="24"/>
          <w:highlight w:val="none"/>
        </w:rPr>
        <w:t>委托代理人身份证复印件</w:t>
      </w:r>
    </w:p>
    <w:p>
      <w:pPr>
        <w:rPr>
          <w:b/>
          <w:bCs/>
          <w:sz w:val="24"/>
          <w:szCs w:val="24"/>
          <w:highlight w:val="none"/>
        </w:rPr>
      </w:pPr>
      <w:r>
        <w:rPr>
          <w:rFonts w:hint="eastAsia"/>
          <w:b/>
          <w:bCs/>
          <w:sz w:val="24"/>
          <w:szCs w:val="24"/>
          <w:highlight w:val="none"/>
        </w:rPr>
        <w:t xml:space="preserve">    </w:t>
      </w:r>
    </w:p>
    <w:p>
      <w:pPr>
        <w:rPr>
          <w:b/>
          <w:bCs/>
          <w:sz w:val="24"/>
          <w:szCs w:val="24"/>
          <w:highlight w:val="none"/>
        </w:rPr>
      </w:pPr>
    </w:p>
    <w:p>
      <w:pPr>
        <w:rPr>
          <w:b/>
          <w:bCs/>
          <w:sz w:val="24"/>
          <w:szCs w:val="24"/>
          <w:highlight w:val="none"/>
        </w:rPr>
      </w:pPr>
    </w:p>
    <w:p>
      <w:pPr>
        <w:spacing w:after="5" w:line="389" w:lineRule="auto"/>
        <w:ind w:left="-5" w:right="590" w:hanging="10"/>
        <w:rPr>
          <w:highlight w:val="none"/>
        </w:rPr>
      </w:pPr>
      <w:r>
        <w:rPr>
          <w:rFonts w:hint="eastAsia" w:ascii="宋体" w:hAnsi="宋体" w:cs="宋体"/>
          <w:highlight w:val="none"/>
        </w:rPr>
        <w:t>注：本授权委托书需由比选申请人加盖单位公章并由其法定代表人（单位负责人）和委托代理人签字。</w:t>
      </w:r>
    </w:p>
    <w:p>
      <w:pPr>
        <w:spacing w:after="180"/>
        <w:rPr>
          <w:highlight w:val="none"/>
        </w:rPr>
      </w:pPr>
    </w:p>
    <w:p>
      <w:pPr>
        <w:tabs>
          <w:tab w:val="center" w:pos="3325"/>
          <w:tab w:val="center" w:pos="4201"/>
          <w:tab w:val="center" w:pos="4621"/>
          <w:tab w:val="center" w:pos="6722"/>
        </w:tabs>
        <w:spacing w:after="150" w:line="265" w:lineRule="auto"/>
        <w:rPr>
          <w:highlight w:val="none"/>
        </w:rPr>
      </w:pPr>
      <w:r>
        <w:rPr>
          <w:highlight w:val="none"/>
        </w:rPr>
        <w:tab/>
      </w:r>
      <w:r>
        <w:rPr>
          <w:rFonts w:hint="eastAsia" w:ascii="宋体" w:hAnsi="宋体" w:cs="宋体"/>
          <w:highlight w:val="none"/>
        </w:rPr>
        <w:t>比选申请人：</w:t>
      </w:r>
      <w:r>
        <w:rPr>
          <w:highlight w:val="none"/>
          <w:u w:val="single" w:color="000000"/>
        </w:rPr>
        <w:tab/>
      </w:r>
      <w:r>
        <w:rPr>
          <w:highlight w:val="none"/>
          <w:u w:val="single" w:color="000000"/>
        </w:rPr>
        <w:tab/>
      </w:r>
      <w:r>
        <w:rPr>
          <w:highlight w:val="none"/>
          <w:u w:val="single" w:color="000000"/>
        </w:rPr>
        <w:tab/>
      </w:r>
      <w:r>
        <w:rPr>
          <w:rFonts w:hint="eastAsia"/>
          <w:highlight w:val="none"/>
          <w:u w:val="single" w:color="000000"/>
        </w:rPr>
        <w:t xml:space="preserve">                   </w:t>
      </w:r>
      <w:r>
        <w:rPr>
          <w:rFonts w:hint="eastAsia" w:ascii="宋体" w:hAnsi="宋体" w:cs="宋体"/>
          <w:highlight w:val="none"/>
        </w:rPr>
        <w:t>（单位公章）</w:t>
      </w:r>
    </w:p>
    <w:p>
      <w:pPr>
        <w:tabs>
          <w:tab w:val="center" w:pos="4004"/>
          <w:tab w:val="center" w:pos="5881"/>
          <w:tab w:val="center" w:pos="6301"/>
          <w:tab w:val="center" w:pos="7982"/>
        </w:tabs>
        <w:spacing w:after="157" w:line="265" w:lineRule="auto"/>
        <w:rPr>
          <w:highlight w:val="none"/>
        </w:rPr>
      </w:pPr>
      <w:r>
        <w:rPr>
          <w:highlight w:val="none"/>
        </w:rPr>
        <w:tab/>
      </w:r>
      <w:r>
        <w:rPr>
          <w:rFonts w:hint="eastAsia" w:ascii="宋体" w:hAnsi="宋体" w:cs="宋体"/>
          <w:highlight w:val="none"/>
        </w:rPr>
        <w:t>法定代表人（单位负责人）：</w:t>
      </w:r>
      <w:r>
        <w:rPr>
          <w:highlight w:val="none"/>
          <w:u w:val="single" w:color="000000"/>
        </w:rPr>
        <w:tab/>
      </w:r>
      <w:r>
        <w:rPr>
          <w:highlight w:val="none"/>
          <w:u w:val="single" w:color="000000"/>
        </w:rPr>
        <w:tab/>
      </w:r>
      <w:r>
        <w:rPr>
          <w:rFonts w:hint="eastAsia"/>
          <w:highlight w:val="none"/>
          <w:u w:val="single" w:color="000000"/>
        </w:rPr>
        <w:t xml:space="preserve"> </w:t>
      </w:r>
      <w:r>
        <w:rPr>
          <w:highlight w:val="none"/>
          <w:u w:val="single" w:color="000000"/>
        </w:rPr>
        <w:tab/>
      </w:r>
      <w:r>
        <w:rPr>
          <w:rFonts w:hint="eastAsia" w:ascii="宋体" w:hAnsi="宋体" w:cs="宋体"/>
          <w:highlight w:val="none"/>
        </w:rPr>
        <w:t>（签字）</w:t>
      </w:r>
    </w:p>
    <w:p>
      <w:pPr>
        <w:tabs>
          <w:tab w:val="center" w:pos="3325"/>
          <w:tab w:val="center" w:pos="4201"/>
          <w:tab w:val="center" w:pos="4621"/>
          <w:tab w:val="center" w:pos="5041"/>
          <w:tab w:val="center" w:pos="8402"/>
        </w:tabs>
        <w:spacing w:after="148" w:line="265" w:lineRule="auto"/>
        <w:rPr>
          <w:highlight w:val="none"/>
        </w:rPr>
      </w:pPr>
      <w:r>
        <w:rPr>
          <w:highlight w:val="none"/>
        </w:rPr>
        <w:tab/>
      </w:r>
      <w:r>
        <w:rPr>
          <w:rFonts w:hint="eastAsia" w:ascii="宋体" w:hAnsi="宋体" w:cs="宋体"/>
          <w:highlight w:val="none"/>
        </w:rPr>
        <w:t>身份证号码：</w:t>
      </w:r>
      <w:r>
        <w:rPr>
          <w:highlight w:val="none"/>
          <w:u w:val="single" w:color="000000"/>
        </w:rPr>
        <w:tab/>
      </w:r>
      <w:r>
        <w:rPr>
          <w:highlight w:val="none"/>
          <w:u w:val="single" w:color="000000"/>
        </w:rPr>
        <w:tab/>
      </w:r>
      <w:r>
        <w:rPr>
          <w:highlight w:val="none"/>
          <w:u w:val="single" w:color="000000"/>
        </w:rPr>
        <w:tab/>
      </w:r>
      <w:r>
        <w:rPr>
          <w:rFonts w:hint="eastAsia"/>
          <w:highlight w:val="none"/>
          <w:u w:val="single" w:color="000000"/>
        </w:rPr>
        <w:t xml:space="preserve">                               </w:t>
      </w:r>
    </w:p>
    <w:p>
      <w:pPr>
        <w:tabs>
          <w:tab w:val="center" w:pos="3325"/>
          <w:tab w:val="center" w:pos="4201"/>
          <w:tab w:val="center" w:pos="4621"/>
          <w:tab w:val="center" w:pos="6722"/>
        </w:tabs>
        <w:spacing w:after="150" w:line="265" w:lineRule="auto"/>
        <w:rPr>
          <w:highlight w:val="none"/>
        </w:rPr>
      </w:pPr>
      <w:r>
        <w:rPr>
          <w:highlight w:val="none"/>
        </w:rPr>
        <w:tab/>
      </w:r>
      <w:r>
        <w:rPr>
          <w:rFonts w:hint="eastAsia" w:ascii="宋体" w:hAnsi="宋体" w:cs="宋体"/>
          <w:highlight w:val="none"/>
        </w:rPr>
        <w:t>委托代理人：</w:t>
      </w:r>
      <w:r>
        <w:rPr>
          <w:highlight w:val="none"/>
          <w:u w:val="single" w:color="000000"/>
        </w:rPr>
        <w:tab/>
      </w:r>
      <w:r>
        <w:rPr>
          <w:highlight w:val="none"/>
          <w:u w:val="single" w:color="000000"/>
        </w:rPr>
        <w:tab/>
      </w:r>
      <w:r>
        <w:rPr>
          <w:highlight w:val="none"/>
          <w:u w:val="single" w:color="000000"/>
        </w:rPr>
        <w:tab/>
      </w:r>
      <w:r>
        <w:rPr>
          <w:rFonts w:hint="eastAsia"/>
          <w:highlight w:val="none"/>
          <w:u w:val="single" w:color="000000"/>
        </w:rPr>
        <w:t xml:space="preserve">                           </w:t>
      </w:r>
      <w:r>
        <w:rPr>
          <w:rFonts w:hint="eastAsia" w:ascii="宋体" w:hAnsi="宋体" w:cs="宋体"/>
          <w:highlight w:val="none"/>
        </w:rPr>
        <w:t>（签字）</w:t>
      </w:r>
    </w:p>
    <w:p>
      <w:pPr>
        <w:tabs>
          <w:tab w:val="center" w:pos="3325"/>
          <w:tab w:val="center" w:pos="4201"/>
          <w:tab w:val="center" w:pos="4621"/>
          <w:tab w:val="center" w:pos="5041"/>
          <w:tab w:val="center" w:pos="8402"/>
        </w:tabs>
        <w:spacing w:after="150" w:line="265" w:lineRule="auto"/>
        <w:rPr>
          <w:highlight w:val="none"/>
        </w:rPr>
      </w:pPr>
      <w:r>
        <w:rPr>
          <w:highlight w:val="none"/>
        </w:rPr>
        <w:tab/>
      </w:r>
      <w:r>
        <w:rPr>
          <w:rFonts w:hint="eastAsia" w:ascii="宋体" w:hAnsi="宋体" w:cs="宋体"/>
          <w:highlight w:val="none"/>
        </w:rPr>
        <w:t>身份证号码：</w:t>
      </w:r>
      <w:r>
        <w:rPr>
          <w:rFonts w:hint="eastAsia"/>
          <w:highlight w:val="none"/>
          <w:u w:val="single" w:color="000000"/>
        </w:rPr>
        <w:t xml:space="preserve">           </w:t>
      </w:r>
      <w:r>
        <w:rPr>
          <w:highlight w:val="none"/>
          <w:u w:val="single" w:color="000000"/>
        </w:rPr>
        <w:tab/>
      </w:r>
    </w:p>
    <w:p>
      <w:pPr>
        <w:spacing w:after="176"/>
        <w:ind w:left="2693"/>
        <w:rPr>
          <w:highlight w:val="none"/>
        </w:rPr>
      </w:pPr>
    </w:p>
    <w:p>
      <w:pPr>
        <w:wordWrap w:val="0"/>
        <w:spacing w:after="125" w:line="265" w:lineRule="auto"/>
        <w:ind w:left="10" w:right="710" w:hanging="10"/>
        <w:jc w:val="right"/>
        <w:rPr>
          <w:highlight w:val="none"/>
        </w:rPr>
      </w:pPr>
      <w:r>
        <w:rPr>
          <w:rFonts w:hint="eastAsia" w:ascii="宋体" w:hAnsi="宋体" w:cs="宋体"/>
          <w:highlight w:val="none"/>
        </w:rPr>
        <w:t>年   月   日</w:t>
      </w:r>
    </w:p>
    <w:p>
      <w:pPr>
        <w:spacing w:after="125" w:line="265" w:lineRule="auto"/>
        <w:ind w:left="10" w:right="710" w:hanging="10"/>
        <w:jc w:val="right"/>
        <w:rPr>
          <w:highlight w:val="none"/>
        </w:rPr>
      </w:pPr>
    </w:p>
    <w:p>
      <w:pPr>
        <w:spacing w:after="125" w:line="265" w:lineRule="auto"/>
        <w:ind w:left="10" w:right="710" w:hanging="10"/>
        <w:jc w:val="right"/>
        <w:rPr>
          <w:highlight w:val="none"/>
        </w:rPr>
      </w:pP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asciiTheme="minorEastAsia" w:hAnsiTheme="minorEastAsia" w:eastAsiaTheme="minorEastAsia"/>
          <w:b/>
          <w:szCs w:val="28"/>
          <w:highlight w:val="none"/>
        </w:rPr>
        <w:t>制造商授权书</w:t>
      </w:r>
    </w:p>
    <w:p>
      <w:pPr>
        <w:spacing w:line="360" w:lineRule="exact"/>
        <w:ind w:firstLine="210" w:firstLineChars="10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（如有，格式仅供参考）</w:t>
      </w:r>
    </w:p>
    <w:p>
      <w:pPr>
        <w:spacing w:after="27" w:line="370" w:lineRule="auto"/>
        <w:ind w:left="-15" w:right="596" w:firstLine="410"/>
        <w:rPr>
          <w:rFonts w:ascii="宋体" w:hAnsi="宋体" w:cs="宋体"/>
          <w:highlight w:val="none"/>
        </w:rPr>
      </w:pPr>
      <w:r>
        <w:rPr>
          <w:rFonts w:hint="eastAsia" w:ascii="宋体" w:hAnsi="宋体" w:cs="宋体"/>
          <w:highlight w:val="none"/>
        </w:rPr>
        <w:t>致：（成都凯天电子股份有限公司）我单位（制造商名称）是按（国家／地区名称）法律成立的一家制造商，主要营业地点设在（制造商地址）。兹授权按（国家／地区名称）的法律正式成立的，主要营业地点设在（比选申请人的单位地址）的（</w:t>
      </w:r>
      <w:r>
        <w:rPr>
          <w:rFonts w:hint="eastAsia" w:ascii="宋体" w:hAnsi="宋体" w:cs="宋体"/>
          <w:kern w:val="0"/>
          <w:highlight w:val="none"/>
        </w:rPr>
        <w:t>比选申请人</w:t>
      </w:r>
      <w:r>
        <w:rPr>
          <w:rFonts w:hint="eastAsia" w:ascii="宋体" w:hAnsi="宋体" w:cs="宋体"/>
          <w:highlight w:val="none"/>
        </w:rPr>
        <w:t>名称）以我单位制造的（设备名称）进行（项目名称）投标活动。我单位同意按照中选合同供货，并对产品质量承担责任。</w:t>
      </w:r>
    </w:p>
    <w:p>
      <w:pPr>
        <w:spacing w:after="27" w:line="370" w:lineRule="auto"/>
        <w:ind w:left="-15" w:right="596" w:firstLine="410"/>
        <w:rPr>
          <w:rFonts w:ascii="宋体" w:hAnsi="宋体" w:cs="宋体"/>
          <w:highlight w:val="none"/>
        </w:rPr>
      </w:pPr>
      <w:r>
        <w:rPr>
          <w:rFonts w:hint="eastAsia" w:ascii="宋体" w:hAnsi="宋体" w:cs="宋体"/>
          <w:highlight w:val="none"/>
        </w:rPr>
        <w:t>授权期限：即日起，覆盖比选有效期。</w:t>
      </w:r>
    </w:p>
    <w:p>
      <w:pPr>
        <w:spacing w:after="27" w:line="370" w:lineRule="auto"/>
        <w:ind w:left="-15" w:right="596" w:firstLine="410"/>
        <w:rPr>
          <w:rFonts w:ascii="宋体" w:hAnsi="宋体" w:cs="宋体"/>
          <w:b/>
          <w:highlight w:val="none"/>
        </w:rPr>
      </w:pPr>
      <w:r>
        <w:rPr>
          <w:rFonts w:hint="eastAsia" w:ascii="宋体" w:hAnsi="宋体" w:cs="宋体"/>
          <w:b/>
          <w:highlight w:val="none"/>
        </w:rPr>
        <w:t>比选申请人名称：（盖单位章）制造商名称：（盖单位章）</w:t>
      </w:r>
    </w:p>
    <w:p>
      <w:pPr>
        <w:spacing w:after="27" w:line="370" w:lineRule="auto"/>
        <w:ind w:left="-15" w:right="596" w:firstLine="410"/>
        <w:rPr>
          <w:rFonts w:ascii="宋体" w:hAnsi="宋体" w:cs="宋体"/>
          <w:highlight w:val="none"/>
        </w:rPr>
      </w:pPr>
      <w:r>
        <w:rPr>
          <w:rFonts w:hint="eastAsia" w:ascii="宋体" w:hAnsi="宋体" w:cs="宋体"/>
          <w:highlight w:val="none"/>
        </w:rPr>
        <w:t>签字人职务：</w:t>
      </w:r>
      <w:r>
        <w:rPr>
          <w:rFonts w:hint="eastAsia" w:ascii="宋体" w:hAnsi="宋体" w:cs="宋体"/>
          <w:highlight w:val="none"/>
          <w:u w:val="single"/>
        </w:rPr>
        <w:t>签字人职务</w:t>
      </w:r>
    </w:p>
    <w:p>
      <w:pPr>
        <w:spacing w:after="27" w:line="370" w:lineRule="auto"/>
        <w:ind w:left="-15" w:right="596" w:firstLine="410"/>
        <w:rPr>
          <w:rFonts w:ascii="宋体" w:hAnsi="宋体" w:cs="宋体"/>
          <w:highlight w:val="none"/>
        </w:rPr>
      </w:pPr>
      <w:r>
        <w:rPr>
          <w:rFonts w:hint="eastAsia" w:ascii="宋体" w:hAnsi="宋体" w:cs="宋体"/>
          <w:highlight w:val="none"/>
        </w:rPr>
        <w:t>签字人姓名：</w:t>
      </w:r>
      <w:r>
        <w:rPr>
          <w:rFonts w:hint="eastAsia" w:ascii="宋体" w:hAnsi="宋体" w:cs="宋体"/>
          <w:highlight w:val="none"/>
          <w:u w:val="single"/>
        </w:rPr>
        <w:t>签字人姓名</w:t>
      </w:r>
    </w:p>
    <w:p>
      <w:pPr>
        <w:spacing w:after="27" w:line="370" w:lineRule="auto"/>
        <w:ind w:left="-15" w:right="596" w:firstLine="410"/>
        <w:rPr>
          <w:rFonts w:ascii="宋体" w:hAnsi="宋体" w:cs="宋体"/>
          <w:highlight w:val="none"/>
        </w:rPr>
      </w:pPr>
      <w:r>
        <w:rPr>
          <w:rFonts w:hint="eastAsia" w:ascii="宋体" w:hAnsi="宋体" w:cs="宋体"/>
          <w:highlight w:val="none"/>
        </w:rPr>
        <w:t>签字人签名：签字人签名</w:t>
      </w: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技术条款响应表/偏离表</w:t>
      </w:r>
    </w:p>
    <w:p>
      <w:pPr>
        <w:spacing w:before="156" w:beforeLines="50" w:after="156" w:afterLines="50"/>
        <w:rPr>
          <w:rFonts w:asciiTheme="minorEastAsia" w:hAnsiTheme="minorEastAsia" w:eastAsiaTheme="minorEastAsia"/>
          <w:highlight w:val="none"/>
        </w:rPr>
      </w:pPr>
      <w:r>
        <w:rPr>
          <w:rFonts w:hint="eastAsia" w:asciiTheme="minorEastAsia" w:hAnsiTheme="minorEastAsia" w:eastAsiaTheme="minorEastAsia"/>
          <w:highlight w:val="none"/>
        </w:rPr>
        <w:t>比选申请人名称：                        　　　比选编号：</w:t>
      </w:r>
    </w:p>
    <w:tbl>
      <w:tblPr>
        <w:tblStyle w:val="2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16"/>
        <w:gridCol w:w="2690"/>
        <w:gridCol w:w="113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64" w:type="dxa"/>
            <w:gridSpan w:val="2"/>
            <w:vAlign w:val="center"/>
          </w:tcPr>
          <w:p>
            <w:pPr>
              <w:widowControl/>
              <w:spacing w:before="100" w:beforeAutospacing="1" w:after="100" w:afterAutospacing="1" w:line="300" w:lineRule="exact"/>
              <w:ind w:firstLine="210"/>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比选邀请文件技术要求</w:t>
            </w:r>
          </w:p>
        </w:tc>
        <w:tc>
          <w:tcPr>
            <w:tcW w:w="4924" w:type="dxa"/>
            <w:gridSpan w:val="3"/>
            <w:vAlign w:val="center"/>
          </w:tcPr>
          <w:p>
            <w:pPr>
              <w:widowControl/>
              <w:spacing w:before="100" w:beforeAutospacing="1" w:after="100" w:afterAutospacing="1" w:line="300" w:lineRule="exact"/>
              <w:ind w:firstLine="210"/>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比选申请人响应情况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序号</w:t>
            </w:r>
          </w:p>
        </w:tc>
        <w:tc>
          <w:tcPr>
            <w:tcW w:w="3716" w:type="dxa"/>
            <w:vAlign w:val="center"/>
          </w:tcPr>
          <w:p>
            <w:pPr>
              <w:widowControl/>
              <w:spacing w:before="100" w:beforeAutospacing="1" w:after="100" w:afterAutospacing="1" w:line="300" w:lineRule="exact"/>
              <w:ind w:firstLine="21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比选邀请文件技术规格</w:t>
            </w:r>
          </w:p>
        </w:tc>
        <w:tc>
          <w:tcPr>
            <w:tcW w:w="2690"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比选申请人投标规格</w:t>
            </w:r>
          </w:p>
        </w:tc>
        <w:tc>
          <w:tcPr>
            <w:tcW w:w="1134" w:type="dxa"/>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是否偏离(有/无)</w:t>
            </w:r>
          </w:p>
        </w:tc>
        <w:tc>
          <w:tcPr>
            <w:tcW w:w="1100"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spacing w:line="300" w:lineRule="exact"/>
              <w:jc w:val="center"/>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color w:val="000000"/>
                <w:szCs w:val="21"/>
                <w:highlight w:val="none"/>
              </w:rPr>
              <w:t>1</w:t>
            </w:r>
          </w:p>
        </w:tc>
        <w:tc>
          <w:tcPr>
            <w:tcW w:w="3716" w:type="dxa"/>
            <w:vAlign w:val="center"/>
          </w:tcPr>
          <w:p>
            <w:pPr>
              <w:spacing w:line="300" w:lineRule="exact"/>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color w:val="000000"/>
                <w:szCs w:val="21"/>
                <w:highlight w:val="none"/>
              </w:rPr>
              <w:t>比选编号：</w:t>
            </w:r>
            <w:r>
              <w:rPr>
                <w:rFonts w:hint="eastAsia" w:asciiTheme="minorEastAsia" w:hAnsiTheme="minorEastAsia" w:eastAsiaTheme="minorEastAsia"/>
                <w:color w:val="000000"/>
                <w:szCs w:val="21"/>
                <w:highlight w:val="none"/>
                <w:lang w:eastAsia="zh-CN"/>
              </w:rPr>
              <w:t>CAIC2026-JZC52260003-004</w:t>
            </w:r>
          </w:p>
        </w:tc>
        <w:tc>
          <w:tcPr>
            <w:tcW w:w="269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spacing w:line="300" w:lineRule="exact"/>
              <w:jc w:val="center"/>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color w:val="000000"/>
                <w:szCs w:val="21"/>
                <w:highlight w:val="none"/>
              </w:rPr>
              <w:t>2</w:t>
            </w:r>
          </w:p>
        </w:tc>
        <w:tc>
          <w:tcPr>
            <w:tcW w:w="3716" w:type="dxa"/>
            <w:vAlign w:val="center"/>
          </w:tcPr>
          <w:p>
            <w:pPr>
              <w:spacing w:line="300" w:lineRule="exact"/>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color w:val="000000"/>
                <w:szCs w:val="21"/>
                <w:highlight w:val="none"/>
              </w:rPr>
              <w:t>设备名称：</w:t>
            </w:r>
            <w:r>
              <w:rPr>
                <w:rFonts w:hint="eastAsia" w:asciiTheme="minorEastAsia" w:hAnsiTheme="minorEastAsia" w:eastAsiaTheme="minorEastAsia"/>
                <w:color w:val="000000"/>
                <w:szCs w:val="21"/>
                <w:highlight w:val="none"/>
                <w:lang w:eastAsia="zh-CN"/>
              </w:rPr>
              <w:t>验证试验室数据管理平台</w:t>
            </w:r>
          </w:p>
        </w:tc>
        <w:tc>
          <w:tcPr>
            <w:tcW w:w="269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3</w:t>
            </w:r>
          </w:p>
        </w:tc>
        <w:tc>
          <w:tcPr>
            <w:tcW w:w="3716" w:type="dxa"/>
            <w:vAlign w:val="center"/>
          </w:tcPr>
          <w:p>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数量：</w:t>
            </w:r>
            <w:r>
              <w:rPr>
                <w:rFonts w:hint="eastAsia" w:ascii="宋体" w:hAnsi="宋体"/>
                <w:szCs w:val="21"/>
                <w:highlight w:val="none"/>
                <w:lang w:val="en-US" w:eastAsia="zh-CN"/>
              </w:rPr>
              <w:t>1套</w:t>
            </w:r>
          </w:p>
        </w:tc>
        <w:tc>
          <w:tcPr>
            <w:tcW w:w="269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4</w:t>
            </w:r>
          </w:p>
        </w:tc>
        <w:tc>
          <w:tcPr>
            <w:tcW w:w="3716" w:type="dxa"/>
            <w:vAlign w:val="center"/>
          </w:tcPr>
          <w:p>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报价：</w:t>
            </w:r>
          </w:p>
        </w:tc>
        <w:tc>
          <w:tcPr>
            <w:tcW w:w="269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4.1</w:t>
            </w:r>
          </w:p>
        </w:tc>
        <w:tc>
          <w:tcPr>
            <w:tcW w:w="3716" w:type="dxa"/>
            <w:vAlign w:val="center"/>
          </w:tcPr>
          <w:p>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报价币种：人民币</w:t>
            </w:r>
          </w:p>
        </w:tc>
        <w:tc>
          <w:tcPr>
            <w:tcW w:w="269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4.2</w:t>
            </w:r>
          </w:p>
        </w:tc>
        <w:tc>
          <w:tcPr>
            <w:tcW w:w="3716" w:type="dxa"/>
            <w:vAlign w:val="center"/>
          </w:tcPr>
          <w:p>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报价方式：买方现场价（包含一切税费）</w:t>
            </w:r>
          </w:p>
        </w:tc>
        <w:tc>
          <w:tcPr>
            <w:tcW w:w="269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5</w:t>
            </w:r>
          </w:p>
        </w:tc>
        <w:tc>
          <w:tcPr>
            <w:tcW w:w="3716" w:type="dxa"/>
            <w:vAlign w:val="center"/>
          </w:tcPr>
          <w:p>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交货期：合同生效起6个月完成验收（验收交付）</w:t>
            </w:r>
            <w:r>
              <w:rPr>
                <w:rFonts w:hint="eastAsia" w:ascii="宋体" w:hAnsi="宋体"/>
                <w:szCs w:val="21"/>
                <w:highlight w:val="none"/>
                <w:lang w:eastAsia="zh-CN"/>
              </w:rPr>
              <w:t>。</w:t>
            </w:r>
          </w:p>
        </w:tc>
        <w:tc>
          <w:tcPr>
            <w:tcW w:w="269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spacing w:line="340" w:lineRule="exact"/>
              <w:jc w:val="center"/>
              <w:rPr>
                <w:rFonts w:hint="eastAsia" w:ascii="宋体" w:hAnsi="宋体"/>
                <w:szCs w:val="21"/>
                <w:highlight w:val="none"/>
              </w:rPr>
            </w:pPr>
            <w:r>
              <w:rPr>
                <w:rFonts w:hint="eastAsia" w:ascii="宋体" w:hAnsi="宋体"/>
                <w:szCs w:val="21"/>
                <w:highlight w:val="none"/>
              </w:rPr>
              <w:t>6</w:t>
            </w:r>
          </w:p>
        </w:tc>
        <w:tc>
          <w:tcPr>
            <w:tcW w:w="3716" w:type="dxa"/>
            <w:vAlign w:val="center"/>
          </w:tcPr>
          <w:p>
            <w:pPr>
              <w:spacing w:line="340" w:lineRule="exact"/>
              <w:jc w:val="left"/>
              <w:rPr>
                <w:rFonts w:hint="eastAsia" w:ascii="宋体" w:hAnsi="宋体"/>
                <w:szCs w:val="21"/>
                <w:highlight w:val="none"/>
              </w:rPr>
            </w:pPr>
            <w:r>
              <w:rPr>
                <w:rFonts w:hint="eastAsia" w:ascii="宋体" w:hAnsi="宋体"/>
                <w:szCs w:val="21"/>
                <w:highlight w:val="none"/>
              </w:rPr>
              <w:t>交货地：成都凯天电子股份有限公司（成都市青羊区）。</w:t>
            </w:r>
          </w:p>
        </w:tc>
        <w:tc>
          <w:tcPr>
            <w:tcW w:w="269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w:t>
            </w:r>
          </w:p>
        </w:tc>
        <w:tc>
          <w:tcPr>
            <w:tcW w:w="3716" w:type="dxa"/>
            <w:vMerge w:val="restart"/>
          </w:tcPr>
          <w:p>
            <w:pPr>
              <w:spacing w:line="360" w:lineRule="exact"/>
              <w:ind w:firstLine="210"/>
              <w:rPr>
                <w:rFonts w:cs="宋体" w:asciiTheme="minorEastAsia" w:hAnsiTheme="minorEastAsia" w:eastAsiaTheme="minorEastAsia"/>
                <w:kern w:val="0"/>
                <w:szCs w:val="21"/>
                <w:highlight w:val="none"/>
              </w:rPr>
            </w:pPr>
          </w:p>
          <w:p>
            <w:pPr>
              <w:spacing w:line="360" w:lineRule="exact"/>
              <w:ind w:firstLine="210"/>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详见《</w:t>
            </w:r>
            <w:r>
              <w:rPr>
                <w:rFonts w:hint="eastAsia" w:asciiTheme="minorEastAsia" w:hAnsiTheme="minorEastAsia" w:eastAsiaTheme="minorEastAsia"/>
                <w:szCs w:val="21"/>
                <w:highlight w:val="none"/>
              </w:rPr>
              <w:t>第三章货物需求及技术规格一览表》，</w:t>
            </w:r>
            <w:r>
              <w:rPr>
                <w:rFonts w:hint="eastAsia" w:asciiTheme="minorEastAsia" w:hAnsiTheme="minorEastAsia" w:eastAsiaTheme="minorEastAsia"/>
                <w:b/>
                <w:szCs w:val="21"/>
                <w:highlight w:val="none"/>
                <w:lang w:eastAsia="zh-CN"/>
              </w:rPr>
              <w:t>其余内容</w:t>
            </w:r>
            <w:r>
              <w:rPr>
                <w:rFonts w:hint="eastAsia" w:asciiTheme="minorEastAsia" w:hAnsiTheme="minorEastAsia" w:eastAsiaTheme="minorEastAsia"/>
                <w:b/>
                <w:szCs w:val="21"/>
                <w:highlight w:val="none"/>
              </w:rPr>
              <w:t>逐条列入</w:t>
            </w:r>
          </w:p>
        </w:tc>
        <w:tc>
          <w:tcPr>
            <w:tcW w:w="269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w:t>
            </w:r>
          </w:p>
        </w:tc>
        <w:tc>
          <w:tcPr>
            <w:tcW w:w="3716" w:type="dxa"/>
            <w:vMerge w:val="continue"/>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269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w:t>
            </w:r>
          </w:p>
        </w:tc>
        <w:tc>
          <w:tcPr>
            <w:tcW w:w="3716" w:type="dxa"/>
            <w:vMerge w:val="continue"/>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269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bl>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比选人承诺：除此表列出的，我方均响应比选邀请文件要求。</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填报说明：</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1.本表比选邀请文件技术要求来自于比选邀请文件</w:t>
      </w:r>
      <w:r>
        <w:rPr>
          <w:rFonts w:hint="eastAsia" w:cs="宋体" w:asciiTheme="minorEastAsia" w:hAnsiTheme="minorEastAsia" w:eastAsiaTheme="minorEastAsia"/>
          <w:kern w:val="0"/>
          <w:szCs w:val="21"/>
          <w:highlight w:val="none"/>
        </w:rPr>
        <w:t>《</w:t>
      </w:r>
      <w:r>
        <w:rPr>
          <w:rFonts w:hint="eastAsia" w:asciiTheme="minorEastAsia" w:hAnsiTheme="minorEastAsia" w:eastAsiaTheme="minorEastAsia"/>
          <w:szCs w:val="21"/>
          <w:highlight w:val="none"/>
        </w:rPr>
        <w:t>第三章货物需求及技术规格一览表》</w:t>
      </w:r>
      <w:r>
        <w:rPr>
          <w:rFonts w:hint="eastAsia" w:asciiTheme="minorEastAsia" w:hAnsiTheme="minorEastAsia" w:eastAsiaTheme="minorEastAsia"/>
          <w:highlight w:val="none"/>
        </w:rPr>
        <w:t>，比选申请人须</w:t>
      </w:r>
      <w:r>
        <w:rPr>
          <w:rFonts w:hint="eastAsia" w:asciiTheme="minorEastAsia" w:hAnsiTheme="minorEastAsia" w:eastAsiaTheme="minorEastAsia"/>
          <w:b/>
          <w:highlight w:val="none"/>
        </w:rPr>
        <w:t>逐条</w:t>
      </w:r>
      <w:r>
        <w:rPr>
          <w:rFonts w:hint="eastAsia" w:asciiTheme="minorEastAsia" w:hAnsiTheme="minorEastAsia" w:eastAsiaTheme="minorEastAsia"/>
          <w:highlight w:val="none"/>
        </w:rPr>
        <w:t>对照填写在《比选申请人响应情况》下的三列中。</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2. 《比选邀请文件技术规格》中，对于需要提供相关证书的填报项，应在该栏中填写相关证书名目，并在本表后附加相关证书复印件，</w:t>
      </w:r>
      <w:r>
        <w:rPr>
          <w:rFonts w:hint="eastAsia" w:asciiTheme="minorEastAsia" w:hAnsiTheme="minorEastAsia" w:eastAsiaTheme="minorEastAsia"/>
          <w:b/>
          <w:highlight w:val="none"/>
        </w:rPr>
        <w:t>加盖单位公章</w:t>
      </w:r>
      <w:r>
        <w:rPr>
          <w:rFonts w:hint="eastAsia" w:asciiTheme="minorEastAsia" w:hAnsiTheme="minorEastAsia" w:eastAsiaTheme="minorEastAsia"/>
          <w:highlight w:val="none"/>
        </w:rPr>
        <w:t>。</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3. 《是否偏离》栏，填有的可以在其后《偏离说明》栏中说明理由。</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b/>
          <w:highlight w:val="none"/>
        </w:rPr>
        <w:t>4.比选条款前加“*”项为不可偏离项，如果“*”项遗漏、不填或者负偏离将导致废标</w:t>
      </w:r>
      <w:r>
        <w:rPr>
          <w:rFonts w:hint="eastAsia" w:asciiTheme="minorEastAsia" w:hAnsiTheme="minorEastAsia" w:eastAsiaTheme="minorEastAsia"/>
          <w:highlight w:val="none"/>
        </w:rPr>
        <w:t>。</w:t>
      </w:r>
    </w:p>
    <w:p>
      <w:pPr>
        <w:spacing w:before="312" w:beforeLines="10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比选申请人代表签字：</w:t>
      </w:r>
    </w:p>
    <w:p>
      <w:pPr>
        <w:spacing w:before="312" w:beforeLines="10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单位盖章：</w:t>
      </w:r>
    </w:p>
    <w:p>
      <w:pPr>
        <w:spacing w:line="360" w:lineRule="exact"/>
        <w:rPr>
          <w:rFonts w:asciiTheme="minorEastAsia" w:hAnsiTheme="minorEastAsia" w:eastAsiaTheme="minorEastAsia"/>
          <w:highlight w:val="none"/>
        </w:rPr>
      </w:pPr>
    </w:p>
    <w:p>
      <w:pPr>
        <w:spacing w:line="360" w:lineRule="exact"/>
        <w:rPr>
          <w:rFonts w:asciiTheme="minorEastAsia" w:hAnsiTheme="minorEastAsia" w:eastAsiaTheme="minorEastAsia"/>
          <w:highlight w:val="none"/>
        </w:rPr>
      </w:pPr>
    </w:p>
    <w:p>
      <w:pPr>
        <w:spacing w:line="360" w:lineRule="exact"/>
        <w:rPr>
          <w:rFonts w:asciiTheme="minorEastAsia" w:hAnsiTheme="minorEastAsia" w:eastAsiaTheme="minorEastAsia"/>
          <w:highlight w:val="none"/>
        </w:rPr>
      </w:pPr>
    </w:p>
    <w:p>
      <w:pPr>
        <w:spacing w:line="360" w:lineRule="exact"/>
        <w:rPr>
          <w:rFonts w:asciiTheme="minorEastAsia" w:hAnsiTheme="minorEastAsia" w:eastAsiaTheme="minorEastAsia"/>
          <w:highlight w:val="none"/>
        </w:rPr>
      </w:pP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商务条款响应表/偏离表</w:t>
      </w:r>
    </w:p>
    <w:p>
      <w:pPr>
        <w:spacing w:before="156" w:beforeLines="50" w:after="156" w:afterLines="50"/>
        <w:rPr>
          <w:rFonts w:asciiTheme="minorEastAsia" w:hAnsiTheme="minorEastAsia" w:eastAsiaTheme="minorEastAsia"/>
          <w:highlight w:val="none"/>
        </w:rPr>
      </w:pPr>
      <w:r>
        <w:rPr>
          <w:rFonts w:hint="eastAsia" w:asciiTheme="minorEastAsia" w:hAnsiTheme="minorEastAsia" w:eastAsiaTheme="minorEastAsia"/>
          <w:highlight w:val="none"/>
        </w:rPr>
        <w:t xml:space="preserve">比选人名称：                                  比选编号：  </w:t>
      </w:r>
    </w:p>
    <w:tbl>
      <w:tblPr>
        <w:tblStyle w:val="2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01"/>
        <w:gridCol w:w="3205"/>
        <w:gridCol w:w="113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49" w:type="dxa"/>
            <w:gridSpan w:val="2"/>
            <w:vAlign w:val="center"/>
          </w:tcPr>
          <w:p>
            <w:pPr>
              <w:widowControl/>
              <w:spacing w:before="100" w:beforeAutospacing="1" w:after="100" w:afterAutospacing="1" w:line="300" w:lineRule="exact"/>
              <w:ind w:firstLine="210"/>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比选邀请文件商务要求</w:t>
            </w:r>
          </w:p>
        </w:tc>
        <w:tc>
          <w:tcPr>
            <w:tcW w:w="5439" w:type="dxa"/>
            <w:gridSpan w:val="3"/>
            <w:vAlign w:val="center"/>
          </w:tcPr>
          <w:p>
            <w:pPr>
              <w:widowControl/>
              <w:spacing w:before="100" w:beforeAutospacing="1" w:after="100" w:afterAutospacing="1" w:line="300" w:lineRule="exact"/>
              <w:ind w:firstLine="210"/>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比选申请人响应情况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序号</w:t>
            </w:r>
          </w:p>
        </w:tc>
        <w:tc>
          <w:tcPr>
            <w:tcW w:w="3201" w:type="dxa"/>
            <w:vAlign w:val="center"/>
          </w:tcPr>
          <w:p>
            <w:pPr>
              <w:widowControl/>
              <w:spacing w:before="100" w:beforeAutospacing="1" w:after="100" w:afterAutospacing="1" w:line="300" w:lineRule="exact"/>
              <w:ind w:firstLine="21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比选邀请文件商务条款</w:t>
            </w:r>
          </w:p>
        </w:tc>
        <w:tc>
          <w:tcPr>
            <w:tcW w:w="3205"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比选申请人投标商务条款</w:t>
            </w:r>
          </w:p>
        </w:tc>
        <w:tc>
          <w:tcPr>
            <w:tcW w:w="1134"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是否偏离(有/无)</w:t>
            </w:r>
          </w:p>
        </w:tc>
        <w:tc>
          <w:tcPr>
            <w:tcW w:w="1100"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w:t>
            </w:r>
          </w:p>
        </w:tc>
        <w:tc>
          <w:tcPr>
            <w:tcW w:w="3201" w:type="dxa"/>
            <w:vMerge w:val="restart"/>
          </w:tcPr>
          <w:p>
            <w:pPr>
              <w:spacing w:line="360" w:lineRule="exact"/>
              <w:ind w:firstLine="210"/>
              <w:rPr>
                <w:rFonts w:cs="宋体" w:asciiTheme="minorEastAsia" w:hAnsiTheme="minorEastAsia" w:eastAsiaTheme="minorEastAsia"/>
                <w:kern w:val="0"/>
                <w:szCs w:val="21"/>
                <w:highlight w:val="none"/>
              </w:rPr>
            </w:pPr>
          </w:p>
          <w:p>
            <w:pPr>
              <w:spacing w:line="360" w:lineRule="exact"/>
              <w:ind w:firstLine="210"/>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详见《</w:t>
            </w:r>
            <w:r>
              <w:rPr>
                <w:rFonts w:hint="eastAsia" w:asciiTheme="minorEastAsia" w:hAnsiTheme="minorEastAsia" w:eastAsiaTheme="minorEastAsia"/>
                <w:szCs w:val="21"/>
                <w:highlight w:val="none"/>
              </w:rPr>
              <w:t>第四章商务条款》，</w:t>
            </w:r>
            <w:r>
              <w:rPr>
                <w:rFonts w:hint="eastAsia" w:asciiTheme="minorEastAsia" w:hAnsiTheme="minorEastAsia" w:eastAsiaTheme="minorEastAsia"/>
                <w:b/>
                <w:szCs w:val="21"/>
                <w:highlight w:val="none"/>
              </w:rPr>
              <w:t>逐条列入</w:t>
            </w:r>
          </w:p>
        </w:tc>
        <w:tc>
          <w:tcPr>
            <w:tcW w:w="3205"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w:t>
            </w:r>
          </w:p>
        </w:tc>
        <w:tc>
          <w:tcPr>
            <w:tcW w:w="3201" w:type="dxa"/>
            <w:vMerge w:val="continue"/>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3205"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8" w:type="dxa"/>
            <w:vAlign w:val="center"/>
          </w:tcPr>
          <w:p>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w:t>
            </w:r>
          </w:p>
        </w:tc>
        <w:tc>
          <w:tcPr>
            <w:tcW w:w="3201" w:type="dxa"/>
            <w:vMerge w:val="continue"/>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3205"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bl>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比选人承诺：除此表列出的，我方均响应比选邀请文件要求。</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填报说明：</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1.本表比选邀请文件商务要求来自于比选邀请文件</w:t>
      </w:r>
      <w:r>
        <w:rPr>
          <w:rFonts w:hint="eastAsia" w:cs="宋体" w:asciiTheme="minorEastAsia" w:hAnsiTheme="minorEastAsia" w:eastAsiaTheme="minorEastAsia"/>
          <w:kern w:val="0"/>
          <w:szCs w:val="21"/>
          <w:highlight w:val="none"/>
        </w:rPr>
        <w:t>《</w:t>
      </w:r>
      <w:r>
        <w:rPr>
          <w:rFonts w:hint="eastAsia" w:asciiTheme="minorEastAsia" w:hAnsiTheme="minorEastAsia" w:eastAsiaTheme="minorEastAsia"/>
          <w:szCs w:val="21"/>
          <w:highlight w:val="none"/>
        </w:rPr>
        <w:t>第四章商务条款》</w:t>
      </w:r>
      <w:r>
        <w:rPr>
          <w:rFonts w:hint="eastAsia" w:asciiTheme="minorEastAsia" w:hAnsiTheme="minorEastAsia" w:eastAsiaTheme="minorEastAsia"/>
          <w:highlight w:val="none"/>
        </w:rPr>
        <w:t>，比选申请人须</w:t>
      </w:r>
      <w:r>
        <w:rPr>
          <w:rFonts w:hint="eastAsia" w:asciiTheme="minorEastAsia" w:hAnsiTheme="minorEastAsia" w:eastAsiaTheme="minorEastAsia"/>
          <w:b/>
          <w:highlight w:val="none"/>
        </w:rPr>
        <w:t>逐条</w:t>
      </w:r>
      <w:r>
        <w:rPr>
          <w:rFonts w:hint="eastAsia" w:asciiTheme="minorEastAsia" w:hAnsiTheme="minorEastAsia" w:eastAsiaTheme="minorEastAsia"/>
          <w:highlight w:val="none"/>
        </w:rPr>
        <w:t>对照填写在《比选申请人响应情况》下的三列中。</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2. 《是否偏离》栏，填有的可以在其后《偏离说明》栏中说明理由。</w:t>
      </w:r>
    </w:p>
    <w:p>
      <w:pPr>
        <w:spacing w:line="360" w:lineRule="exact"/>
        <w:rPr>
          <w:rFonts w:asciiTheme="minorEastAsia" w:hAnsiTheme="minorEastAsia" w:eastAsiaTheme="minorEastAsia"/>
          <w:highlight w:val="none"/>
        </w:rPr>
      </w:pPr>
      <w:r>
        <w:rPr>
          <w:rFonts w:hint="eastAsia" w:asciiTheme="minorEastAsia" w:hAnsiTheme="minorEastAsia" w:eastAsiaTheme="minorEastAsia"/>
          <w:b/>
          <w:highlight w:val="none"/>
        </w:rPr>
        <w:t>3.比选条款前加“*”项为不可偏离项，如果“*”项遗漏、不填或者负偏离将导致废标。</w:t>
      </w:r>
    </w:p>
    <w:p>
      <w:pPr>
        <w:spacing w:before="312" w:beforeLines="100" w:after="312" w:afterLines="10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比选申请人代表签字：</w:t>
      </w:r>
    </w:p>
    <w:p>
      <w:pPr>
        <w:spacing w:before="312" w:beforeLines="100" w:after="312" w:afterLines="10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单位盖章：</w:t>
      </w: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比选设备技术性能指标的详细描述及技术支持资料</w:t>
      </w: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技术服务和质保期服务计划</w:t>
      </w: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rPr>
          <w:rFonts w:asciiTheme="minorEastAsia" w:hAnsiTheme="minorEastAsia" w:eastAsiaTheme="minorEastAsia"/>
          <w:b/>
          <w:sz w:val="24"/>
          <w:szCs w:val="24"/>
          <w:highlight w:val="none"/>
        </w:rPr>
      </w:pP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其他资料</w:t>
      </w:r>
    </w:p>
    <w:p>
      <w:pPr>
        <w:spacing w:before="156" w:beforeLines="50" w:after="156" w:afterLines="50" w:line="360" w:lineRule="exact"/>
        <w:ind w:firstLine="210" w:firstLineChars="10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（以下资料比选申请人视情况编写）</w:t>
      </w:r>
    </w:p>
    <w:p>
      <w:pPr>
        <w:pStyle w:val="49"/>
        <w:numPr>
          <w:ilvl w:val="0"/>
          <w:numId w:val="11"/>
        </w:numPr>
        <w:spacing w:line="400" w:lineRule="exact"/>
        <w:ind w:firstLineChars="0"/>
        <w:rPr>
          <w:sz w:val="21"/>
          <w:szCs w:val="21"/>
          <w:highlight w:val="none"/>
        </w:rPr>
      </w:pPr>
      <w:r>
        <w:rPr>
          <w:rFonts w:hint="eastAsia"/>
          <w:sz w:val="21"/>
          <w:szCs w:val="21"/>
          <w:highlight w:val="none"/>
        </w:rPr>
        <w:t>公司概况：包括经营、销售、技术、服务能力等。</w:t>
      </w:r>
    </w:p>
    <w:p>
      <w:pPr>
        <w:pStyle w:val="49"/>
        <w:numPr>
          <w:ilvl w:val="0"/>
          <w:numId w:val="11"/>
        </w:numPr>
        <w:spacing w:line="400" w:lineRule="exact"/>
        <w:ind w:firstLineChars="0"/>
        <w:rPr>
          <w:sz w:val="21"/>
          <w:szCs w:val="21"/>
          <w:highlight w:val="none"/>
        </w:rPr>
      </w:pPr>
      <w:r>
        <w:rPr>
          <w:rFonts w:hint="eastAsia"/>
          <w:sz w:val="21"/>
          <w:szCs w:val="21"/>
          <w:highlight w:val="none"/>
        </w:rPr>
        <w:t>基本账户开户许可证或由基本账户银行出具的基本账户信息证明(必须提供)。</w:t>
      </w:r>
    </w:p>
    <w:p>
      <w:pPr>
        <w:pStyle w:val="49"/>
        <w:numPr>
          <w:ilvl w:val="0"/>
          <w:numId w:val="11"/>
        </w:numPr>
        <w:spacing w:line="400" w:lineRule="exact"/>
        <w:ind w:firstLineChars="0"/>
        <w:rPr>
          <w:sz w:val="21"/>
          <w:szCs w:val="21"/>
          <w:highlight w:val="none"/>
        </w:rPr>
      </w:pPr>
      <w:r>
        <w:rPr>
          <w:rFonts w:hint="eastAsia"/>
          <w:sz w:val="21"/>
          <w:szCs w:val="21"/>
          <w:highlight w:val="none"/>
        </w:rPr>
        <w:t>制造商取得的各种行业注册证、许可证、质量体系认证等。</w:t>
      </w:r>
    </w:p>
    <w:p>
      <w:pPr>
        <w:pStyle w:val="49"/>
        <w:numPr>
          <w:ilvl w:val="0"/>
          <w:numId w:val="11"/>
        </w:numPr>
        <w:spacing w:line="400" w:lineRule="exact"/>
        <w:ind w:firstLineChars="0"/>
        <w:rPr>
          <w:sz w:val="21"/>
          <w:szCs w:val="21"/>
          <w:highlight w:val="none"/>
        </w:rPr>
      </w:pPr>
      <w:r>
        <w:rPr>
          <w:rFonts w:hint="eastAsia"/>
          <w:sz w:val="21"/>
          <w:szCs w:val="21"/>
          <w:highlight w:val="none"/>
        </w:rPr>
        <w:t>同类项目经验（包括同规格、近似规格项目、同类用途项目），提供同类项目国内用户清单（用户名、地址、型号规格、电话、联系人）。</w:t>
      </w:r>
    </w:p>
    <w:p>
      <w:pPr>
        <w:pStyle w:val="49"/>
        <w:numPr>
          <w:ilvl w:val="0"/>
          <w:numId w:val="11"/>
        </w:numPr>
        <w:spacing w:line="400" w:lineRule="exact"/>
        <w:ind w:firstLineChars="0"/>
        <w:rPr>
          <w:sz w:val="21"/>
          <w:szCs w:val="21"/>
          <w:highlight w:val="none"/>
        </w:rPr>
      </w:pPr>
      <w:r>
        <w:rPr>
          <w:rFonts w:hint="eastAsia"/>
          <w:sz w:val="21"/>
          <w:szCs w:val="21"/>
          <w:highlight w:val="none"/>
        </w:rPr>
        <w:t>比选人提供的其他资料。</w:t>
      </w:r>
    </w:p>
    <w:p>
      <w:pPr>
        <w:spacing w:line="400" w:lineRule="exact"/>
        <w:rPr>
          <w:szCs w:val="21"/>
          <w:highlight w:val="none"/>
        </w:rPr>
      </w:pPr>
      <w:r>
        <w:rPr>
          <w:rFonts w:hint="eastAsia" w:ascii="宋体" w:hAnsi="宋体"/>
          <w:szCs w:val="21"/>
          <w:highlight w:val="none"/>
        </w:rPr>
        <w:t>……</w:t>
      </w: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廉洁承诺书</w:t>
      </w:r>
    </w:p>
    <w:p>
      <w:pPr>
        <w:spacing w:line="400" w:lineRule="exact"/>
        <w:ind w:firstLine="583" w:firstLineChars="278"/>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本单位向航空工业成都凯天电子股份有限公司（以下简称“航空工业凯天”）作出以下郑重承诺：</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一、本单位不以任何理由向航空工业凯天工作人员赠送礼金、有价证券、回扣、好处费、感谢费、选型费、商务礼品等。</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二、本单位不以任何理由向航空工业凯天工作人员支付本应其自身承担的费用，含装修个人住房、代办婚丧嫁娶酒宴、安排配偶子女工作、安排出国（境）旅游、长期提供交通工具等。</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三、本单位不以任何理由组织航空工业凯天工作人员参加有可能影响公正执行公务的宴请、健身、娱乐等活动。</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四、本单位不以任何理由向航空工业凯天工作人员提供上述形式外的其它有违廉洁从业规定的商业贿赂，不以任何理由、任何形式对航空工业凯天工作人员实施腐败行为。</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五、本单位有义务告知与航空工业凯天可能存在利益冲突的情形（包括但不限于航空工业凯天领导人员的配偶、子女和其他特定关系人是本单位员工的情形）。</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六、本单位不得实施下列侵犯航空工业凯天合法权益（如商业秘密）的行为：</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1.以盗窃、贿赂、欺诈、胁迫、电子侵入或者其他不正当手段获取航空工业凯天合法权益；</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2.披露、使用或者允许他人使用以前项手段获取的航空工业凯天合法权益；</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3.违反法定或约定义务或者违反航空工业凯天有关要求，披露、使用或者允许他人使用其所掌握的航空工业凯天合法权益；</w:t>
      </w:r>
    </w:p>
    <w:p>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4.教唆、引诱、帮助他人违反法定或约定义务或者违反航空工业凯天有关要求，获取、披露、使用或者允许他人使用航空工业凯天合法权益。</w:t>
      </w:r>
    </w:p>
    <w:p>
      <w:pPr>
        <w:spacing w:line="400" w:lineRule="exact"/>
        <w:ind w:firstLine="420" w:firstLineChars="20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本单位若违反前述承诺内容，航空工业凯天有权拒绝与本单位签订合同或单方解除双方未履行或正在履行的经济合同，并要求本单位承担违约金、赔偿损失等法律责任。本单位与航空工业凯天在合作期间，若航空工业凯天工作人员以索取“好处”为要挟，本单位将及时保留证据并向航空工业凯天举报。航空工业凯天对其工作人员的廉洁从业行为进行调查核实的，本单位将全力配合。</w:t>
      </w:r>
    </w:p>
    <w:p>
      <w:pPr>
        <w:spacing w:before="156" w:after="156" w:line="400" w:lineRule="exact"/>
        <w:ind w:firstLine="3990" w:firstLineChars="1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承诺人（投标单位名称）：</w:t>
      </w:r>
    </w:p>
    <w:p>
      <w:pPr>
        <w:spacing w:before="156" w:after="156" w:line="400" w:lineRule="exact"/>
        <w:ind w:firstLine="4620" w:firstLineChars="2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（投标单位公章）</w:t>
      </w:r>
    </w:p>
    <w:p>
      <w:pPr>
        <w:rPr>
          <w:rFonts w:asciiTheme="minorEastAsia" w:hAnsiTheme="minorEastAsia" w:eastAsiaTheme="minorEastAsia"/>
          <w:szCs w:val="21"/>
          <w:highlight w:val="none"/>
        </w:rPr>
      </w:pPr>
    </w:p>
    <w:p>
      <w:pPr>
        <w:rPr>
          <w:rFonts w:asciiTheme="minorEastAsia" w:hAnsiTheme="minorEastAsia" w:eastAsiaTheme="minorEastAsia"/>
          <w:szCs w:val="21"/>
          <w:highlight w:val="none"/>
        </w:rPr>
      </w:pPr>
    </w:p>
    <w:p>
      <w:pPr>
        <w:pStyle w:val="49"/>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单位负责人、股东及高管的亲属和其他特定关系人</w:t>
      </w:r>
    </w:p>
    <w:p>
      <w:pPr>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在凯天公司或凯天所属单位任职情况申报表</w:t>
      </w:r>
    </w:p>
    <w:p>
      <w:pPr>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单位名称（公章）：</w:t>
      </w:r>
    </w:p>
    <w:tbl>
      <w:tblPr>
        <w:tblStyle w:val="30"/>
        <w:tblW w:w="925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3"/>
        <w:gridCol w:w="1079"/>
        <w:gridCol w:w="1539"/>
        <w:gridCol w:w="1848"/>
        <w:gridCol w:w="1541"/>
        <w:gridCol w:w="1232"/>
        <w:gridCol w:w="12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6" w:hRule="atLeast"/>
          <w:jc w:val="center"/>
        </w:trPr>
        <w:tc>
          <w:tcPr>
            <w:tcW w:w="733" w:type="dxa"/>
            <w:vMerge w:val="restart"/>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序号</w:t>
            </w:r>
          </w:p>
        </w:tc>
        <w:tc>
          <w:tcPr>
            <w:tcW w:w="1079" w:type="dxa"/>
            <w:vMerge w:val="restart"/>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p>
        </w:tc>
        <w:tc>
          <w:tcPr>
            <w:tcW w:w="1539" w:type="dxa"/>
            <w:vMerge w:val="restart"/>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单位及职务</w:t>
            </w:r>
          </w:p>
        </w:tc>
        <w:tc>
          <w:tcPr>
            <w:tcW w:w="1848" w:type="dxa"/>
            <w:vMerge w:val="restart"/>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亲属或其他特定关系人姓名</w:t>
            </w:r>
          </w:p>
        </w:tc>
        <w:tc>
          <w:tcPr>
            <w:tcW w:w="1541" w:type="dxa"/>
            <w:vMerge w:val="restart"/>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与负责人及高管的关系</w:t>
            </w:r>
          </w:p>
        </w:tc>
        <w:tc>
          <w:tcPr>
            <w:tcW w:w="2518" w:type="dxa"/>
            <w:gridSpan w:val="2"/>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在凯天公司或所属企业任职情况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vMerge w:val="continue"/>
            <w:vAlign w:val="center"/>
          </w:tcPr>
          <w:p>
            <w:pPr>
              <w:spacing w:line="440" w:lineRule="exact"/>
              <w:jc w:val="center"/>
              <w:rPr>
                <w:rFonts w:asciiTheme="minorEastAsia" w:hAnsiTheme="minorEastAsia" w:eastAsiaTheme="minorEastAsia"/>
                <w:szCs w:val="21"/>
                <w:highlight w:val="none"/>
              </w:rPr>
            </w:pPr>
          </w:p>
        </w:tc>
        <w:tc>
          <w:tcPr>
            <w:tcW w:w="1079" w:type="dxa"/>
            <w:vMerge w:val="continue"/>
            <w:vAlign w:val="center"/>
          </w:tcPr>
          <w:p>
            <w:pPr>
              <w:spacing w:line="440" w:lineRule="exact"/>
              <w:jc w:val="center"/>
              <w:rPr>
                <w:rFonts w:asciiTheme="minorEastAsia" w:hAnsiTheme="minorEastAsia" w:eastAsiaTheme="minorEastAsia"/>
                <w:szCs w:val="21"/>
                <w:highlight w:val="none"/>
              </w:rPr>
            </w:pPr>
          </w:p>
        </w:tc>
        <w:tc>
          <w:tcPr>
            <w:tcW w:w="1539" w:type="dxa"/>
            <w:vMerge w:val="continue"/>
            <w:vAlign w:val="center"/>
          </w:tcPr>
          <w:p>
            <w:pPr>
              <w:spacing w:line="440" w:lineRule="exact"/>
              <w:jc w:val="center"/>
              <w:rPr>
                <w:rFonts w:asciiTheme="minorEastAsia" w:hAnsiTheme="minorEastAsia" w:eastAsiaTheme="minorEastAsia"/>
                <w:szCs w:val="21"/>
                <w:highlight w:val="none"/>
              </w:rPr>
            </w:pPr>
          </w:p>
        </w:tc>
        <w:tc>
          <w:tcPr>
            <w:tcW w:w="1848" w:type="dxa"/>
            <w:vMerge w:val="continue"/>
            <w:vAlign w:val="center"/>
          </w:tcPr>
          <w:p>
            <w:pPr>
              <w:spacing w:line="440" w:lineRule="exact"/>
              <w:jc w:val="center"/>
              <w:rPr>
                <w:rFonts w:asciiTheme="minorEastAsia" w:hAnsiTheme="minorEastAsia" w:eastAsiaTheme="minorEastAsia"/>
                <w:szCs w:val="21"/>
                <w:highlight w:val="none"/>
              </w:rPr>
            </w:pPr>
          </w:p>
        </w:tc>
        <w:tc>
          <w:tcPr>
            <w:tcW w:w="1541" w:type="dxa"/>
            <w:vMerge w:val="continue"/>
            <w:vAlign w:val="center"/>
          </w:tcPr>
          <w:p>
            <w:pPr>
              <w:spacing w:line="440" w:lineRule="exact"/>
              <w:jc w:val="center"/>
              <w:rPr>
                <w:rFonts w:asciiTheme="minorEastAsia" w:hAnsiTheme="minorEastAsia" w:eastAsiaTheme="minorEastAsia"/>
                <w:szCs w:val="21"/>
                <w:highlight w:val="none"/>
              </w:rPr>
            </w:pPr>
          </w:p>
        </w:tc>
        <w:tc>
          <w:tcPr>
            <w:tcW w:w="1232" w:type="dxa"/>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w:t>
            </w:r>
          </w:p>
        </w:tc>
        <w:tc>
          <w:tcPr>
            <w:tcW w:w="1286" w:type="dxa"/>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岗位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tcPr>
          <w:p>
            <w:pPr>
              <w:spacing w:line="440" w:lineRule="exact"/>
              <w:jc w:val="center"/>
              <w:rPr>
                <w:rFonts w:asciiTheme="minorEastAsia" w:hAnsiTheme="minorEastAsia" w:eastAsiaTheme="minorEastAsia"/>
                <w:szCs w:val="21"/>
                <w:highlight w:val="none"/>
              </w:rPr>
            </w:pPr>
          </w:p>
        </w:tc>
        <w:tc>
          <w:tcPr>
            <w:tcW w:w="1079" w:type="dxa"/>
          </w:tcPr>
          <w:p>
            <w:pPr>
              <w:spacing w:line="440" w:lineRule="exact"/>
              <w:jc w:val="center"/>
              <w:rPr>
                <w:rFonts w:asciiTheme="minorEastAsia" w:hAnsiTheme="minorEastAsia" w:eastAsiaTheme="minorEastAsia"/>
                <w:szCs w:val="21"/>
                <w:highlight w:val="none"/>
              </w:rPr>
            </w:pPr>
          </w:p>
        </w:tc>
        <w:tc>
          <w:tcPr>
            <w:tcW w:w="1539" w:type="dxa"/>
          </w:tcPr>
          <w:p>
            <w:pPr>
              <w:spacing w:line="440" w:lineRule="exact"/>
              <w:jc w:val="center"/>
              <w:rPr>
                <w:rFonts w:asciiTheme="minorEastAsia" w:hAnsiTheme="minorEastAsia" w:eastAsiaTheme="minorEastAsia"/>
                <w:szCs w:val="21"/>
                <w:highlight w:val="none"/>
              </w:rPr>
            </w:pPr>
          </w:p>
        </w:tc>
        <w:tc>
          <w:tcPr>
            <w:tcW w:w="1848" w:type="dxa"/>
          </w:tcPr>
          <w:p>
            <w:pPr>
              <w:spacing w:line="440" w:lineRule="exact"/>
              <w:jc w:val="center"/>
              <w:rPr>
                <w:rFonts w:asciiTheme="minorEastAsia" w:hAnsiTheme="minorEastAsia" w:eastAsiaTheme="minorEastAsia"/>
                <w:szCs w:val="21"/>
                <w:highlight w:val="none"/>
              </w:rPr>
            </w:pPr>
          </w:p>
        </w:tc>
        <w:tc>
          <w:tcPr>
            <w:tcW w:w="1541" w:type="dxa"/>
          </w:tcPr>
          <w:p>
            <w:pPr>
              <w:spacing w:line="440" w:lineRule="exact"/>
              <w:jc w:val="center"/>
              <w:rPr>
                <w:rFonts w:asciiTheme="minorEastAsia" w:hAnsiTheme="minorEastAsia" w:eastAsiaTheme="minorEastAsia"/>
                <w:szCs w:val="21"/>
                <w:highlight w:val="none"/>
              </w:rPr>
            </w:pPr>
          </w:p>
        </w:tc>
        <w:tc>
          <w:tcPr>
            <w:tcW w:w="1232" w:type="dxa"/>
          </w:tcPr>
          <w:p>
            <w:pPr>
              <w:spacing w:line="440" w:lineRule="exact"/>
              <w:jc w:val="center"/>
              <w:rPr>
                <w:rFonts w:asciiTheme="minorEastAsia" w:hAnsiTheme="minorEastAsia" w:eastAsiaTheme="minorEastAsia"/>
                <w:szCs w:val="21"/>
                <w:highlight w:val="none"/>
              </w:rPr>
            </w:pPr>
          </w:p>
        </w:tc>
        <w:tc>
          <w:tcPr>
            <w:tcW w:w="1286" w:type="dxa"/>
          </w:tcPr>
          <w:p>
            <w:pPr>
              <w:spacing w:line="440" w:lineRule="exact"/>
              <w:jc w:val="center"/>
              <w:rPr>
                <w:rFonts w:asciiTheme="minorEastAsia" w:hAnsiTheme="minorEastAsia" w:eastAsia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tcPr>
          <w:p>
            <w:pPr>
              <w:spacing w:line="440" w:lineRule="exact"/>
              <w:jc w:val="center"/>
              <w:rPr>
                <w:rFonts w:asciiTheme="minorEastAsia" w:hAnsiTheme="minorEastAsia" w:eastAsiaTheme="minorEastAsia"/>
                <w:szCs w:val="21"/>
                <w:highlight w:val="none"/>
              </w:rPr>
            </w:pPr>
          </w:p>
        </w:tc>
        <w:tc>
          <w:tcPr>
            <w:tcW w:w="1079" w:type="dxa"/>
          </w:tcPr>
          <w:p>
            <w:pPr>
              <w:spacing w:line="440" w:lineRule="exact"/>
              <w:jc w:val="center"/>
              <w:rPr>
                <w:rFonts w:asciiTheme="minorEastAsia" w:hAnsiTheme="minorEastAsia" w:eastAsiaTheme="minorEastAsia"/>
                <w:szCs w:val="21"/>
                <w:highlight w:val="none"/>
              </w:rPr>
            </w:pPr>
          </w:p>
        </w:tc>
        <w:tc>
          <w:tcPr>
            <w:tcW w:w="1539" w:type="dxa"/>
          </w:tcPr>
          <w:p>
            <w:pPr>
              <w:spacing w:line="440" w:lineRule="exact"/>
              <w:jc w:val="center"/>
              <w:rPr>
                <w:rFonts w:asciiTheme="minorEastAsia" w:hAnsiTheme="minorEastAsia" w:eastAsiaTheme="minorEastAsia"/>
                <w:szCs w:val="21"/>
                <w:highlight w:val="none"/>
              </w:rPr>
            </w:pPr>
          </w:p>
        </w:tc>
        <w:tc>
          <w:tcPr>
            <w:tcW w:w="1848" w:type="dxa"/>
          </w:tcPr>
          <w:p>
            <w:pPr>
              <w:spacing w:line="440" w:lineRule="exact"/>
              <w:jc w:val="center"/>
              <w:rPr>
                <w:rFonts w:asciiTheme="minorEastAsia" w:hAnsiTheme="minorEastAsia" w:eastAsiaTheme="minorEastAsia"/>
                <w:szCs w:val="21"/>
                <w:highlight w:val="none"/>
              </w:rPr>
            </w:pPr>
          </w:p>
        </w:tc>
        <w:tc>
          <w:tcPr>
            <w:tcW w:w="1541" w:type="dxa"/>
          </w:tcPr>
          <w:p>
            <w:pPr>
              <w:spacing w:line="440" w:lineRule="exact"/>
              <w:jc w:val="center"/>
              <w:rPr>
                <w:rFonts w:asciiTheme="minorEastAsia" w:hAnsiTheme="minorEastAsia" w:eastAsiaTheme="minorEastAsia"/>
                <w:szCs w:val="21"/>
                <w:highlight w:val="none"/>
              </w:rPr>
            </w:pPr>
          </w:p>
        </w:tc>
        <w:tc>
          <w:tcPr>
            <w:tcW w:w="1232" w:type="dxa"/>
          </w:tcPr>
          <w:p>
            <w:pPr>
              <w:spacing w:line="440" w:lineRule="exact"/>
              <w:jc w:val="center"/>
              <w:rPr>
                <w:rFonts w:asciiTheme="minorEastAsia" w:hAnsiTheme="minorEastAsia" w:eastAsiaTheme="minorEastAsia"/>
                <w:szCs w:val="21"/>
                <w:highlight w:val="none"/>
              </w:rPr>
            </w:pPr>
          </w:p>
        </w:tc>
        <w:tc>
          <w:tcPr>
            <w:tcW w:w="1286" w:type="dxa"/>
          </w:tcPr>
          <w:p>
            <w:pPr>
              <w:spacing w:line="440" w:lineRule="exact"/>
              <w:jc w:val="center"/>
              <w:rPr>
                <w:rFonts w:asciiTheme="minorEastAsia" w:hAnsiTheme="minorEastAsia" w:eastAsia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tcPr>
          <w:p>
            <w:pPr>
              <w:spacing w:line="440" w:lineRule="exact"/>
              <w:jc w:val="center"/>
              <w:rPr>
                <w:rFonts w:asciiTheme="minorEastAsia" w:hAnsiTheme="minorEastAsia" w:eastAsiaTheme="minorEastAsia"/>
                <w:szCs w:val="21"/>
                <w:highlight w:val="none"/>
              </w:rPr>
            </w:pPr>
          </w:p>
        </w:tc>
        <w:tc>
          <w:tcPr>
            <w:tcW w:w="1079" w:type="dxa"/>
          </w:tcPr>
          <w:p>
            <w:pPr>
              <w:spacing w:line="440" w:lineRule="exact"/>
              <w:jc w:val="center"/>
              <w:rPr>
                <w:rFonts w:asciiTheme="minorEastAsia" w:hAnsiTheme="minorEastAsia" w:eastAsiaTheme="minorEastAsia"/>
                <w:szCs w:val="21"/>
                <w:highlight w:val="none"/>
              </w:rPr>
            </w:pPr>
          </w:p>
        </w:tc>
        <w:tc>
          <w:tcPr>
            <w:tcW w:w="1539" w:type="dxa"/>
          </w:tcPr>
          <w:p>
            <w:pPr>
              <w:spacing w:line="440" w:lineRule="exact"/>
              <w:jc w:val="center"/>
              <w:rPr>
                <w:rFonts w:asciiTheme="minorEastAsia" w:hAnsiTheme="minorEastAsia" w:eastAsiaTheme="minorEastAsia"/>
                <w:szCs w:val="21"/>
                <w:highlight w:val="none"/>
              </w:rPr>
            </w:pPr>
          </w:p>
        </w:tc>
        <w:tc>
          <w:tcPr>
            <w:tcW w:w="1848" w:type="dxa"/>
          </w:tcPr>
          <w:p>
            <w:pPr>
              <w:spacing w:line="440" w:lineRule="exact"/>
              <w:jc w:val="center"/>
              <w:rPr>
                <w:rFonts w:asciiTheme="minorEastAsia" w:hAnsiTheme="minorEastAsia" w:eastAsiaTheme="minorEastAsia"/>
                <w:szCs w:val="21"/>
                <w:highlight w:val="none"/>
              </w:rPr>
            </w:pPr>
          </w:p>
        </w:tc>
        <w:tc>
          <w:tcPr>
            <w:tcW w:w="1541" w:type="dxa"/>
          </w:tcPr>
          <w:p>
            <w:pPr>
              <w:spacing w:line="440" w:lineRule="exact"/>
              <w:jc w:val="center"/>
              <w:rPr>
                <w:rFonts w:asciiTheme="minorEastAsia" w:hAnsiTheme="minorEastAsia" w:eastAsiaTheme="minorEastAsia"/>
                <w:szCs w:val="21"/>
                <w:highlight w:val="none"/>
              </w:rPr>
            </w:pPr>
          </w:p>
        </w:tc>
        <w:tc>
          <w:tcPr>
            <w:tcW w:w="1232" w:type="dxa"/>
          </w:tcPr>
          <w:p>
            <w:pPr>
              <w:spacing w:line="440" w:lineRule="exact"/>
              <w:jc w:val="center"/>
              <w:rPr>
                <w:rFonts w:asciiTheme="minorEastAsia" w:hAnsiTheme="minorEastAsia" w:eastAsiaTheme="minorEastAsia"/>
                <w:szCs w:val="21"/>
                <w:highlight w:val="none"/>
              </w:rPr>
            </w:pPr>
          </w:p>
        </w:tc>
        <w:tc>
          <w:tcPr>
            <w:tcW w:w="1286" w:type="dxa"/>
          </w:tcPr>
          <w:p>
            <w:pPr>
              <w:spacing w:line="440" w:lineRule="exact"/>
              <w:jc w:val="center"/>
              <w:rPr>
                <w:rFonts w:asciiTheme="minorEastAsia" w:hAnsiTheme="minorEastAsia" w:eastAsia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tcPr>
          <w:p>
            <w:pPr>
              <w:spacing w:line="440" w:lineRule="exact"/>
              <w:jc w:val="center"/>
              <w:rPr>
                <w:rFonts w:asciiTheme="minorEastAsia" w:hAnsiTheme="minorEastAsia" w:eastAsiaTheme="minorEastAsia"/>
                <w:szCs w:val="21"/>
                <w:highlight w:val="none"/>
              </w:rPr>
            </w:pPr>
          </w:p>
        </w:tc>
        <w:tc>
          <w:tcPr>
            <w:tcW w:w="1079" w:type="dxa"/>
          </w:tcPr>
          <w:p>
            <w:pPr>
              <w:spacing w:line="440" w:lineRule="exact"/>
              <w:jc w:val="center"/>
              <w:rPr>
                <w:rFonts w:asciiTheme="minorEastAsia" w:hAnsiTheme="minorEastAsia" w:eastAsiaTheme="minorEastAsia"/>
                <w:szCs w:val="21"/>
                <w:highlight w:val="none"/>
              </w:rPr>
            </w:pPr>
          </w:p>
        </w:tc>
        <w:tc>
          <w:tcPr>
            <w:tcW w:w="1539" w:type="dxa"/>
          </w:tcPr>
          <w:p>
            <w:pPr>
              <w:spacing w:line="440" w:lineRule="exact"/>
              <w:jc w:val="center"/>
              <w:rPr>
                <w:rFonts w:asciiTheme="minorEastAsia" w:hAnsiTheme="minorEastAsia" w:eastAsiaTheme="minorEastAsia"/>
                <w:szCs w:val="21"/>
                <w:highlight w:val="none"/>
              </w:rPr>
            </w:pPr>
          </w:p>
        </w:tc>
        <w:tc>
          <w:tcPr>
            <w:tcW w:w="1848" w:type="dxa"/>
          </w:tcPr>
          <w:p>
            <w:pPr>
              <w:spacing w:line="440" w:lineRule="exact"/>
              <w:jc w:val="center"/>
              <w:rPr>
                <w:rFonts w:asciiTheme="minorEastAsia" w:hAnsiTheme="minorEastAsia" w:eastAsiaTheme="minorEastAsia"/>
                <w:szCs w:val="21"/>
                <w:highlight w:val="none"/>
              </w:rPr>
            </w:pPr>
          </w:p>
        </w:tc>
        <w:tc>
          <w:tcPr>
            <w:tcW w:w="1541" w:type="dxa"/>
          </w:tcPr>
          <w:p>
            <w:pPr>
              <w:spacing w:line="440" w:lineRule="exact"/>
              <w:jc w:val="center"/>
              <w:rPr>
                <w:rFonts w:asciiTheme="minorEastAsia" w:hAnsiTheme="minorEastAsia" w:eastAsiaTheme="minorEastAsia"/>
                <w:szCs w:val="21"/>
                <w:highlight w:val="none"/>
              </w:rPr>
            </w:pPr>
          </w:p>
        </w:tc>
        <w:tc>
          <w:tcPr>
            <w:tcW w:w="1232" w:type="dxa"/>
          </w:tcPr>
          <w:p>
            <w:pPr>
              <w:spacing w:line="440" w:lineRule="exact"/>
              <w:jc w:val="center"/>
              <w:rPr>
                <w:rFonts w:asciiTheme="minorEastAsia" w:hAnsiTheme="minorEastAsia" w:eastAsiaTheme="minorEastAsia"/>
                <w:szCs w:val="21"/>
                <w:highlight w:val="none"/>
              </w:rPr>
            </w:pPr>
          </w:p>
        </w:tc>
        <w:tc>
          <w:tcPr>
            <w:tcW w:w="1286" w:type="dxa"/>
          </w:tcPr>
          <w:p>
            <w:pPr>
              <w:spacing w:line="440" w:lineRule="exact"/>
              <w:jc w:val="center"/>
              <w:rPr>
                <w:rFonts w:asciiTheme="minorEastAsia" w:hAnsiTheme="minorEastAsia" w:eastAsia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tcPr>
          <w:p>
            <w:pPr>
              <w:spacing w:line="440" w:lineRule="exact"/>
              <w:jc w:val="center"/>
              <w:rPr>
                <w:rFonts w:asciiTheme="minorEastAsia" w:hAnsiTheme="minorEastAsia" w:eastAsiaTheme="minorEastAsia"/>
                <w:szCs w:val="21"/>
                <w:highlight w:val="none"/>
              </w:rPr>
            </w:pPr>
          </w:p>
        </w:tc>
        <w:tc>
          <w:tcPr>
            <w:tcW w:w="1079" w:type="dxa"/>
          </w:tcPr>
          <w:p>
            <w:pPr>
              <w:spacing w:line="440" w:lineRule="exact"/>
              <w:jc w:val="center"/>
              <w:rPr>
                <w:rFonts w:asciiTheme="minorEastAsia" w:hAnsiTheme="minorEastAsia" w:eastAsiaTheme="minorEastAsia"/>
                <w:szCs w:val="21"/>
                <w:highlight w:val="none"/>
              </w:rPr>
            </w:pPr>
          </w:p>
        </w:tc>
        <w:tc>
          <w:tcPr>
            <w:tcW w:w="1539" w:type="dxa"/>
          </w:tcPr>
          <w:p>
            <w:pPr>
              <w:spacing w:line="440" w:lineRule="exact"/>
              <w:jc w:val="center"/>
              <w:rPr>
                <w:rFonts w:asciiTheme="minorEastAsia" w:hAnsiTheme="minorEastAsia" w:eastAsiaTheme="minorEastAsia"/>
                <w:szCs w:val="21"/>
                <w:highlight w:val="none"/>
              </w:rPr>
            </w:pPr>
          </w:p>
        </w:tc>
        <w:tc>
          <w:tcPr>
            <w:tcW w:w="1848" w:type="dxa"/>
          </w:tcPr>
          <w:p>
            <w:pPr>
              <w:spacing w:line="440" w:lineRule="exact"/>
              <w:jc w:val="center"/>
              <w:rPr>
                <w:rFonts w:asciiTheme="minorEastAsia" w:hAnsiTheme="minorEastAsia" w:eastAsiaTheme="minorEastAsia"/>
                <w:szCs w:val="21"/>
                <w:highlight w:val="none"/>
              </w:rPr>
            </w:pPr>
          </w:p>
        </w:tc>
        <w:tc>
          <w:tcPr>
            <w:tcW w:w="1541" w:type="dxa"/>
          </w:tcPr>
          <w:p>
            <w:pPr>
              <w:spacing w:line="440" w:lineRule="exact"/>
              <w:jc w:val="center"/>
              <w:rPr>
                <w:rFonts w:asciiTheme="minorEastAsia" w:hAnsiTheme="minorEastAsia" w:eastAsiaTheme="minorEastAsia"/>
                <w:szCs w:val="21"/>
                <w:highlight w:val="none"/>
              </w:rPr>
            </w:pPr>
          </w:p>
        </w:tc>
        <w:tc>
          <w:tcPr>
            <w:tcW w:w="1232" w:type="dxa"/>
          </w:tcPr>
          <w:p>
            <w:pPr>
              <w:spacing w:line="440" w:lineRule="exact"/>
              <w:jc w:val="center"/>
              <w:rPr>
                <w:rFonts w:asciiTheme="minorEastAsia" w:hAnsiTheme="minorEastAsia" w:eastAsiaTheme="minorEastAsia"/>
                <w:szCs w:val="21"/>
                <w:highlight w:val="none"/>
              </w:rPr>
            </w:pPr>
          </w:p>
        </w:tc>
        <w:tc>
          <w:tcPr>
            <w:tcW w:w="1286" w:type="dxa"/>
          </w:tcPr>
          <w:p>
            <w:pPr>
              <w:spacing w:line="440" w:lineRule="exact"/>
              <w:jc w:val="center"/>
              <w:rPr>
                <w:rFonts w:asciiTheme="minorEastAsia" w:hAnsiTheme="minorEastAsia" w:eastAsia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tcPr>
          <w:p>
            <w:pPr>
              <w:spacing w:line="440" w:lineRule="exact"/>
              <w:jc w:val="center"/>
              <w:rPr>
                <w:rFonts w:asciiTheme="minorEastAsia" w:hAnsiTheme="minorEastAsia" w:eastAsiaTheme="minorEastAsia"/>
                <w:szCs w:val="21"/>
                <w:highlight w:val="none"/>
              </w:rPr>
            </w:pPr>
          </w:p>
        </w:tc>
        <w:tc>
          <w:tcPr>
            <w:tcW w:w="1079" w:type="dxa"/>
          </w:tcPr>
          <w:p>
            <w:pPr>
              <w:spacing w:line="440" w:lineRule="exact"/>
              <w:jc w:val="center"/>
              <w:rPr>
                <w:rFonts w:asciiTheme="minorEastAsia" w:hAnsiTheme="minorEastAsia" w:eastAsiaTheme="minorEastAsia"/>
                <w:szCs w:val="21"/>
                <w:highlight w:val="none"/>
              </w:rPr>
            </w:pPr>
          </w:p>
        </w:tc>
        <w:tc>
          <w:tcPr>
            <w:tcW w:w="1539" w:type="dxa"/>
          </w:tcPr>
          <w:p>
            <w:pPr>
              <w:spacing w:line="440" w:lineRule="exact"/>
              <w:jc w:val="center"/>
              <w:rPr>
                <w:rFonts w:asciiTheme="minorEastAsia" w:hAnsiTheme="minorEastAsia" w:eastAsiaTheme="minorEastAsia"/>
                <w:szCs w:val="21"/>
                <w:highlight w:val="none"/>
              </w:rPr>
            </w:pPr>
          </w:p>
        </w:tc>
        <w:tc>
          <w:tcPr>
            <w:tcW w:w="1848" w:type="dxa"/>
          </w:tcPr>
          <w:p>
            <w:pPr>
              <w:spacing w:line="440" w:lineRule="exact"/>
              <w:jc w:val="center"/>
              <w:rPr>
                <w:rFonts w:asciiTheme="minorEastAsia" w:hAnsiTheme="minorEastAsia" w:eastAsiaTheme="minorEastAsia"/>
                <w:szCs w:val="21"/>
                <w:highlight w:val="none"/>
              </w:rPr>
            </w:pPr>
          </w:p>
        </w:tc>
        <w:tc>
          <w:tcPr>
            <w:tcW w:w="1541" w:type="dxa"/>
          </w:tcPr>
          <w:p>
            <w:pPr>
              <w:spacing w:line="440" w:lineRule="exact"/>
              <w:jc w:val="center"/>
              <w:rPr>
                <w:rFonts w:asciiTheme="minorEastAsia" w:hAnsiTheme="minorEastAsia" w:eastAsiaTheme="minorEastAsia"/>
                <w:szCs w:val="21"/>
                <w:highlight w:val="none"/>
              </w:rPr>
            </w:pPr>
          </w:p>
        </w:tc>
        <w:tc>
          <w:tcPr>
            <w:tcW w:w="1232" w:type="dxa"/>
          </w:tcPr>
          <w:p>
            <w:pPr>
              <w:spacing w:line="440" w:lineRule="exact"/>
              <w:jc w:val="center"/>
              <w:rPr>
                <w:rFonts w:asciiTheme="minorEastAsia" w:hAnsiTheme="minorEastAsia" w:eastAsiaTheme="minorEastAsia"/>
                <w:szCs w:val="21"/>
                <w:highlight w:val="none"/>
              </w:rPr>
            </w:pPr>
          </w:p>
        </w:tc>
        <w:tc>
          <w:tcPr>
            <w:tcW w:w="1286" w:type="dxa"/>
          </w:tcPr>
          <w:p>
            <w:pPr>
              <w:spacing w:line="440" w:lineRule="exact"/>
              <w:jc w:val="center"/>
              <w:rPr>
                <w:rFonts w:asciiTheme="minorEastAsia" w:hAnsiTheme="minorEastAsia" w:eastAsia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tcPr>
          <w:p>
            <w:pPr>
              <w:spacing w:line="440" w:lineRule="exact"/>
              <w:jc w:val="center"/>
              <w:rPr>
                <w:rFonts w:asciiTheme="minorEastAsia" w:hAnsiTheme="minorEastAsia" w:eastAsiaTheme="minorEastAsia"/>
                <w:szCs w:val="21"/>
                <w:highlight w:val="none"/>
              </w:rPr>
            </w:pPr>
          </w:p>
        </w:tc>
        <w:tc>
          <w:tcPr>
            <w:tcW w:w="1079" w:type="dxa"/>
          </w:tcPr>
          <w:p>
            <w:pPr>
              <w:spacing w:line="440" w:lineRule="exact"/>
              <w:jc w:val="center"/>
              <w:rPr>
                <w:rFonts w:asciiTheme="minorEastAsia" w:hAnsiTheme="minorEastAsia" w:eastAsiaTheme="minorEastAsia"/>
                <w:szCs w:val="21"/>
                <w:highlight w:val="none"/>
              </w:rPr>
            </w:pPr>
          </w:p>
        </w:tc>
        <w:tc>
          <w:tcPr>
            <w:tcW w:w="1539" w:type="dxa"/>
          </w:tcPr>
          <w:p>
            <w:pPr>
              <w:spacing w:line="440" w:lineRule="exact"/>
              <w:jc w:val="center"/>
              <w:rPr>
                <w:rFonts w:asciiTheme="minorEastAsia" w:hAnsiTheme="minorEastAsia" w:eastAsiaTheme="minorEastAsia"/>
                <w:szCs w:val="21"/>
                <w:highlight w:val="none"/>
              </w:rPr>
            </w:pPr>
          </w:p>
        </w:tc>
        <w:tc>
          <w:tcPr>
            <w:tcW w:w="1848" w:type="dxa"/>
          </w:tcPr>
          <w:p>
            <w:pPr>
              <w:spacing w:line="440" w:lineRule="exact"/>
              <w:jc w:val="center"/>
              <w:rPr>
                <w:rFonts w:asciiTheme="minorEastAsia" w:hAnsiTheme="minorEastAsia" w:eastAsiaTheme="minorEastAsia"/>
                <w:szCs w:val="21"/>
                <w:highlight w:val="none"/>
              </w:rPr>
            </w:pPr>
          </w:p>
        </w:tc>
        <w:tc>
          <w:tcPr>
            <w:tcW w:w="1541" w:type="dxa"/>
          </w:tcPr>
          <w:p>
            <w:pPr>
              <w:spacing w:line="440" w:lineRule="exact"/>
              <w:jc w:val="center"/>
              <w:rPr>
                <w:rFonts w:asciiTheme="minorEastAsia" w:hAnsiTheme="minorEastAsia" w:eastAsiaTheme="minorEastAsia"/>
                <w:szCs w:val="21"/>
                <w:highlight w:val="none"/>
              </w:rPr>
            </w:pPr>
          </w:p>
        </w:tc>
        <w:tc>
          <w:tcPr>
            <w:tcW w:w="1232" w:type="dxa"/>
          </w:tcPr>
          <w:p>
            <w:pPr>
              <w:spacing w:line="440" w:lineRule="exact"/>
              <w:jc w:val="center"/>
              <w:rPr>
                <w:rFonts w:asciiTheme="minorEastAsia" w:hAnsiTheme="minorEastAsia" w:eastAsiaTheme="minorEastAsia"/>
                <w:szCs w:val="21"/>
                <w:highlight w:val="none"/>
              </w:rPr>
            </w:pPr>
          </w:p>
        </w:tc>
        <w:tc>
          <w:tcPr>
            <w:tcW w:w="1286" w:type="dxa"/>
          </w:tcPr>
          <w:p>
            <w:pPr>
              <w:spacing w:line="440" w:lineRule="exact"/>
              <w:jc w:val="center"/>
              <w:rPr>
                <w:rFonts w:asciiTheme="minorEastAsia" w:hAnsiTheme="minorEastAsia" w:eastAsia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3" w:hRule="atLeast"/>
          <w:jc w:val="center"/>
        </w:trPr>
        <w:tc>
          <w:tcPr>
            <w:tcW w:w="733" w:type="dxa"/>
          </w:tcPr>
          <w:p>
            <w:pPr>
              <w:spacing w:line="440" w:lineRule="exact"/>
              <w:jc w:val="center"/>
              <w:rPr>
                <w:rFonts w:asciiTheme="minorEastAsia" w:hAnsiTheme="minorEastAsia" w:eastAsiaTheme="minorEastAsia"/>
                <w:szCs w:val="21"/>
                <w:highlight w:val="none"/>
              </w:rPr>
            </w:pPr>
          </w:p>
        </w:tc>
        <w:tc>
          <w:tcPr>
            <w:tcW w:w="1079" w:type="dxa"/>
          </w:tcPr>
          <w:p>
            <w:pPr>
              <w:spacing w:line="440" w:lineRule="exact"/>
              <w:jc w:val="center"/>
              <w:rPr>
                <w:rFonts w:asciiTheme="minorEastAsia" w:hAnsiTheme="minorEastAsia" w:eastAsiaTheme="minorEastAsia"/>
                <w:szCs w:val="21"/>
                <w:highlight w:val="none"/>
              </w:rPr>
            </w:pPr>
          </w:p>
        </w:tc>
        <w:tc>
          <w:tcPr>
            <w:tcW w:w="1539" w:type="dxa"/>
          </w:tcPr>
          <w:p>
            <w:pPr>
              <w:spacing w:line="440" w:lineRule="exact"/>
              <w:jc w:val="center"/>
              <w:rPr>
                <w:rFonts w:asciiTheme="minorEastAsia" w:hAnsiTheme="minorEastAsia" w:eastAsiaTheme="minorEastAsia"/>
                <w:szCs w:val="21"/>
                <w:highlight w:val="none"/>
              </w:rPr>
            </w:pPr>
          </w:p>
        </w:tc>
        <w:tc>
          <w:tcPr>
            <w:tcW w:w="1848" w:type="dxa"/>
          </w:tcPr>
          <w:p>
            <w:pPr>
              <w:spacing w:line="440" w:lineRule="exact"/>
              <w:jc w:val="center"/>
              <w:rPr>
                <w:rFonts w:asciiTheme="minorEastAsia" w:hAnsiTheme="minorEastAsia" w:eastAsiaTheme="minorEastAsia"/>
                <w:szCs w:val="21"/>
                <w:highlight w:val="none"/>
              </w:rPr>
            </w:pPr>
          </w:p>
        </w:tc>
        <w:tc>
          <w:tcPr>
            <w:tcW w:w="1541" w:type="dxa"/>
          </w:tcPr>
          <w:p>
            <w:pPr>
              <w:spacing w:line="440" w:lineRule="exact"/>
              <w:jc w:val="center"/>
              <w:rPr>
                <w:rFonts w:asciiTheme="minorEastAsia" w:hAnsiTheme="minorEastAsia" w:eastAsiaTheme="minorEastAsia"/>
                <w:szCs w:val="21"/>
                <w:highlight w:val="none"/>
              </w:rPr>
            </w:pPr>
          </w:p>
        </w:tc>
        <w:tc>
          <w:tcPr>
            <w:tcW w:w="1232" w:type="dxa"/>
          </w:tcPr>
          <w:p>
            <w:pPr>
              <w:spacing w:line="440" w:lineRule="exact"/>
              <w:jc w:val="center"/>
              <w:rPr>
                <w:rFonts w:asciiTheme="minorEastAsia" w:hAnsiTheme="minorEastAsia" w:eastAsiaTheme="minorEastAsia"/>
                <w:szCs w:val="21"/>
                <w:highlight w:val="none"/>
              </w:rPr>
            </w:pPr>
          </w:p>
        </w:tc>
        <w:tc>
          <w:tcPr>
            <w:tcW w:w="1286" w:type="dxa"/>
          </w:tcPr>
          <w:p>
            <w:pPr>
              <w:spacing w:line="440" w:lineRule="exact"/>
              <w:jc w:val="center"/>
              <w:rPr>
                <w:rFonts w:asciiTheme="minorEastAsia" w:hAnsiTheme="minorEastAsia" w:eastAsiaTheme="minorEastAsia"/>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98" w:hRule="atLeast"/>
          <w:jc w:val="center"/>
        </w:trPr>
        <w:tc>
          <w:tcPr>
            <w:tcW w:w="733" w:type="dxa"/>
            <w:vAlign w:val="center"/>
          </w:tcPr>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w:t>
            </w:r>
          </w:p>
          <w:p>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明</w:t>
            </w:r>
          </w:p>
        </w:tc>
        <w:tc>
          <w:tcPr>
            <w:tcW w:w="8525" w:type="dxa"/>
            <w:gridSpan w:val="6"/>
          </w:tcPr>
          <w:p>
            <w:pPr>
              <w:pStyle w:val="49"/>
              <w:numPr>
                <w:ilvl w:val="0"/>
                <w:numId w:val="12"/>
              </w:numPr>
              <w:adjustRightInd/>
              <w:spacing w:line="440" w:lineRule="exact"/>
              <w:ind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拟合作单位法人、股东及高管的亲属和其他特定关系人在成都凯天电子股份有限公司或凯天所属企业任职的，请如实填写。</w:t>
            </w:r>
          </w:p>
          <w:p>
            <w:pPr>
              <w:pStyle w:val="49"/>
              <w:numPr>
                <w:ilvl w:val="0"/>
                <w:numId w:val="12"/>
              </w:numPr>
              <w:adjustRightInd/>
              <w:spacing w:line="440" w:lineRule="exact"/>
              <w:ind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若拟合作企业法人、股东及高管均不存在此类情况要进行“零申报”，在第一行“姓名”栏填写“无”。</w:t>
            </w:r>
          </w:p>
          <w:p>
            <w:pPr>
              <w:pStyle w:val="49"/>
              <w:numPr>
                <w:ilvl w:val="0"/>
                <w:numId w:val="12"/>
              </w:numPr>
              <w:adjustRightInd/>
              <w:spacing w:line="440" w:lineRule="exact"/>
              <w:ind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亲属和其他特定关系人：包括直系亲属、近亲属、共同经济利益关系人</w:t>
            </w:r>
          </w:p>
        </w:tc>
      </w:tr>
    </w:tbl>
    <w:p>
      <w:pPr>
        <w:spacing w:line="380" w:lineRule="exact"/>
        <w:rPr>
          <w:rFonts w:asciiTheme="minorEastAsia" w:hAnsiTheme="minorEastAsia" w:eastAsiaTheme="minorEastAsia"/>
          <w:b/>
          <w:szCs w:val="28"/>
          <w:highlight w:val="none"/>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Narrow">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2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07D8"/>
    <w:multiLevelType w:val="multilevel"/>
    <w:tmpl w:val="1C2907D8"/>
    <w:lvl w:ilvl="0" w:tentative="0">
      <w:start w:val="1"/>
      <w:numFmt w:val="japaneseCounting"/>
      <w:lvlText w:val="第%1章"/>
      <w:lvlJc w:val="left"/>
      <w:pPr>
        <w:ind w:left="4244" w:hanging="885"/>
      </w:pPr>
      <w:rPr>
        <w:rFonts w:hint="default"/>
      </w:rPr>
    </w:lvl>
    <w:lvl w:ilvl="1" w:tentative="0">
      <w:start w:val="1"/>
      <w:numFmt w:val="lowerLetter"/>
      <w:lvlText w:val="%2)"/>
      <w:lvlJc w:val="left"/>
      <w:pPr>
        <w:ind w:left="4199" w:hanging="420"/>
      </w:pPr>
    </w:lvl>
    <w:lvl w:ilvl="2" w:tentative="0">
      <w:start w:val="1"/>
      <w:numFmt w:val="lowerRoman"/>
      <w:lvlText w:val="%3."/>
      <w:lvlJc w:val="right"/>
      <w:pPr>
        <w:ind w:left="4619" w:hanging="420"/>
      </w:pPr>
    </w:lvl>
    <w:lvl w:ilvl="3" w:tentative="0">
      <w:start w:val="1"/>
      <w:numFmt w:val="decimal"/>
      <w:lvlText w:val="%4."/>
      <w:lvlJc w:val="left"/>
      <w:pPr>
        <w:ind w:left="5039" w:hanging="420"/>
      </w:pPr>
    </w:lvl>
    <w:lvl w:ilvl="4" w:tentative="0">
      <w:start w:val="1"/>
      <w:numFmt w:val="lowerLetter"/>
      <w:lvlText w:val="%5)"/>
      <w:lvlJc w:val="left"/>
      <w:pPr>
        <w:ind w:left="5459" w:hanging="420"/>
      </w:pPr>
    </w:lvl>
    <w:lvl w:ilvl="5" w:tentative="0">
      <w:start w:val="1"/>
      <w:numFmt w:val="lowerRoman"/>
      <w:lvlText w:val="%6."/>
      <w:lvlJc w:val="right"/>
      <w:pPr>
        <w:ind w:left="5879" w:hanging="420"/>
      </w:pPr>
    </w:lvl>
    <w:lvl w:ilvl="6" w:tentative="0">
      <w:start w:val="1"/>
      <w:numFmt w:val="decimal"/>
      <w:lvlText w:val="%7."/>
      <w:lvlJc w:val="left"/>
      <w:pPr>
        <w:ind w:left="6299" w:hanging="420"/>
      </w:pPr>
    </w:lvl>
    <w:lvl w:ilvl="7" w:tentative="0">
      <w:start w:val="1"/>
      <w:numFmt w:val="lowerLetter"/>
      <w:lvlText w:val="%8)"/>
      <w:lvlJc w:val="left"/>
      <w:pPr>
        <w:ind w:left="6719" w:hanging="420"/>
      </w:pPr>
    </w:lvl>
    <w:lvl w:ilvl="8" w:tentative="0">
      <w:start w:val="1"/>
      <w:numFmt w:val="lowerRoman"/>
      <w:lvlText w:val="%9."/>
      <w:lvlJc w:val="right"/>
      <w:pPr>
        <w:ind w:left="7139" w:hanging="420"/>
      </w:pPr>
    </w:lvl>
  </w:abstractNum>
  <w:abstractNum w:abstractNumId="1">
    <w:nsid w:val="1CE00243"/>
    <w:multiLevelType w:val="multilevel"/>
    <w:tmpl w:val="1CE00243"/>
    <w:lvl w:ilvl="0" w:tentative="0">
      <w:start w:val="1"/>
      <w:numFmt w:val="decimal"/>
      <w:pStyle w:val="68"/>
      <w:lvlText w:val="%1."/>
      <w:lvlJc w:val="left"/>
      <w:pPr>
        <w:ind w:left="420" w:hanging="42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entative="0">
      <w:start w:val="1"/>
      <w:numFmt w:val="decimal"/>
      <w:pStyle w:val="67"/>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
    <w:nsid w:val="25F9794F"/>
    <w:multiLevelType w:val="multilevel"/>
    <w:tmpl w:val="25F9794F"/>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3">
    <w:nsid w:val="43D8699D"/>
    <w:multiLevelType w:val="multilevel"/>
    <w:tmpl w:val="43D8699D"/>
    <w:lvl w:ilvl="0" w:tentative="0">
      <w:start w:val="1"/>
      <w:numFmt w:val="decimal"/>
      <w:pStyle w:val="64"/>
      <w:lvlText w:val="注%1："/>
      <w:lvlJc w:val="left"/>
      <w:pPr>
        <w:tabs>
          <w:tab w:val="left" w:pos="1287"/>
        </w:tabs>
        <w:ind w:left="567" w:firstLine="0"/>
      </w:pPr>
      <w:rPr>
        <w:rFonts w:hint="eastAsia"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3EC6D32"/>
    <w:multiLevelType w:val="multilevel"/>
    <w:tmpl w:val="43EC6D32"/>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5">
    <w:nsid w:val="4ACA608A"/>
    <w:multiLevelType w:val="multilevel"/>
    <w:tmpl w:val="4ACA608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1391"/>
        </w:tabs>
        <w:ind w:left="1391" w:hanging="420"/>
      </w:pPr>
    </w:lvl>
    <w:lvl w:ilvl="2" w:tentative="0">
      <w:start w:val="1"/>
      <w:numFmt w:val="lowerRoman"/>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6">
    <w:nsid w:val="4DB322A4"/>
    <w:multiLevelType w:val="multilevel"/>
    <w:tmpl w:val="4DB322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21032E"/>
    <w:multiLevelType w:val="multilevel"/>
    <w:tmpl w:val="4E21032E"/>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587E14A2"/>
    <w:multiLevelType w:val="multilevel"/>
    <w:tmpl w:val="587E14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772EBA"/>
    <w:multiLevelType w:val="multilevel"/>
    <w:tmpl w:val="66772E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2A59EB"/>
    <w:multiLevelType w:val="multilevel"/>
    <w:tmpl w:val="702A59EB"/>
    <w:lvl w:ilvl="0" w:tentative="0">
      <w:start w:val="1"/>
      <w:numFmt w:val="decimal"/>
      <w:pStyle w:val="3"/>
      <w:suff w:val="space"/>
      <w:lvlText w:val="%1   "/>
      <w:lvlJc w:val="left"/>
      <w:pPr>
        <w:ind w:left="432" w:hanging="432"/>
      </w:pPr>
      <w:rPr>
        <w:rFonts w:hint="default" w:ascii="Arial" w:hAnsi="Arial"/>
        <w:b/>
        <w:i w:val="0"/>
        <w:sz w:val="21"/>
      </w:rPr>
    </w:lvl>
    <w:lvl w:ilvl="1" w:tentative="0">
      <w:start w:val="1"/>
      <w:numFmt w:val="decimal"/>
      <w:pStyle w:val="4"/>
      <w:suff w:val="space"/>
      <w:lvlText w:val="%1.%2   "/>
      <w:lvlJc w:val="left"/>
      <w:pPr>
        <w:ind w:left="860" w:hanging="576"/>
      </w:pPr>
      <w:rPr>
        <w:rFonts w:hint="eastAsia" w:ascii="宋体" w:hAnsi="宋体" w:eastAsia="宋体"/>
      </w:rPr>
    </w:lvl>
    <w:lvl w:ilvl="2" w:tentative="0">
      <w:start w:val="1"/>
      <w:numFmt w:val="decimal"/>
      <w:pStyle w:val="5"/>
      <w:suff w:val="space"/>
      <w:lvlText w:val="%1.%2.%3   "/>
      <w:lvlJc w:val="left"/>
      <w:pPr>
        <w:ind w:left="57" w:hanging="57"/>
      </w:pPr>
      <w:rPr>
        <w:rFonts w:hint="eastAsia"/>
      </w:rPr>
    </w:lvl>
    <w:lvl w:ilvl="3" w:tentative="0">
      <w:start w:val="1"/>
      <w:numFmt w:val="decimal"/>
      <w:pStyle w:val="6"/>
      <w:suff w:val="space"/>
      <w:lvlText w:val="%1.%2.%3.%4   "/>
      <w:lvlJc w:val="left"/>
      <w:pPr>
        <w:ind w:left="864" w:hanging="864"/>
      </w:pPr>
      <w:rPr>
        <w:rFonts w:hint="eastAsia"/>
      </w:rPr>
    </w:lvl>
    <w:lvl w:ilvl="4" w:tentative="0">
      <w:start w:val="1"/>
      <w:numFmt w:val="decimal"/>
      <w:pStyle w:val="7"/>
      <w:suff w:val="space"/>
      <w:lvlText w:val="%1.%2.%3.%4.%5   "/>
      <w:lvlJc w:val="left"/>
      <w:pPr>
        <w:ind w:left="1008" w:hanging="1008"/>
      </w:pPr>
      <w:rPr>
        <w:rFonts w:hint="eastAsia"/>
      </w:rPr>
    </w:lvl>
    <w:lvl w:ilvl="5" w:tentative="0">
      <w:start w:val="1"/>
      <w:numFmt w:val="decimal"/>
      <w:pStyle w:val="8"/>
      <w:suff w:val="space"/>
      <w:lvlText w:val="%1.%2.%3.%4.%5.%6   "/>
      <w:lvlJc w:val="left"/>
      <w:pPr>
        <w:ind w:left="1152" w:hanging="1152"/>
      </w:pPr>
      <w:rPr>
        <w:rFonts w:hint="eastAsia"/>
      </w:rPr>
    </w:lvl>
    <w:lvl w:ilvl="6" w:tentative="0">
      <w:start w:val="1"/>
      <w:numFmt w:val="decimal"/>
      <w:pStyle w:val="9"/>
      <w:suff w:val="space"/>
      <w:lvlText w:val="%1.%2.%3.%4.%5.%6.%7   "/>
      <w:lvlJc w:val="left"/>
      <w:pPr>
        <w:ind w:left="1296" w:hanging="1296"/>
      </w:pPr>
      <w:rPr>
        <w:rFonts w:hint="eastAsia"/>
      </w:rPr>
    </w:lvl>
    <w:lvl w:ilvl="7" w:tentative="0">
      <w:start w:val="1"/>
      <w:numFmt w:val="decimal"/>
      <w:pStyle w:val="10"/>
      <w:suff w:val="space"/>
      <w:lvlText w:val="%1.%2.%3.%4.%5.%6.%7.%8   "/>
      <w:lvlJc w:val="left"/>
      <w:pPr>
        <w:ind w:left="1440" w:hanging="1440"/>
      </w:pPr>
      <w:rPr>
        <w:rFonts w:hint="eastAsia"/>
      </w:rPr>
    </w:lvl>
    <w:lvl w:ilvl="8" w:tentative="0">
      <w:start w:val="1"/>
      <w:numFmt w:val="decimal"/>
      <w:pStyle w:val="11"/>
      <w:suff w:val="space"/>
      <w:lvlText w:val="%1.%2.%3.%4.%5.%6.%7.%8.%9   "/>
      <w:lvlJc w:val="left"/>
      <w:pPr>
        <w:ind w:left="1584" w:hanging="1584"/>
      </w:pPr>
      <w:rPr>
        <w:rFonts w:hint="eastAsia"/>
      </w:rPr>
    </w:lvl>
  </w:abstractNum>
  <w:abstractNum w:abstractNumId="11">
    <w:nsid w:val="72A16A6B"/>
    <w:multiLevelType w:val="multilevel"/>
    <w:tmpl w:val="72A16A6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3"/>
  </w:num>
  <w:num w:numId="3">
    <w:abstractNumId w:val="1"/>
  </w:num>
  <w:num w:numId="4">
    <w:abstractNumId w:val="0"/>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9"/>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FA"/>
    <w:rsid w:val="00000D95"/>
    <w:rsid w:val="00001284"/>
    <w:rsid w:val="000012A1"/>
    <w:rsid w:val="000016E2"/>
    <w:rsid w:val="000018F5"/>
    <w:rsid w:val="00002CFE"/>
    <w:rsid w:val="00003328"/>
    <w:rsid w:val="0000372D"/>
    <w:rsid w:val="00003968"/>
    <w:rsid w:val="00003D98"/>
    <w:rsid w:val="00005348"/>
    <w:rsid w:val="000054C4"/>
    <w:rsid w:val="00005904"/>
    <w:rsid w:val="00005CCF"/>
    <w:rsid w:val="00005D49"/>
    <w:rsid w:val="00006723"/>
    <w:rsid w:val="00006C29"/>
    <w:rsid w:val="00007128"/>
    <w:rsid w:val="0000785B"/>
    <w:rsid w:val="00010253"/>
    <w:rsid w:val="00011C5E"/>
    <w:rsid w:val="0001292D"/>
    <w:rsid w:val="00012E34"/>
    <w:rsid w:val="00014028"/>
    <w:rsid w:val="00014094"/>
    <w:rsid w:val="000146B2"/>
    <w:rsid w:val="00014CB7"/>
    <w:rsid w:val="0001656E"/>
    <w:rsid w:val="00016A1F"/>
    <w:rsid w:val="00016BCF"/>
    <w:rsid w:val="000179DF"/>
    <w:rsid w:val="000210BA"/>
    <w:rsid w:val="000214E5"/>
    <w:rsid w:val="00021722"/>
    <w:rsid w:val="00022110"/>
    <w:rsid w:val="00022595"/>
    <w:rsid w:val="000228F2"/>
    <w:rsid w:val="00022BFF"/>
    <w:rsid w:val="00023606"/>
    <w:rsid w:val="00023616"/>
    <w:rsid w:val="00023B19"/>
    <w:rsid w:val="00023B9F"/>
    <w:rsid w:val="0002486C"/>
    <w:rsid w:val="00024CF9"/>
    <w:rsid w:val="00024F6B"/>
    <w:rsid w:val="00024F6C"/>
    <w:rsid w:val="00024FD6"/>
    <w:rsid w:val="000256A0"/>
    <w:rsid w:val="00026364"/>
    <w:rsid w:val="00030992"/>
    <w:rsid w:val="000318A2"/>
    <w:rsid w:val="00032654"/>
    <w:rsid w:val="00032EB1"/>
    <w:rsid w:val="00033516"/>
    <w:rsid w:val="00033FD5"/>
    <w:rsid w:val="000349B4"/>
    <w:rsid w:val="00035556"/>
    <w:rsid w:val="00036F13"/>
    <w:rsid w:val="00037EF3"/>
    <w:rsid w:val="000416D1"/>
    <w:rsid w:val="00042528"/>
    <w:rsid w:val="00042633"/>
    <w:rsid w:val="00043CB9"/>
    <w:rsid w:val="000441A3"/>
    <w:rsid w:val="0004478E"/>
    <w:rsid w:val="0004535F"/>
    <w:rsid w:val="000454C8"/>
    <w:rsid w:val="00046056"/>
    <w:rsid w:val="00046591"/>
    <w:rsid w:val="0004694E"/>
    <w:rsid w:val="00046E84"/>
    <w:rsid w:val="0004790B"/>
    <w:rsid w:val="0005003C"/>
    <w:rsid w:val="000513A8"/>
    <w:rsid w:val="0005203B"/>
    <w:rsid w:val="00052DFF"/>
    <w:rsid w:val="00053702"/>
    <w:rsid w:val="0005539A"/>
    <w:rsid w:val="000553A8"/>
    <w:rsid w:val="00055B32"/>
    <w:rsid w:val="00055D4A"/>
    <w:rsid w:val="00061E8B"/>
    <w:rsid w:val="0006244D"/>
    <w:rsid w:val="00062A35"/>
    <w:rsid w:val="00064A83"/>
    <w:rsid w:val="00065136"/>
    <w:rsid w:val="00065439"/>
    <w:rsid w:val="000656E4"/>
    <w:rsid w:val="0006574C"/>
    <w:rsid w:val="00066482"/>
    <w:rsid w:val="0006662C"/>
    <w:rsid w:val="00066D52"/>
    <w:rsid w:val="000671F7"/>
    <w:rsid w:val="0006744E"/>
    <w:rsid w:val="000676D2"/>
    <w:rsid w:val="0007026D"/>
    <w:rsid w:val="000705EB"/>
    <w:rsid w:val="00070C02"/>
    <w:rsid w:val="00071445"/>
    <w:rsid w:val="000715E5"/>
    <w:rsid w:val="000718EE"/>
    <w:rsid w:val="000735CC"/>
    <w:rsid w:val="000739E0"/>
    <w:rsid w:val="00073C71"/>
    <w:rsid w:val="0007418B"/>
    <w:rsid w:val="00074B6B"/>
    <w:rsid w:val="00074CE9"/>
    <w:rsid w:val="00075DEB"/>
    <w:rsid w:val="00076F2F"/>
    <w:rsid w:val="00077811"/>
    <w:rsid w:val="00080722"/>
    <w:rsid w:val="000813DD"/>
    <w:rsid w:val="00081B02"/>
    <w:rsid w:val="00082B41"/>
    <w:rsid w:val="00082F80"/>
    <w:rsid w:val="00083014"/>
    <w:rsid w:val="000831D6"/>
    <w:rsid w:val="0008364F"/>
    <w:rsid w:val="000861D5"/>
    <w:rsid w:val="00087200"/>
    <w:rsid w:val="000907C7"/>
    <w:rsid w:val="00090AAA"/>
    <w:rsid w:val="00090CE3"/>
    <w:rsid w:val="00092242"/>
    <w:rsid w:val="00092779"/>
    <w:rsid w:val="00093EF7"/>
    <w:rsid w:val="000942D7"/>
    <w:rsid w:val="000946DD"/>
    <w:rsid w:val="00094B4D"/>
    <w:rsid w:val="00094F66"/>
    <w:rsid w:val="00095867"/>
    <w:rsid w:val="0009588A"/>
    <w:rsid w:val="00095C27"/>
    <w:rsid w:val="00096613"/>
    <w:rsid w:val="00097233"/>
    <w:rsid w:val="0009789C"/>
    <w:rsid w:val="000A0432"/>
    <w:rsid w:val="000A04B0"/>
    <w:rsid w:val="000A06A0"/>
    <w:rsid w:val="000A11D6"/>
    <w:rsid w:val="000A23A9"/>
    <w:rsid w:val="000A2DC9"/>
    <w:rsid w:val="000A2EDE"/>
    <w:rsid w:val="000A3714"/>
    <w:rsid w:val="000A3FE6"/>
    <w:rsid w:val="000A575F"/>
    <w:rsid w:val="000A6D2F"/>
    <w:rsid w:val="000A71FB"/>
    <w:rsid w:val="000A7A32"/>
    <w:rsid w:val="000B07F3"/>
    <w:rsid w:val="000B1696"/>
    <w:rsid w:val="000B2C44"/>
    <w:rsid w:val="000B2D41"/>
    <w:rsid w:val="000B2F63"/>
    <w:rsid w:val="000B3309"/>
    <w:rsid w:val="000B36A0"/>
    <w:rsid w:val="000B5583"/>
    <w:rsid w:val="000B6863"/>
    <w:rsid w:val="000B7DB7"/>
    <w:rsid w:val="000C00E2"/>
    <w:rsid w:val="000C112D"/>
    <w:rsid w:val="000C2886"/>
    <w:rsid w:val="000C31E8"/>
    <w:rsid w:val="000C375A"/>
    <w:rsid w:val="000C3EB8"/>
    <w:rsid w:val="000C4A55"/>
    <w:rsid w:val="000C4B6B"/>
    <w:rsid w:val="000C5121"/>
    <w:rsid w:val="000C5F06"/>
    <w:rsid w:val="000C6179"/>
    <w:rsid w:val="000C6CD3"/>
    <w:rsid w:val="000C6E14"/>
    <w:rsid w:val="000D0747"/>
    <w:rsid w:val="000D0887"/>
    <w:rsid w:val="000D0FD4"/>
    <w:rsid w:val="000D1556"/>
    <w:rsid w:val="000D1732"/>
    <w:rsid w:val="000D23E3"/>
    <w:rsid w:val="000D36B0"/>
    <w:rsid w:val="000D38BA"/>
    <w:rsid w:val="000D53DF"/>
    <w:rsid w:val="000D5496"/>
    <w:rsid w:val="000D5674"/>
    <w:rsid w:val="000E06DE"/>
    <w:rsid w:val="000E0AA1"/>
    <w:rsid w:val="000E0F82"/>
    <w:rsid w:val="000E0F88"/>
    <w:rsid w:val="000E328F"/>
    <w:rsid w:val="000E36EF"/>
    <w:rsid w:val="000E3D05"/>
    <w:rsid w:val="000E470B"/>
    <w:rsid w:val="000E5262"/>
    <w:rsid w:val="000E5553"/>
    <w:rsid w:val="000E58D5"/>
    <w:rsid w:val="000E5BA5"/>
    <w:rsid w:val="000E6B30"/>
    <w:rsid w:val="000F0118"/>
    <w:rsid w:val="000F088B"/>
    <w:rsid w:val="000F12AD"/>
    <w:rsid w:val="000F1379"/>
    <w:rsid w:val="000F1586"/>
    <w:rsid w:val="000F20D7"/>
    <w:rsid w:val="000F250F"/>
    <w:rsid w:val="000F2546"/>
    <w:rsid w:val="000F5B26"/>
    <w:rsid w:val="000F60B6"/>
    <w:rsid w:val="000F6785"/>
    <w:rsid w:val="000F6BC9"/>
    <w:rsid w:val="000F6F00"/>
    <w:rsid w:val="000F7292"/>
    <w:rsid w:val="000F75E0"/>
    <w:rsid w:val="000F79D5"/>
    <w:rsid w:val="000F7ACB"/>
    <w:rsid w:val="0010024D"/>
    <w:rsid w:val="001006E7"/>
    <w:rsid w:val="00102173"/>
    <w:rsid w:val="00102C28"/>
    <w:rsid w:val="00102F22"/>
    <w:rsid w:val="00104331"/>
    <w:rsid w:val="00104354"/>
    <w:rsid w:val="0010534B"/>
    <w:rsid w:val="001058BA"/>
    <w:rsid w:val="00106350"/>
    <w:rsid w:val="00106A88"/>
    <w:rsid w:val="00106B39"/>
    <w:rsid w:val="00107B24"/>
    <w:rsid w:val="001101F0"/>
    <w:rsid w:val="00110E57"/>
    <w:rsid w:val="00110F5E"/>
    <w:rsid w:val="00111B6B"/>
    <w:rsid w:val="00111F19"/>
    <w:rsid w:val="00112574"/>
    <w:rsid w:val="00113304"/>
    <w:rsid w:val="00113E9C"/>
    <w:rsid w:val="00114090"/>
    <w:rsid w:val="001142F9"/>
    <w:rsid w:val="00114319"/>
    <w:rsid w:val="00114DE8"/>
    <w:rsid w:val="001153F6"/>
    <w:rsid w:val="00115535"/>
    <w:rsid w:val="00115AF7"/>
    <w:rsid w:val="00115FA2"/>
    <w:rsid w:val="00116DFB"/>
    <w:rsid w:val="0011700F"/>
    <w:rsid w:val="001175DF"/>
    <w:rsid w:val="00117AA2"/>
    <w:rsid w:val="001200B7"/>
    <w:rsid w:val="00120157"/>
    <w:rsid w:val="001205A2"/>
    <w:rsid w:val="001205D6"/>
    <w:rsid w:val="001205D7"/>
    <w:rsid w:val="001206D3"/>
    <w:rsid w:val="00120AB2"/>
    <w:rsid w:val="0012176B"/>
    <w:rsid w:val="00121F4E"/>
    <w:rsid w:val="00122F5E"/>
    <w:rsid w:val="00123101"/>
    <w:rsid w:val="0012357E"/>
    <w:rsid w:val="00123DA3"/>
    <w:rsid w:val="00125941"/>
    <w:rsid w:val="001269E4"/>
    <w:rsid w:val="00126EB3"/>
    <w:rsid w:val="00127503"/>
    <w:rsid w:val="00127C16"/>
    <w:rsid w:val="00130900"/>
    <w:rsid w:val="00132261"/>
    <w:rsid w:val="001331F5"/>
    <w:rsid w:val="001334D7"/>
    <w:rsid w:val="0013359A"/>
    <w:rsid w:val="001338FA"/>
    <w:rsid w:val="00133C02"/>
    <w:rsid w:val="00133F03"/>
    <w:rsid w:val="00134CF4"/>
    <w:rsid w:val="00136328"/>
    <w:rsid w:val="00137472"/>
    <w:rsid w:val="00140A00"/>
    <w:rsid w:val="00141A86"/>
    <w:rsid w:val="00142AEA"/>
    <w:rsid w:val="00143010"/>
    <w:rsid w:val="00143B06"/>
    <w:rsid w:val="00143C46"/>
    <w:rsid w:val="00143F3A"/>
    <w:rsid w:val="001441F9"/>
    <w:rsid w:val="00145EEF"/>
    <w:rsid w:val="00147741"/>
    <w:rsid w:val="00147E08"/>
    <w:rsid w:val="00147EE3"/>
    <w:rsid w:val="00152490"/>
    <w:rsid w:val="00152845"/>
    <w:rsid w:val="00154018"/>
    <w:rsid w:val="00154869"/>
    <w:rsid w:val="00155A39"/>
    <w:rsid w:val="00156213"/>
    <w:rsid w:val="001617BC"/>
    <w:rsid w:val="00161AEF"/>
    <w:rsid w:val="00163DDF"/>
    <w:rsid w:val="00163FAB"/>
    <w:rsid w:val="00164DC0"/>
    <w:rsid w:val="00166EA8"/>
    <w:rsid w:val="001674AC"/>
    <w:rsid w:val="001676DB"/>
    <w:rsid w:val="001713E3"/>
    <w:rsid w:val="00172173"/>
    <w:rsid w:val="001726DF"/>
    <w:rsid w:val="00172AD1"/>
    <w:rsid w:val="00172D3A"/>
    <w:rsid w:val="001732E6"/>
    <w:rsid w:val="0017382B"/>
    <w:rsid w:val="00174B26"/>
    <w:rsid w:val="00175DF0"/>
    <w:rsid w:val="00180B35"/>
    <w:rsid w:val="0018143B"/>
    <w:rsid w:val="001819B8"/>
    <w:rsid w:val="00182732"/>
    <w:rsid w:val="0018275F"/>
    <w:rsid w:val="00182AF6"/>
    <w:rsid w:val="00182E86"/>
    <w:rsid w:val="00183B8F"/>
    <w:rsid w:val="00185203"/>
    <w:rsid w:val="001853D1"/>
    <w:rsid w:val="00186655"/>
    <w:rsid w:val="00186BDB"/>
    <w:rsid w:val="00190177"/>
    <w:rsid w:val="0019032E"/>
    <w:rsid w:val="00190EC5"/>
    <w:rsid w:val="001911A6"/>
    <w:rsid w:val="00191F21"/>
    <w:rsid w:val="0019204D"/>
    <w:rsid w:val="00192777"/>
    <w:rsid w:val="001934A5"/>
    <w:rsid w:val="00193763"/>
    <w:rsid w:val="0019392E"/>
    <w:rsid w:val="00193A18"/>
    <w:rsid w:val="00194278"/>
    <w:rsid w:val="00194870"/>
    <w:rsid w:val="00195AAA"/>
    <w:rsid w:val="00196231"/>
    <w:rsid w:val="001966B1"/>
    <w:rsid w:val="00196C61"/>
    <w:rsid w:val="001A000A"/>
    <w:rsid w:val="001A0540"/>
    <w:rsid w:val="001A173E"/>
    <w:rsid w:val="001A249F"/>
    <w:rsid w:val="001A2A53"/>
    <w:rsid w:val="001A2E41"/>
    <w:rsid w:val="001A31EF"/>
    <w:rsid w:val="001A32AA"/>
    <w:rsid w:val="001A35F5"/>
    <w:rsid w:val="001A3AB3"/>
    <w:rsid w:val="001A3B36"/>
    <w:rsid w:val="001A4047"/>
    <w:rsid w:val="001A5F4B"/>
    <w:rsid w:val="001A66D7"/>
    <w:rsid w:val="001A79BE"/>
    <w:rsid w:val="001A7CBE"/>
    <w:rsid w:val="001B1EB7"/>
    <w:rsid w:val="001B2707"/>
    <w:rsid w:val="001B2C1D"/>
    <w:rsid w:val="001B4416"/>
    <w:rsid w:val="001B450D"/>
    <w:rsid w:val="001B5485"/>
    <w:rsid w:val="001B5E10"/>
    <w:rsid w:val="001B6947"/>
    <w:rsid w:val="001B7688"/>
    <w:rsid w:val="001B7E5C"/>
    <w:rsid w:val="001C06BC"/>
    <w:rsid w:val="001C06F7"/>
    <w:rsid w:val="001C1661"/>
    <w:rsid w:val="001C1CF0"/>
    <w:rsid w:val="001C25A5"/>
    <w:rsid w:val="001C2723"/>
    <w:rsid w:val="001C2794"/>
    <w:rsid w:val="001C2FD4"/>
    <w:rsid w:val="001C4332"/>
    <w:rsid w:val="001C47B2"/>
    <w:rsid w:val="001C5149"/>
    <w:rsid w:val="001C68F0"/>
    <w:rsid w:val="001C7EAA"/>
    <w:rsid w:val="001D011A"/>
    <w:rsid w:val="001D0823"/>
    <w:rsid w:val="001D0DD8"/>
    <w:rsid w:val="001D252A"/>
    <w:rsid w:val="001D2BE5"/>
    <w:rsid w:val="001D4B20"/>
    <w:rsid w:val="001D5216"/>
    <w:rsid w:val="001D5EE5"/>
    <w:rsid w:val="001D78C0"/>
    <w:rsid w:val="001D79D0"/>
    <w:rsid w:val="001E073C"/>
    <w:rsid w:val="001E0DC7"/>
    <w:rsid w:val="001E1558"/>
    <w:rsid w:val="001E1692"/>
    <w:rsid w:val="001E1905"/>
    <w:rsid w:val="001E217A"/>
    <w:rsid w:val="001E2F4F"/>
    <w:rsid w:val="001E323D"/>
    <w:rsid w:val="001E3A62"/>
    <w:rsid w:val="001E3DEA"/>
    <w:rsid w:val="001E4567"/>
    <w:rsid w:val="001E4638"/>
    <w:rsid w:val="001E4A07"/>
    <w:rsid w:val="001E5C5F"/>
    <w:rsid w:val="001E5E93"/>
    <w:rsid w:val="001E659F"/>
    <w:rsid w:val="001E6FB0"/>
    <w:rsid w:val="001E755C"/>
    <w:rsid w:val="001E7B0F"/>
    <w:rsid w:val="001F067F"/>
    <w:rsid w:val="001F0FDC"/>
    <w:rsid w:val="001F22AA"/>
    <w:rsid w:val="001F2ACA"/>
    <w:rsid w:val="001F3C5C"/>
    <w:rsid w:val="001F3F06"/>
    <w:rsid w:val="001F4163"/>
    <w:rsid w:val="001F6D16"/>
    <w:rsid w:val="001F7F0F"/>
    <w:rsid w:val="0020026D"/>
    <w:rsid w:val="00200282"/>
    <w:rsid w:val="00200A5D"/>
    <w:rsid w:val="00200C0A"/>
    <w:rsid w:val="0020109C"/>
    <w:rsid w:val="00202261"/>
    <w:rsid w:val="00202558"/>
    <w:rsid w:val="00202BC9"/>
    <w:rsid w:val="00203071"/>
    <w:rsid w:val="00203149"/>
    <w:rsid w:val="00203966"/>
    <w:rsid w:val="00203E4C"/>
    <w:rsid w:val="002050AE"/>
    <w:rsid w:val="0020645C"/>
    <w:rsid w:val="002066CE"/>
    <w:rsid w:val="002104F2"/>
    <w:rsid w:val="00210CDC"/>
    <w:rsid w:val="00210EFD"/>
    <w:rsid w:val="00212AC5"/>
    <w:rsid w:val="00214319"/>
    <w:rsid w:val="002148D0"/>
    <w:rsid w:val="00214F46"/>
    <w:rsid w:val="0021501C"/>
    <w:rsid w:val="00215285"/>
    <w:rsid w:val="002152A7"/>
    <w:rsid w:val="00215B8C"/>
    <w:rsid w:val="00215E56"/>
    <w:rsid w:val="00221708"/>
    <w:rsid w:val="0022234B"/>
    <w:rsid w:val="00222446"/>
    <w:rsid w:val="002227DD"/>
    <w:rsid w:val="00222E46"/>
    <w:rsid w:val="00222FCB"/>
    <w:rsid w:val="00223365"/>
    <w:rsid w:val="00223556"/>
    <w:rsid w:val="00223705"/>
    <w:rsid w:val="00223A58"/>
    <w:rsid w:val="00224740"/>
    <w:rsid w:val="00225011"/>
    <w:rsid w:val="00227230"/>
    <w:rsid w:val="0023068F"/>
    <w:rsid w:val="002312A9"/>
    <w:rsid w:val="00231EB0"/>
    <w:rsid w:val="00232882"/>
    <w:rsid w:val="00232B7C"/>
    <w:rsid w:val="00233112"/>
    <w:rsid w:val="002336AF"/>
    <w:rsid w:val="002336C5"/>
    <w:rsid w:val="00233A25"/>
    <w:rsid w:val="00234607"/>
    <w:rsid w:val="00235023"/>
    <w:rsid w:val="00235238"/>
    <w:rsid w:val="00235B1F"/>
    <w:rsid w:val="00236454"/>
    <w:rsid w:val="00236A6F"/>
    <w:rsid w:val="002402E3"/>
    <w:rsid w:val="002403A3"/>
    <w:rsid w:val="002408EE"/>
    <w:rsid w:val="00241474"/>
    <w:rsid w:val="0024196B"/>
    <w:rsid w:val="0024274B"/>
    <w:rsid w:val="00243726"/>
    <w:rsid w:val="00243C4B"/>
    <w:rsid w:val="00244930"/>
    <w:rsid w:val="00244F13"/>
    <w:rsid w:val="002476E2"/>
    <w:rsid w:val="00247E50"/>
    <w:rsid w:val="00250443"/>
    <w:rsid w:val="00250675"/>
    <w:rsid w:val="00251907"/>
    <w:rsid w:val="00252382"/>
    <w:rsid w:val="00255A25"/>
    <w:rsid w:val="00255AEB"/>
    <w:rsid w:val="00256CD2"/>
    <w:rsid w:val="00256E4C"/>
    <w:rsid w:val="00257284"/>
    <w:rsid w:val="00257B21"/>
    <w:rsid w:val="00257BDD"/>
    <w:rsid w:val="00260C3F"/>
    <w:rsid w:val="00261B3C"/>
    <w:rsid w:val="00261F1D"/>
    <w:rsid w:val="00262F63"/>
    <w:rsid w:val="00263BB9"/>
    <w:rsid w:val="002647C6"/>
    <w:rsid w:val="00267936"/>
    <w:rsid w:val="0026798F"/>
    <w:rsid w:val="0027005D"/>
    <w:rsid w:val="00270C56"/>
    <w:rsid w:val="00270F95"/>
    <w:rsid w:val="002710FA"/>
    <w:rsid w:val="0027149D"/>
    <w:rsid w:val="002720CE"/>
    <w:rsid w:val="00272578"/>
    <w:rsid w:val="00272CF3"/>
    <w:rsid w:val="00272F9E"/>
    <w:rsid w:val="00273125"/>
    <w:rsid w:val="00273537"/>
    <w:rsid w:val="00274452"/>
    <w:rsid w:val="002747FB"/>
    <w:rsid w:val="00274850"/>
    <w:rsid w:val="00274ADF"/>
    <w:rsid w:val="00274E0B"/>
    <w:rsid w:val="00274FFA"/>
    <w:rsid w:val="00275983"/>
    <w:rsid w:val="00275AB3"/>
    <w:rsid w:val="002763BB"/>
    <w:rsid w:val="002767C3"/>
    <w:rsid w:val="00276908"/>
    <w:rsid w:val="00276946"/>
    <w:rsid w:val="002777B3"/>
    <w:rsid w:val="0028098B"/>
    <w:rsid w:val="002820E2"/>
    <w:rsid w:val="002821AD"/>
    <w:rsid w:val="00283194"/>
    <w:rsid w:val="0028323B"/>
    <w:rsid w:val="0028367D"/>
    <w:rsid w:val="00283707"/>
    <w:rsid w:val="00283863"/>
    <w:rsid w:val="002841D7"/>
    <w:rsid w:val="002847EB"/>
    <w:rsid w:val="0028520F"/>
    <w:rsid w:val="0028580B"/>
    <w:rsid w:val="0028686C"/>
    <w:rsid w:val="002869B7"/>
    <w:rsid w:val="00286DCC"/>
    <w:rsid w:val="00287642"/>
    <w:rsid w:val="00290577"/>
    <w:rsid w:val="00290E21"/>
    <w:rsid w:val="00290E64"/>
    <w:rsid w:val="002932D8"/>
    <w:rsid w:val="0029390B"/>
    <w:rsid w:val="002950A9"/>
    <w:rsid w:val="00295B5E"/>
    <w:rsid w:val="002963BD"/>
    <w:rsid w:val="002A12E6"/>
    <w:rsid w:val="002A2708"/>
    <w:rsid w:val="002A288C"/>
    <w:rsid w:val="002A514B"/>
    <w:rsid w:val="002A6D15"/>
    <w:rsid w:val="002A700F"/>
    <w:rsid w:val="002A7130"/>
    <w:rsid w:val="002A7975"/>
    <w:rsid w:val="002B0640"/>
    <w:rsid w:val="002B1B19"/>
    <w:rsid w:val="002B26DE"/>
    <w:rsid w:val="002B3790"/>
    <w:rsid w:val="002B37FD"/>
    <w:rsid w:val="002B419A"/>
    <w:rsid w:val="002B4BF5"/>
    <w:rsid w:val="002B4F98"/>
    <w:rsid w:val="002B5C25"/>
    <w:rsid w:val="002B7B2D"/>
    <w:rsid w:val="002B7DC8"/>
    <w:rsid w:val="002B7E5C"/>
    <w:rsid w:val="002C0147"/>
    <w:rsid w:val="002C0ECA"/>
    <w:rsid w:val="002C1326"/>
    <w:rsid w:val="002C22A1"/>
    <w:rsid w:val="002C37CD"/>
    <w:rsid w:val="002C4804"/>
    <w:rsid w:val="002C54A7"/>
    <w:rsid w:val="002C576B"/>
    <w:rsid w:val="002C5F6F"/>
    <w:rsid w:val="002C6718"/>
    <w:rsid w:val="002C69BA"/>
    <w:rsid w:val="002C771D"/>
    <w:rsid w:val="002C77A2"/>
    <w:rsid w:val="002C7DDE"/>
    <w:rsid w:val="002D1A71"/>
    <w:rsid w:val="002D2EBE"/>
    <w:rsid w:val="002D33FB"/>
    <w:rsid w:val="002D4ABB"/>
    <w:rsid w:val="002D4BB9"/>
    <w:rsid w:val="002D59D3"/>
    <w:rsid w:val="002D5A12"/>
    <w:rsid w:val="002D6B52"/>
    <w:rsid w:val="002D70B8"/>
    <w:rsid w:val="002E190A"/>
    <w:rsid w:val="002E20F5"/>
    <w:rsid w:val="002E3E11"/>
    <w:rsid w:val="002E4BEF"/>
    <w:rsid w:val="002E5011"/>
    <w:rsid w:val="002E603C"/>
    <w:rsid w:val="002E6F66"/>
    <w:rsid w:val="002E7FB4"/>
    <w:rsid w:val="002F1550"/>
    <w:rsid w:val="002F18F7"/>
    <w:rsid w:val="002F19C0"/>
    <w:rsid w:val="002F2282"/>
    <w:rsid w:val="002F4E0A"/>
    <w:rsid w:val="002F650C"/>
    <w:rsid w:val="002F72C9"/>
    <w:rsid w:val="002F7BD3"/>
    <w:rsid w:val="0030025A"/>
    <w:rsid w:val="00300C01"/>
    <w:rsid w:val="00302641"/>
    <w:rsid w:val="00302BD7"/>
    <w:rsid w:val="00302C66"/>
    <w:rsid w:val="00303D0C"/>
    <w:rsid w:val="0030426A"/>
    <w:rsid w:val="003043B9"/>
    <w:rsid w:val="00304434"/>
    <w:rsid w:val="00304F06"/>
    <w:rsid w:val="00305173"/>
    <w:rsid w:val="003073A6"/>
    <w:rsid w:val="00310120"/>
    <w:rsid w:val="00310400"/>
    <w:rsid w:val="0031048D"/>
    <w:rsid w:val="0031067B"/>
    <w:rsid w:val="003107CD"/>
    <w:rsid w:val="00310C35"/>
    <w:rsid w:val="003112BA"/>
    <w:rsid w:val="00311383"/>
    <w:rsid w:val="003118DB"/>
    <w:rsid w:val="003118EB"/>
    <w:rsid w:val="00311E24"/>
    <w:rsid w:val="0031205D"/>
    <w:rsid w:val="00313630"/>
    <w:rsid w:val="00314553"/>
    <w:rsid w:val="00314DC6"/>
    <w:rsid w:val="00315768"/>
    <w:rsid w:val="00315D4C"/>
    <w:rsid w:val="00316519"/>
    <w:rsid w:val="00317DE1"/>
    <w:rsid w:val="003203DD"/>
    <w:rsid w:val="003211B9"/>
    <w:rsid w:val="00321D09"/>
    <w:rsid w:val="003221BC"/>
    <w:rsid w:val="003223EC"/>
    <w:rsid w:val="003230D2"/>
    <w:rsid w:val="0032454A"/>
    <w:rsid w:val="00324BB3"/>
    <w:rsid w:val="00324F30"/>
    <w:rsid w:val="003251D5"/>
    <w:rsid w:val="00325710"/>
    <w:rsid w:val="00325B98"/>
    <w:rsid w:val="00325FD1"/>
    <w:rsid w:val="003260F1"/>
    <w:rsid w:val="00326FDB"/>
    <w:rsid w:val="00327D1B"/>
    <w:rsid w:val="00327EFD"/>
    <w:rsid w:val="00330960"/>
    <w:rsid w:val="003309F2"/>
    <w:rsid w:val="00331215"/>
    <w:rsid w:val="003328B1"/>
    <w:rsid w:val="00332FB1"/>
    <w:rsid w:val="003337EA"/>
    <w:rsid w:val="00334AA0"/>
    <w:rsid w:val="003360B1"/>
    <w:rsid w:val="003364F4"/>
    <w:rsid w:val="003368F5"/>
    <w:rsid w:val="00336A4C"/>
    <w:rsid w:val="00340068"/>
    <w:rsid w:val="00340B1A"/>
    <w:rsid w:val="00340F2A"/>
    <w:rsid w:val="003416FE"/>
    <w:rsid w:val="00341B5F"/>
    <w:rsid w:val="00341E16"/>
    <w:rsid w:val="00342518"/>
    <w:rsid w:val="00343819"/>
    <w:rsid w:val="0034399B"/>
    <w:rsid w:val="00343F43"/>
    <w:rsid w:val="003459A8"/>
    <w:rsid w:val="00346671"/>
    <w:rsid w:val="003468FF"/>
    <w:rsid w:val="0035016F"/>
    <w:rsid w:val="00350C5F"/>
    <w:rsid w:val="003514D4"/>
    <w:rsid w:val="0035175C"/>
    <w:rsid w:val="003518A4"/>
    <w:rsid w:val="00352E5E"/>
    <w:rsid w:val="00353577"/>
    <w:rsid w:val="00354C58"/>
    <w:rsid w:val="00354C75"/>
    <w:rsid w:val="00354E43"/>
    <w:rsid w:val="00355CEB"/>
    <w:rsid w:val="00355F89"/>
    <w:rsid w:val="003569E6"/>
    <w:rsid w:val="0035738C"/>
    <w:rsid w:val="003603EF"/>
    <w:rsid w:val="0036113D"/>
    <w:rsid w:val="00361B4F"/>
    <w:rsid w:val="00361C3F"/>
    <w:rsid w:val="00363594"/>
    <w:rsid w:val="00364431"/>
    <w:rsid w:val="003647DA"/>
    <w:rsid w:val="00365518"/>
    <w:rsid w:val="00366B6B"/>
    <w:rsid w:val="00367F65"/>
    <w:rsid w:val="003705DD"/>
    <w:rsid w:val="00371991"/>
    <w:rsid w:val="00372602"/>
    <w:rsid w:val="00373D09"/>
    <w:rsid w:val="0037436D"/>
    <w:rsid w:val="0037500C"/>
    <w:rsid w:val="003757BA"/>
    <w:rsid w:val="0037661A"/>
    <w:rsid w:val="00376DEB"/>
    <w:rsid w:val="003774E3"/>
    <w:rsid w:val="00377B60"/>
    <w:rsid w:val="003804C8"/>
    <w:rsid w:val="00380726"/>
    <w:rsid w:val="00381321"/>
    <w:rsid w:val="00381FCC"/>
    <w:rsid w:val="003830DC"/>
    <w:rsid w:val="003840DF"/>
    <w:rsid w:val="003845A3"/>
    <w:rsid w:val="003849D6"/>
    <w:rsid w:val="00385A52"/>
    <w:rsid w:val="0038684F"/>
    <w:rsid w:val="00386D64"/>
    <w:rsid w:val="00386F22"/>
    <w:rsid w:val="003877B6"/>
    <w:rsid w:val="003906D2"/>
    <w:rsid w:val="003908F5"/>
    <w:rsid w:val="00390E38"/>
    <w:rsid w:val="00391C37"/>
    <w:rsid w:val="00391CD2"/>
    <w:rsid w:val="00392269"/>
    <w:rsid w:val="003925F5"/>
    <w:rsid w:val="00392FBB"/>
    <w:rsid w:val="00395D4F"/>
    <w:rsid w:val="003A0462"/>
    <w:rsid w:val="003A0F01"/>
    <w:rsid w:val="003A1750"/>
    <w:rsid w:val="003A2103"/>
    <w:rsid w:val="003A3406"/>
    <w:rsid w:val="003A442E"/>
    <w:rsid w:val="003A5075"/>
    <w:rsid w:val="003A6A10"/>
    <w:rsid w:val="003A7452"/>
    <w:rsid w:val="003A7F79"/>
    <w:rsid w:val="003B02D2"/>
    <w:rsid w:val="003B330D"/>
    <w:rsid w:val="003B3411"/>
    <w:rsid w:val="003B38BD"/>
    <w:rsid w:val="003B5272"/>
    <w:rsid w:val="003B5EC9"/>
    <w:rsid w:val="003B5FEE"/>
    <w:rsid w:val="003B74FC"/>
    <w:rsid w:val="003B7B53"/>
    <w:rsid w:val="003B7BFA"/>
    <w:rsid w:val="003B7EAB"/>
    <w:rsid w:val="003C1229"/>
    <w:rsid w:val="003C1ABB"/>
    <w:rsid w:val="003C2119"/>
    <w:rsid w:val="003C2314"/>
    <w:rsid w:val="003C3327"/>
    <w:rsid w:val="003C5942"/>
    <w:rsid w:val="003C713F"/>
    <w:rsid w:val="003D1087"/>
    <w:rsid w:val="003D1EF1"/>
    <w:rsid w:val="003D2473"/>
    <w:rsid w:val="003D2F36"/>
    <w:rsid w:val="003D352E"/>
    <w:rsid w:val="003D3ABC"/>
    <w:rsid w:val="003D407D"/>
    <w:rsid w:val="003D48DD"/>
    <w:rsid w:val="003D52A8"/>
    <w:rsid w:val="003D69A1"/>
    <w:rsid w:val="003D6FE1"/>
    <w:rsid w:val="003E070F"/>
    <w:rsid w:val="003E0FE1"/>
    <w:rsid w:val="003E3374"/>
    <w:rsid w:val="003E392E"/>
    <w:rsid w:val="003E3E23"/>
    <w:rsid w:val="003E3F39"/>
    <w:rsid w:val="003E7755"/>
    <w:rsid w:val="003E7C75"/>
    <w:rsid w:val="003E7CF3"/>
    <w:rsid w:val="003F0EEE"/>
    <w:rsid w:val="003F1677"/>
    <w:rsid w:val="003F1905"/>
    <w:rsid w:val="003F2F47"/>
    <w:rsid w:val="003F3352"/>
    <w:rsid w:val="003F4127"/>
    <w:rsid w:val="003F4778"/>
    <w:rsid w:val="003F75DA"/>
    <w:rsid w:val="003F7A97"/>
    <w:rsid w:val="003F7C6A"/>
    <w:rsid w:val="00400371"/>
    <w:rsid w:val="0040054B"/>
    <w:rsid w:val="00400BC0"/>
    <w:rsid w:val="00401501"/>
    <w:rsid w:val="0040471D"/>
    <w:rsid w:val="004047D2"/>
    <w:rsid w:val="00405457"/>
    <w:rsid w:val="00406BFE"/>
    <w:rsid w:val="00406CD6"/>
    <w:rsid w:val="00407121"/>
    <w:rsid w:val="00407421"/>
    <w:rsid w:val="00407565"/>
    <w:rsid w:val="004100C3"/>
    <w:rsid w:val="00411462"/>
    <w:rsid w:val="00411F49"/>
    <w:rsid w:val="004145C5"/>
    <w:rsid w:val="00415021"/>
    <w:rsid w:val="00415036"/>
    <w:rsid w:val="00416011"/>
    <w:rsid w:val="004174D3"/>
    <w:rsid w:val="004179CC"/>
    <w:rsid w:val="00420307"/>
    <w:rsid w:val="0042031D"/>
    <w:rsid w:val="00420920"/>
    <w:rsid w:val="0042187F"/>
    <w:rsid w:val="00422FBE"/>
    <w:rsid w:val="00423611"/>
    <w:rsid w:val="00423734"/>
    <w:rsid w:val="00424964"/>
    <w:rsid w:val="00426B1B"/>
    <w:rsid w:val="00427026"/>
    <w:rsid w:val="004270FF"/>
    <w:rsid w:val="0042767F"/>
    <w:rsid w:val="00430BA2"/>
    <w:rsid w:val="004312F6"/>
    <w:rsid w:val="0043214F"/>
    <w:rsid w:val="00432270"/>
    <w:rsid w:val="00432738"/>
    <w:rsid w:val="0043483C"/>
    <w:rsid w:val="00434B7F"/>
    <w:rsid w:val="00435AB8"/>
    <w:rsid w:val="00436BB9"/>
    <w:rsid w:val="00436C02"/>
    <w:rsid w:val="00437275"/>
    <w:rsid w:val="004372C5"/>
    <w:rsid w:val="00437CDA"/>
    <w:rsid w:val="00440A8A"/>
    <w:rsid w:val="0044123F"/>
    <w:rsid w:val="004419C6"/>
    <w:rsid w:val="0044287F"/>
    <w:rsid w:val="00442A44"/>
    <w:rsid w:val="00442E69"/>
    <w:rsid w:val="00443303"/>
    <w:rsid w:val="004438C0"/>
    <w:rsid w:val="00444287"/>
    <w:rsid w:val="0044442A"/>
    <w:rsid w:val="004455F7"/>
    <w:rsid w:val="004457C3"/>
    <w:rsid w:val="004463C1"/>
    <w:rsid w:val="004467B6"/>
    <w:rsid w:val="00447ED5"/>
    <w:rsid w:val="0045127D"/>
    <w:rsid w:val="004517FA"/>
    <w:rsid w:val="00453D73"/>
    <w:rsid w:val="00454192"/>
    <w:rsid w:val="004554DB"/>
    <w:rsid w:val="00457CE9"/>
    <w:rsid w:val="00457E10"/>
    <w:rsid w:val="004603F8"/>
    <w:rsid w:val="00461161"/>
    <w:rsid w:val="00462751"/>
    <w:rsid w:val="00462C8A"/>
    <w:rsid w:val="004631F4"/>
    <w:rsid w:val="00465CE8"/>
    <w:rsid w:val="00465D0A"/>
    <w:rsid w:val="0046657D"/>
    <w:rsid w:val="004665F0"/>
    <w:rsid w:val="0046688D"/>
    <w:rsid w:val="004702D7"/>
    <w:rsid w:val="00471055"/>
    <w:rsid w:val="004716CD"/>
    <w:rsid w:val="00471F01"/>
    <w:rsid w:val="00472DFF"/>
    <w:rsid w:val="00472FBE"/>
    <w:rsid w:val="00473F3E"/>
    <w:rsid w:val="00474C26"/>
    <w:rsid w:val="0047562E"/>
    <w:rsid w:val="004763E8"/>
    <w:rsid w:val="00476662"/>
    <w:rsid w:val="00477BCE"/>
    <w:rsid w:val="00477C5F"/>
    <w:rsid w:val="00477D96"/>
    <w:rsid w:val="004808C9"/>
    <w:rsid w:val="00480DBE"/>
    <w:rsid w:val="004814B2"/>
    <w:rsid w:val="004815FC"/>
    <w:rsid w:val="00481905"/>
    <w:rsid w:val="00482B08"/>
    <w:rsid w:val="00482B45"/>
    <w:rsid w:val="00482E14"/>
    <w:rsid w:val="00483983"/>
    <w:rsid w:val="00483F79"/>
    <w:rsid w:val="0048451E"/>
    <w:rsid w:val="00484CA2"/>
    <w:rsid w:val="004850AC"/>
    <w:rsid w:val="004851CE"/>
    <w:rsid w:val="0048544B"/>
    <w:rsid w:val="00485D73"/>
    <w:rsid w:val="00487318"/>
    <w:rsid w:val="004878E0"/>
    <w:rsid w:val="0049048A"/>
    <w:rsid w:val="00490702"/>
    <w:rsid w:val="00491F2E"/>
    <w:rsid w:val="00492CF2"/>
    <w:rsid w:val="00492DD8"/>
    <w:rsid w:val="00493382"/>
    <w:rsid w:val="00493523"/>
    <w:rsid w:val="00493ACB"/>
    <w:rsid w:val="00494A56"/>
    <w:rsid w:val="004953A2"/>
    <w:rsid w:val="004957C7"/>
    <w:rsid w:val="004962F1"/>
    <w:rsid w:val="004969D5"/>
    <w:rsid w:val="00496BF0"/>
    <w:rsid w:val="004A0810"/>
    <w:rsid w:val="004A0D38"/>
    <w:rsid w:val="004A0E22"/>
    <w:rsid w:val="004A1109"/>
    <w:rsid w:val="004A15E5"/>
    <w:rsid w:val="004A1C55"/>
    <w:rsid w:val="004A1F6B"/>
    <w:rsid w:val="004A26D3"/>
    <w:rsid w:val="004A31F1"/>
    <w:rsid w:val="004A39C3"/>
    <w:rsid w:val="004A3D7D"/>
    <w:rsid w:val="004A432C"/>
    <w:rsid w:val="004A488A"/>
    <w:rsid w:val="004A4EE0"/>
    <w:rsid w:val="004A543F"/>
    <w:rsid w:val="004A54AF"/>
    <w:rsid w:val="004A5F5D"/>
    <w:rsid w:val="004A65F4"/>
    <w:rsid w:val="004A75C0"/>
    <w:rsid w:val="004B1A4D"/>
    <w:rsid w:val="004B1FB7"/>
    <w:rsid w:val="004B231C"/>
    <w:rsid w:val="004B2622"/>
    <w:rsid w:val="004B2C84"/>
    <w:rsid w:val="004B3D08"/>
    <w:rsid w:val="004B413E"/>
    <w:rsid w:val="004B4B54"/>
    <w:rsid w:val="004B53BD"/>
    <w:rsid w:val="004B5DCA"/>
    <w:rsid w:val="004B6E13"/>
    <w:rsid w:val="004B7358"/>
    <w:rsid w:val="004B7412"/>
    <w:rsid w:val="004B7754"/>
    <w:rsid w:val="004B7DEB"/>
    <w:rsid w:val="004C0271"/>
    <w:rsid w:val="004C0502"/>
    <w:rsid w:val="004C3828"/>
    <w:rsid w:val="004C39E4"/>
    <w:rsid w:val="004C3F3A"/>
    <w:rsid w:val="004C4092"/>
    <w:rsid w:val="004C4331"/>
    <w:rsid w:val="004C5239"/>
    <w:rsid w:val="004C5E3B"/>
    <w:rsid w:val="004C6C77"/>
    <w:rsid w:val="004C6CB0"/>
    <w:rsid w:val="004C7477"/>
    <w:rsid w:val="004C76EF"/>
    <w:rsid w:val="004C7D6D"/>
    <w:rsid w:val="004D2510"/>
    <w:rsid w:val="004D2F91"/>
    <w:rsid w:val="004D30CA"/>
    <w:rsid w:val="004D3905"/>
    <w:rsid w:val="004D3E19"/>
    <w:rsid w:val="004D5D93"/>
    <w:rsid w:val="004E08C6"/>
    <w:rsid w:val="004E0BD4"/>
    <w:rsid w:val="004E0C45"/>
    <w:rsid w:val="004E147E"/>
    <w:rsid w:val="004E16F7"/>
    <w:rsid w:val="004E1C95"/>
    <w:rsid w:val="004E1F8F"/>
    <w:rsid w:val="004E2001"/>
    <w:rsid w:val="004E2113"/>
    <w:rsid w:val="004E269E"/>
    <w:rsid w:val="004E2838"/>
    <w:rsid w:val="004E2856"/>
    <w:rsid w:val="004E2FFC"/>
    <w:rsid w:val="004E3471"/>
    <w:rsid w:val="004E3C0D"/>
    <w:rsid w:val="004E4B9A"/>
    <w:rsid w:val="004E55CB"/>
    <w:rsid w:val="004E5B5E"/>
    <w:rsid w:val="004E5DCD"/>
    <w:rsid w:val="004E7931"/>
    <w:rsid w:val="004E7B37"/>
    <w:rsid w:val="004F2027"/>
    <w:rsid w:val="004F2AC3"/>
    <w:rsid w:val="004F2E9C"/>
    <w:rsid w:val="004F3483"/>
    <w:rsid w:val="004F4490"/>
    <w:rsid w:val="004F4D57"/>
    <w:rsid w:val="004F4DB5"/>
    <w:rsid w:val="004F4DE8"/>
    <w:rsid w:val="004F50AE"/>
    <w:rsid w:val="004F52AE"/>
    <w:rsid w:val="004F54AA"/>
    <w:rsid w:val="004F64B5"/>
    <w:rsid w:val="004F6B61"/>
    <w:rsid w:val="00500AD0"/>
    <w:rsid w:val="00500D6C"/>
    <w:rsid w:val="005011B8"/>
    <w:rsid w:val="00501C02"/>
    <w:rsid w:val="00502207"/>
    <w:rsid w:val="005025E7"/>
    <w:rsid w:val="00503439"/>
    <w:rsid w:val="005058DC"/>
    <w:rsid w:val="00506BA7"/>
    <w:rsid w:val="0050731F"/>
    <w:rsid w:val="00507CAE"/>
    <w:rsid w:val="00507ED5"/>
    <w:rsid w:val="005102F7"/>
    <w:rsid w:val="00510CF0"/>
    <w:rsid w:val="00511442"/>
    <w:rsid w:val="0051208C"/>
    <w:rsid w:val="00512189"/>
    <w:rsid w:val="00512942"/>
    <w:rsid w:val="00513089"/>
    <w:rsid w:val="005130A9"/>
    <w:rsid w:val="00513227"/>
    <w:rsid w:val="00513798"/>
    <w:rsid w:val="00513ADA"/>
    <w:rsid w:val="00514131"/>
    <w:rsid w:val="00514742"/>
    <w:rsid w:val="00515495"/>
    <w:rsid w:val="00515A33"/>
    <w:rsid w:val="00515D05"/>
    <w:rsid w:val="005160FE"/>
    <w:rsid w:val="0051628C"/>
    <w:rsid w:val="005162FA"/>
    <w:rsid w:val="005165DC"/>
    <w:rsid w:val="00517BCE"/>
    <w:rsid w:val="005228F0"/>
    <w:rsid w:val="005229BB"/>
    <w:rsid w:val="005229C0"/>
    <w:rsid w:val="00523135"/>
    <w:rsid w:val="005231A8"/>
    <w:rsid w:val="00526782"/>
    <w:rsid w:val="005269D1"/>
    <w:rsid w:val="0052739D"/>
    <w:rsid w:val="005274DF"/>
    <w:rsid w:val="005303DB"/>
    <w:rsid w:val="005304E2"/>
    <w:rsid w:val="00530BAF"/>
    <w:rsid w:val="00530C55"/>
    <w:rsid w:val="00530D46"/>
    <w:rsid w:val="00532185"/>
    <w:rsid w:val="0053278D"/>
    <w:rsid w:val="00533203"/>
    <w:rsid w:val="005341A7"/>
    <w:rsid w:val="00534895"/>
    <w:rsid w:val="005348F3"/>
    <w:rsid w:val="00534FC9"/>
    <w:rsid w:val="00535554"/>
    <w:rsid w:val="00536B6F"/>
    <w:rsid w:val="0053735E"/>
    <w:rsid w:val="00537AB0"/>
    <w:rsid w:val="005406DC"/>
    <w:rsid w:val="00540E68"/>
    <w:rsid w:val="00542295"/>
    <w:rsid w:val="005435A9"/>
    <w:rsid w:val="00545178"/>
    <w:rsid w:val="00545916"/>
    <w:rsid w:val="00545954"/>
    <w:rsid w:val="005459FE"/>
    <w:rsid w:val="00545A33"/>
    <w:rsid w:val="00545E4C"/>
    <w:rsid w:val="00545FF4"/>
    <w:rsid w:val="005467DA"/>
    <w:rsid w:val="00547100"/>
    <w:rsid w:val="00550620"/>
    <w:rsid w:val="00551780"/>
    <w:rsid w:val="00552698"/>
    <w:rsid w:val="00553CE5"/>
    <w:rsid w:val="00553DC3"/>
    <w:rsid w:val="00554236"/>
    <w:rsid w:val="00554629"/>
    <w:rsid w:val="00555026"/>
    <w:rsid w:val="0055610A"/>
    <w:rsid w:val="0055657A"/>
    <w:rsid w:val="00557434"/>
    <w:rsid w:val="00557E35"/>
    <w:rsid w:val="00560C17"/>
    <w:rsid w:val="0056114B"/>
    <w:rsid w:val="0056289D"/>
    <w:rsid w:val="00565103"/>
    <w:rsid w:val="005653E2"/>
    <w:rsid w:val="00565997"/>
    <w:rsid w:val="00565D50"/>
    <w:rsid w:val="0056664D"/>
    <w:rsid w:val="00566725"/>
    <w:rsid w:val="005704F2"/>
    <w:rsid w:val="00570B7E"/>
    <w:rsid w:val="00570E04"/>
    <w:rsid w:val="005714D1"/>
    <w:rsid w:val="00572155"/>
    <w:rsid w:val="005727B1"/>
    <w:rsid w:val="005738AF"/>
    <w:rsid w:val="00573F9D"/>
    <w:rsid w:val="00576739"/>
    <w:rsid w:val="00576BB9"/>
    <w:rsid w:val="00576F81"/>
    <w:rsid w:val="0057765E"/>
    <w:rsid w:val="005814E8"/>
    <w:rsid w:val="00581AB9"/>
    <w:rsid w:val="00582F64"/>
    <w:rsid w:val="00583524"/>
    <w:rsid w:val="0058394F"/>
    <w:rsid w:val="00583C9E"/>
    <w:rsid w:val="005851D1"/>
    <w:rsid w:val="00585B2E"/>
    <w:rsid w:val="00585DA4"/>
    <w:rsid w:val="00585EBA"/>
    <w:rsid w:val="005866BC"/>
    <w:rsid w:val="0058673D"/>
    <w:rsid w:val="00586894"/>
    <w:rsid w:val="005905F8"/>
    <w:rsid w:val="00590972"/>
    <w:rsid w:val="0059306C"/>
    <w:rsid w:val="00593299"/>
    <w:rsid w:val="00593351"/>
    <w:rsid w:val="00593C70"/>
    <w:rsid w:val="00595177"/>
    <w:rsid w:val="005962F3"/>
    <w:rsid w:val="00596C9B"/>
    <w:rsid w:val="00596F9F"/>
    <w:rsid w:val="00597DE8"/>
    <w:rsid w:val="005A03D2"/>
    <w:rsid w:val="005A17D5"/>
    <w:rsid w:val="005A2CC9"/>
    <w:rsid w:val="005A2D69"/>
    <w:rsid w:val="005A3291"/>
    <w:rsid w:val="005A40F9"/>
    <w:rsid w:val="005A476C"/>
    <w:rsid w:val="005A5D4A"/>
    <w:rsid w:val="005A63AD"/>
    <w:rsid w:val="005A6507"/>
    <w:rsid w:val="005A67BD"/>
    <w:rsid w:val="005A6932"/>
    <w:rsid w:val="005A69D6"/>
    <w:rsid w:val="005B0242"/>
    <w:rsid w:val="005B029A"/>
    <w:rsid w:val="005B126C"/>
    <w:rsid w:val="005B1857"/>
    <w:rsid w:val="005B1DA8"/>
    <w:rsid w:val="005B1DD6"/>
    <w:rsid w:val="005B2074"/>
    <w:rsid w:val="005B25B0"/>
    <w:rsid w:val="005B286C"/>
    <w:rsid w:val="005B33CB"/>
    <w:rsid w:val="005B4142"/>
    <w:rsid w:val="005B49FC"/>
    <w:rsid w:val="005B53FF"/>
    <w:rsid w:val="005B6A86"/>
    <w:rsid w:val="005B6E2B"/>
    <w:rsid w:val="005C02C1"/>
    <w:rsid w:val="005C0666"/>
    <w:rsid w:val="005C0E38"/>
    <w:rsid w:val="005C1801"/>
    <w:rsid w:val="005C2287"/>
    <w:rsid w:val="005C2DDD"/>
    <w:rsid w:val="005C30CE"/>
    <w:rsid w:val="005C34A2"/>
    <w:rsid w:val="005C35FB"/>
    <w:rsid w:val="005C3C55"/>
    <w:rsid w:val="005C4991"/>
    <w:rsid w:val="005C5C68"/>
    <w:rsid w:val="005C6782"/>
    <w:rsid w:val="005C7109"/>
    <w:rsid w:val="005D0D84"/>
    <w:rsid w:val="005D11C9"/>
    <w:rsid w:val="005D2417"/>
    <w:rsid w:val="005D2489"/>
    <w:rsid w:val="005D24A1"/>
    <w:rsid w:val="005D34BD"/>
    <w:rsid w:val="005D3598"/>
    <w:rsid w:val="005D4AE6"/>
    <w:rsid w:val="005D7BE8"/>
    <w:rsid w:val="005E07ED"/>
    <w:rsid w:val="005E21D9"/>
    <w:rsid w:val="005E251C"/>
    <w:rsid w:val="005E2911"/>
    <w:rsid w:val="005E3EDE"/>
    <w:rsid w:val="005E3F64"/>
    <w:rsid w:val="005E4A73"/>
    <w:rsid w:val="005E5C1B"/>
    <w:rsid w:val="005E62AC"/>
    <w:rsid w:val="005E6F0A"/>
    <w:rsid w:val="005E7E64"/>
    <w:rsid w:val="005F0816"/>
    <w:rsid w:val="005F0BC4"/>
    <w:rsid w:val="005F28D9"/>
    <w:rsid w:val="005F424C"/>
    <w:rsid w:val="005F4FEF"/>
    <w:rsid w:val="005F5DC8"/>
    <w:rsid w:val="005F5FBF"/>
    <w:rsid w:val="005F751B"/>
    <w:rsid w:val="005F7EF2"/>
    <w:rsid w:val="0060148F"/>
    <w:rsid w:val="0060149F"/>
    <w:rsid w:val="0060196E"/>
    <w:rsid w:val="00601E8C"/>
    <w:rsid w:val="0060233D"/>
    <w:rsid w:val="00602434"/>
    <w:rsid w:val="006031AB"/>
    <w:rsid w:val="006031EB"/>
    <w:rsid w:val="00604584"/>
    <w:rsid w:val="006046B8"/>
    <w:rsid w:val="00604C27"/>
    <w:rsid w:val="00605288"/>
    <w:rsid w:val="00605F46"/>
    <w:rsid w:val="00606E99"/>
    <w:rsid w:val="0060733D"/>
    <w:rsid w:val="00607703"/>
    <w:rsid w:val="006078D3"/>
    <w:rsid w:val="0061069A"/>
    <w:rsid w:val="006111C2"/>
    <w:rsid w:val="0061127E"/>
    <w:rsid w:val="0061194D"/>
    <w:rsid w:val="00612BB9"/>
    <w:rsid w:val="00612DD8"/>
    <w:rsid w:val="0061411C"/>
    <w:rsid w:val="00614FBA"/>
    <w:rsid w:val="0061567A"/>
    <w:rsid w:val="0061616A"/>
    <w:rsid w:val="006165C5"/>
    <w:rsid w:val="00617083"/>
    <w:rsid w:val="00617B56"/>
    <w:rsid w:val="00617D25"/>
    <w:rsid w:val="00620D55"/>
    <w:rsid w:val="006218FB"/>
    <w:rsid w:val="00623962"/>
    <w:rsid w:val="0062413D"/>
    <w:rsid w:val="00624E63"/>
    <w:rsid w:val="00624FA7"/>
    <w:rsid w:val="00625A00"/>
    <w:rsid w:val="00625E1D"/>
    <w:rsid w:val="0062623E"/>
    <w:rsid w:val="00627976"/>
    <w:rsid w:val="00627E0F"/>
    <w:rsid w:val="0063090D"/>
    <w:rsid w:val="00630982"/>
    <w:rsid w:val="00630AB0"/>
    <w:rsid w:val="00630B08"/>
    <w:rsid w:val="00630C71"/>
    <w:rsid w:val="0063109B"/>
    <w:rsid w:val="006310B9"/>
    <w:rsid w:val="006325F9"/>
    <w:rsid w:val="00633BF6"/>
    <w:rsid w:val="00635038"/>
    <w:rsid w:val="006351D5"/>
    <w:rsid w:val="00636060"/>
    <w:rsid w:val="00637A08"/>
    <w:rsid w:val="00637A98"/>
    <w:rsid w:val="00637B95"/>
    <w:rsid w:val="00640114"/>
    <w:rsid w:val="0064178C"/>
    <w:rsid w:val="00642430"/>
    <w:rsid w:val="00642C04"/>
    <w:rsid w:val="00643404"/>
    <w:rsid w:val="0064363B"/>
    <w:rsid w:val="0064535A"/>
    <w:rsid w:val="00645802"/>
    <w:rsid w:val="00645B8B"/>
    <w:rsid w:val="00646773"/>
    <w:rsid w:val="00646A6A"/>
    <w:rsid w:val="006470EA"/>
    <w:rsid w:val="00647361"/>
    <w:rsid w:val="0064749A"/>
    <w:rsid w:val="00650003"/>
    <w:rsid w:val="00650967"/>
    <w:rsid w:val="00650C9A"/>
    <w:rsid w:val="006518BF"/>
    <w:rsid w:val="00651FC8"/>
    <w:rsid w:val="006520C8"/>
    <w:rsid w:val="006532B1"/>
    <w:rsid w:val="0065336C"/>
    <w:rsid w:val="0065364F"/>
    <w:rsid w:val="00655225"/>
    <w:rsid w:val="006558F7"/>
    <w:rsid w:val="00655A18"/>
    <w:rsid w:val="006564E8"/>
    <w:rsid w:val="006566E7"/>
    <w:rsid w:val="006617C8"/>
    <w:rsid w:val="00663761"/>
    <w:rsid w:val="00663A14"/>
    <w:rsid w:val="00664339"/>
    <w:rsid w:val="006653CC"/>
    <w:rsid w:val="00670699"/>
    <w:rsid w:val="00670722"/>
    <w:rsid w:val="0067083B"/>
    <w:rsid w:val="00671A32"/>
    <w:rsid w:val="00672092"/>
    <w:rsid w:val="00672200"/>
    <w:rsid w:val="00672955"/>
    <w:rsid w:val="00672B54"/>
    <w:rsid w:val="00673E30"/>
    <w:rsid w:val="0067473E"/>
    <w:rsid w:val="00674A8C"/>
    <w:rsid w:val="00675403"/>
    <w:rsid w:val="006756D2"/>
    <w:rsid w:val="0067622F"/>
    <w:rsid w:val="00676705"/>
    <w:rsid w:val="006802FD"/>
    <w:rsid w:val="00680911"/>
    <w:rsid w:val="00681A77"/>
    <w:rsid w:val="006821F7"/>
    <w:rsid w:val="00683F66"/>
    <w:rsid w:val="006842E6"/>
    <w:rsid w:val="00685286"/>
    <w:rsid w:val="00685377"/>
    <w:rsid w:val="0068577E"/>
    <w:rsid w:val="006864AD"/>
    <w:rsid w:val="00686F91"/>
    <w:rsid w:val="00690A94"/>
    <w:rsid w:val="006915D5"/>
    <w:rsid w:val="0069167E"/>
    <w:rsid w:val="00691AB8"/>
    <w:rsid w:val="00691CCB"/>
    <w:rsid w:val="006942F0"/>
    <w:rsid w:val="00695A47"/>
    <w:rsid w:val="00695BDB"/>
    <w:rsid w:val="00695E92"/>
    <w:rsid w:val="00696AE3"/>
    <w:rsid w:val="00697DF5"/>
    <w:rsid w:val="006A0E01"/>
    <w:rsid w:val="006A17E8"/>
    <w:rsid w:val="006A2933"/>
    <w:rsid w:val="006A54B3"/>
    <w:rsid w:val="006A5519"/>
    <w:rsid w:val="006A67E2"/>
    <w:rsid w:val="006B166F"/>
    <w:rsid w:val="006B1C8E"/>
    <w:rsid w:val="006B26EC"/>
    <w:rsid w:val="006B2C0A"/>
    <w:rsid w:val="006B2EC5"/>
    <w:rsid w:val="006B58B8"/>
    <w:rsid w:val="006B5E61"/>
    <w:rsid w:val="006B7512"/>
    <w:rsid w:val="006B75A3"/>
    <w:rsid w:val="006B772D"/>
    <w:rsid w:val="006B7BAC"/>
    <w:rsid w:val="006B7EF2"/>
    <w:rsid w:val="006C0678"/>
    <w:rsid w:val="006C0DEE"/>
    <w:rsid w:val="006C1B40"/>
    <w:rsid w:val="006C2297"/>
    <w:rsid w:val="006C4591"/>
    <w:rsid w:val="006C5664"/>
    <w:rsid w:val="006C6AB2"/>
    <w:rsid w:val="006C7314"/>
    <w:rsid w:val="006C73CA"/>
    <w:rsid w:val="006C7B3E"/>
    <w:rsid w:val="006C7F8C"/>
    <w:rsid w:val="006D02C4"/>
    <w:rsid w:val="006D19BB"/>
    <w:rsid w:val="006D2C05"/>
    <w:rsid w:val="006D2E39"/>
    <w:rsid w:val="006D3619"/>
    <w:rsid w:val="006D4A88"/>
    <w:rsid w:val="006D4E88"/>
    <w:rsid w:val="006D54BB"/>
    <w:rsid w:val="006D77AA"/>
    <w:rsid w:val="006E143D"/>
    <w:rsid w:val="006E2436"/>
    <w:rsid w:val="006E293A"/>
    <w:rsid w:val="006E33DE"/>
    <w:rsid w:val="006E3593"/>
    <w:rsid w:val="006E4ABE"/>
    <w:rsid w:val="006E5EB2"/>
    <w:rsid w:val="006E6ACF"/>
    <w:rsid w:val="006E6CD6"/>
    <w:rsid w:val="006E7091"/>
    <w:rsid w:val="006E73D2"/>
    <w:rsid w:val="006E768D"/>
    <w:rsid w:val="006F0F7A"/>
    <w:rsid w:val="006F2521"/>
    <w:rsid w:val="006F46F7"/>
    <w:rsid w:val="006F4EDD"/>
    <w:rsid w:val="006F61E8"/>
    <w:rsid w:val="006F757D"/>
    <w:rsid w:val="00700032"/>
    <w:rsid w:val="00700390"/>
    <w:rsid w:val="00700826"/>
    <w:rsid w:val="00700DB3"/>
    <w:rsid w:val="0070103D"/>
    <w:rsid w:val="007028BC"/>
    <w:rsid w:val="007032E9"/>
    <w:rsid w:val="00703A8F"/>
    <w:rsid w:val="0070434A"/>
    <w:rsid w:val="007053EE"/>
    <w:rsid w:val="0070588A"/>
    <w:rsid w:val="0070604E"/>
    <w:rsid w:val="00706BEA"/>
    <w:rsid w:val="00706F02"/>
    <w:rsid w:val="00706F5B"/>
    <w:rsid w:val="0071214A"/>
    <w:rsid w:val="0071238C"/>
    <w:rsid w:val="0071286E"/>
    <w:rsid w:val="00713264"/>
    <w:rsid w:val="00713872"/>
    <w:rsid w:val="00713AF3"/>
    <w:rsid w:val="00713B44"/>
    <w:rsid w:val="007142B7"/>
    <w:rsid w:val="00714F21"/>
    <w:rsid w:val="00715C87"/>
    <w:rsid w:val="00716169"/>
    <w:rsid w:val="0071722E"/>
    <w:rsid w:val="00717725"/>
    <w:rsid w:val="00720EE3"/>
    <w:rsid w:val="00721644"/>
    <w:rsid w:val="00721720"/>
    <w:rsid w:val="00721B98"/>
    <w:rsid w:val="0072312F"/>
    <w:rsid w:val="007237B4"/>
    <w:rsid w:val="00723B91"/>
    <w:rsid w:val="00724059"/>
    <w:rsid w:val="00724675"/>
    <w:rsid w:val="00724E70"/>
    <w:rsid w:val="007256F9"/>
    <w:rsid w:val="00725834"/>
    <w:rsid w:val="00726409"/>
    <w:rsid w:val="00726DB3"/>
    <w:rsid w:val="007307C4"/>
    <w:rsid w:val="007347C2"/>
    <w:rsid w:val="00734BBE"/>
    <w:rsid w:val="00734D5E"/>
    <w:rsid w:val="00734E1C"/>
    <w:rsid w:val="00735417"/>
    <w:rsid w:val="00735AF1"/>
    <w:rsid w:val="0073723A"/>
    <w:rsid w:val="007403AC"/>
    <w:rsid w:val="007405C2"/>
    <w:rsid w:val="007406FB"/>
    <w:rsid w:val="00740836"/>
    <w:rsid w:val="007410E5"/>
    <w:rsid w:val="00741385"/>
    <w:rsid w:val="0074142B"/>
    <w:rsid w:val="007415BA"/>
    <w:rsid w:val="00741C2F"/>
    <w:rsid w:val="007427AD"/>
    <w:rsid w:val="00743444"/>
    <w:rsid w:val="00743945"/>
    <w:rsid w:val="00743F50"/>
    <w:rsid w:val="00744493"/>
    <w:rsid w:val="0074522F"/>
    <w:rsid w:val="007458D5"/>
    <w:rsid w:val="00745B23"/>
    <w:rsid w:val="00745B49"/>
    <w:rsid w:val="0074600F"/>
    <w:rsid w:val="00746BE8"/>
    <w:rsid w:val="007473DC"/>
    <w:rsid w:val="00747567"/>
    <w:rsid w:val="00747E49"/>
    <w:rsid w:val="00750E0C"/>
    <w:rsid w:val="007530A0"/>
    <w:rsid w:val="00754545"/>
    <w:rsid w:val="007551E5"/>
    <w:rsid w:val="00756921"/>
    <w:rsid w:val="00761035"/>
    <w:rsid w:val="007618F3"/>
    <w:rsid w:val="00761E39"/>
    <w:rsid w:val="007637A5"/>
    <w:rsid w:val="0076397F"/>
    <w:rsid w:val="00763BCF"/>
    <w:rsid w:val="0076589E"/>
    <w:rsid w:val="0076626E"/>
    <w:rsid w:val="00766373"/>
    <w:rsid w:val="00766544"/>
    <w:rsid w:val="00766836"/>
    <w:rsid w:val="007668E1"/>
    <w:rsid w:val="00766AA8"/>
    <w:rsid w:val="00767147"/>
    <w:rsid w:val="0076716B"/>
    <w:rsid w:val="00767BD2"/>
    <w:rsid w:val="007720C2"/>
    <w:rsid w:val="00772A72"/>
    <w:rsid w:val="007733DD"/>
    <w:rsid w:val="00774436"/>
    <w:rsid w:val="00775338"/>
    <w:rsid w:val="00776034"/>
    <w:rsid w:val="007773A0"/>
    <w:rsid w:val="00777CF6"/>
    <w:rsid w:val="00780129"/>
    <w:rsid w:val="00780760"/>
    <w:rsid w:val="007807F0"/>
    <w:rsid w:val="007807FD"/>
    <w:rsid w:val="00781CCD"/>
    <w:rsid w:val="00781D45"/>
    <w:rsid w:val="00781FF3"/>
    <w:rsid w:val="0078277E"/>
    <w:rsid w:val="00784752"/>
    <w:rsid w:val="00784926"/>
    <w:rsid w:val="007855AB"/>
    <w:rsid w:val="00785AA8"/>
    <w:rsid w:val="00786902"/>
    <w:rsid w:val="00786D3F"/>
    <w:rsid w:val="00787FA2"/>
    <w:rsid w:val="00790D34"/>
    <w:rsid w:val="00791A0E"/>
    <w:rsid w:val="00791C3B"/>
    <w:rsid w:val="00791EEA"/>
    <w:rsid w:val="00792458"/>
    <w:rsid w:val="00792F14"/>
    <w:rsid w:val="007939C8"/>
    <w:rsid w:val="00793A58"/>
    <w:rsid w:val="007946D0"/>
    <w:rsid w:val="00795142"/>
    <w:rsid w:val="007956CE"/>
    <w:rsid w:val="00795856"/>
    <w:rsid w:val="00795AAB"/>
    <w:rsid w:val="00796173"/>
    <w:rsid w:val="00796174"/>
    <w:rsid w:val="00797728"/>
    <w:rsid w:val="0079783F"/>
    <w:rsid w:val="00797D6E"/>
    <w:rsid w:val="00797FFE"/>
    <w:rsid w:val="007A058E"/>
    <w:rsid w:val="007A14D3"/>
    <w:rsid w:val="007A1F15"/>
    <w:rsid w:val="007A2217"/>
    <w:rsid w:val="007A2873"/>
    <w:rsid w:val="007A35BD"/>
    <w:rsid w:val="007A3660"/>
    <w:rsid w:val="007A3AE2"/>
    <w:rsid w:val="007A4D2D"/>
    <w:rsid w:val="007A4D7D"/>
    <w:rsid w:val="007A66F0"/>
    <w:rsid w:val="007A6DF4"/>
    <w:rsid w:val="007A6EF4"/>
    <w:rsid w:val="007A7171"/>
    <w:rsid w:val="007B0DB7"/>
    <w:rsid w:val="007B25FB"/>
    <w:rsid w:val="007B37DC"/>
    <w:rsid w:val="007B38BF"/>
    <w:rsid w:val="007B44E3"/>
    <w:rsid w:val="007B4954"/>
    <w:rsid w:val="007B4F2D"/>
    <w:rsid w:val="007B6A83"/>
    <w:rsid w:val="007B721F"/>
    <w:rsid w:val="007B7665"/>
    <w:rsid w:val="007B7697"/>
    <w:rsid w:val="007C087F"/>
    <w:rsid w:val="007C0B44"/>
    <w:rsid w:val="007C0FA4"/>
    <w:rsid w:val="007C227B"/>
    <w:rsid w:val="007C25F5"/>
    <w:rsid w:val="007C293A"/>
    <w:rsid w:val="007C35E3"/>
    <w:rsid w:val="007C3C97"/>
    <w:rsid w:val="007C4BD5"/>
    <w:rsid w:val="007C4C2F"/>
    <w:rsid w:val="007C4CC5"/>
    <w:rsid w:val="007C680F"/>
    <w:rsid w:val="007C6DB4"/>
    <w:rsid w:val="007C76C9"/>
    <w:rsid w:val="007C7AF3"/>
    <w:rsid w:val="007D0A40"/>
    <w:rsid w:val="007D1A1D"/>
    <w:rsid w:val="007D3E2F"/>
    <w:rsid w:val="007D49C6"/>
    <w:rsid w:val="007D5D1C"/>
    <w:rsid w:val="007D6D21"/>
    <w:rsid w:val="007D738F"/>
    <w:rsid w:val="007E06FA"/>
    <w:rsid w:val="007E1009"/>
    <w:rsid w:val="007E32D5"/>
    <w:rsid w:val="007E3A98"/>
    <w:rsid w:val="007E4546"/>
    <w:rsid w:val="007E4C4C"/>
    <w:rsid w:val="007E5FAF"/>
    <w:rsid w:val="007E6FB7"/>
    <w:rsid w:val="007E7C7B"/>
    <w:rsid w:val="007F0607"/>
    <w:rsid w:val="007F0BF3"/>
    <w:rsid w:val="007F0CB4"/>
    <w:rsid w:val="007F2426"/>
    <w:rsid w:val="007F2F94"/>
    <w:rsid w:val="007F3214"/>
    <w:rsid w:val="007F41BC"/>
    <w:rsid w:val="007F4651"/>
    <w:rsid w:val="007F4ED1"/>
    <w:rsid w:val="00800453"/>
    <w:rsid w:val="00800613"/>
    <w:rsid w:val="00801021"/>
    <w:rsid w:val="0080244B"/>
    <w:rsid w:val="008026B7"/>
    <w:rsid w:val="00803A4F"/>
    <w:rsid w:val="00803D4D"/>
    <w:rsid w:val="00803E6A"/>
    <w:rsid w:val="00803ED4"/>
    <w:rsid w:val="00805990"/>
    <w:rsid w:val="00805E1C"/>
    <w:rsid w:val="00807543"/>
    <w:rsid w:val="00807701"/>
    <w:rsid w:val="00807B07"/>
    <w:rsid w:val="00807BD1"/>
    <w:rsid w:val="008117E9"/>
    <w:rsid w:val="00811DBA"/>
    <w:rsid w:val="00811EDF"/>
    <w:rsid w:val="0081253C"/>
    <w:rsid w:val="00812690"/>
    <w:rsid w:val="00812B0C"/>
    <w:rsid w:val="00812D40"/>
    <w:rsid w:val="00812EA4"/>
    <w:rsid w:val="00813106"/>
    <w:rsid w:val="008142D7"/>
    <w:rsid w:val="008172E7"/>
    <w:rsid w:val="0082077C"/>
    <w:rsid w:val="00820AA3"/>
    <w:rsid w:val="00820CBE"/>
    <w:rsid w:val="00821626"/>
    <w:rsid w:val="00822076"/>
    <w:rsid w:val="00822B42"/>
    <w:rsid w:val="00823832"/>
    <w:rsid w:val="00823D24"/>
    <w:rsid w:val="00825335"/>
    <w:rsid w:val="00825C4E"/>
    <w:rsid w:val="00825C64"/>
    <w:rsid w:val="00825F1A"/>
    <w:rsid w:val="008277C6"/>
    <w:rsid w:val="00830070"/>
    <w:rsid w:val="00830935"/>
    <w:rsid w:val="00830938"/>
    <w:rsid w:val="00830CFB"/>
    <w:rsid w:val="00831BAC"/>
    <w:rsid w:val="00832B14"/>
    <w:rsid w:val="00832C0C"/>
    <w:rsid w:val="00834E79"/>
    <w:rsid w:val="00834FEA"/>
    <w:rsid w:val="008357EA"/>
    <w:rsid w:val="00835C95"/>
    <w:rsid w:val="00835CE6"/>
    <w:rsid w:val="00835F61"/>
    <w:rsid w:val="0083612F"/>
    <w:rsid w:val="008364F3"/>
    <w:rsid w:val="00836B8A"/>
    <w:rsid w:val="008406C7"/>
    <w:rsid w:val="00840D64"/>
    <w:rsid w:val="00840E79"/>
    <w:rsid w:val="00840FB8"/>
    <w:rsid w:val="008412B8"/>
    <w:rsid w:val="008419E3"/>
    <w:rsid w:val="00842828"/>
    <w:rsid w:val="00843F99"/>
    <w:rsid w:val="00844AC6"/>
    <w:rsid w:val="008459A8"/>
    <w:rsid w:val="00846BEC"/>
    <w:rsid w:val="00846CA4"/>
    <w:rsid w:val="0084765F"/>
    <w:rsid w:val="00847687"/>
    <w:rsid w:val="00847884"/>
    <w:rsid w:val="00847F02"/>
    <w:rsid w:val="008503C3"/>
    <w:rsid w:val="00850644"/>
    <w:rsid w:val="00851029"/>
    <w:rsid w:val="00851EE1"/>
    <w:rsid w:val="0085277B"/>
    <w:rsid w:val="00853F30"/>
    <w:rsid w:val="00854079"/>
    <w:rsid w:val="00855E95"/>
    <w:rsid w:val="00856129"/>
    <w:rsid w:val="00856BE3"/>
    <w:rsid w:val="00857766"/>
    <w:rsid w:val="00857D14"/>
    <w:rsid w:val="0086002D"/>
    <w:rsid w:val="0086008F"/>
    <w:rsid w:val="008602C9"/>
    <w:rsid w:val="00860BC8"/>
    <w:rsid w:val="0086153C"/>
    <w:rsid w:val="008619FB"/>
    <w:rsid w:val="00863195"/>
    <w:rsid w:val="008631C0"/>
    <w:rsid w:val="008637FE"/>
    <w:rsid w:val="00863FC3"/>
    <w:rsid w:val="008648DE"/>
    <w:rsid w:val="00864F6F"/>
    <w:rsid w:val="00865BA1"/>
    <w:rsid w:val="00865E3B"/>
    <w:rsid w:val="0086724C"/>
    <w:rsid w:val="00867B17"/>
    <w:rsid w:val="00867F49"/>
    <w:rsid w:val="00871A37"/>
    <w:rsid w:val="00873243"/>
    <w:rsid w:val="00873707"/>
    <w:rsid w:val="008738E4"/>
    <w:rsid w:val="00873FC1"/>
    <w:rsid w:val="00875226"/>
    <w:rsid w:val="0087535A"/>
    <w:rsid w:val="00875AF1"/>
    <w:rsid w:val="00875C67"/>
    <w:rsid w:val="00875DC7"/>
    <w:rsid w:val="0087634F"/>
    <w:rsid w:val="0087737A"/>
    <w:rsid w:val="0087756C"/>
    <w:rsid w:val="00880408"/>
    <w:rsid w:val="00880EF4"/>
    <w:rsid w:val="00881F2E"/>
    <w:rsid w:val="008826C7"/>
    <w:rsid w:val="00882A4F"/>
    <w:rsid w:val="008839A4"/>
    <w:rsid w:val="00883B2E"/>
    <w:rsid w:val="00883E45"/>
    <w:rsid w:val="008841B1"/>
    <w:rsid w:val="008849AD"/>
    <w:rsid w:val="0088521B"/>
    <w:rsid w:val="00885466"/>
    <w:rsid w:val="00885B61"/>
    <w:rsid w:val="00887C34"/>
    <w:rsid w:val="008908DA"/>
    <w:rsid w:val="00890C79"/>
    <w:rsid w:val="00891A40"/>
    <w:rsid w:val="00891F00"/>
    <w:rsid w:val="00892523"/>
    <w:rsid w:val="008931ED"/>
    <w:rsid w:val="00895546"/>
    <w:rsid w:val="00895556"/>
    <w:rsid w:val="008961F8"/>
    <w:rsid w:val="00896398"/>
    <w:rsid w:val="008970D6"/>
    <w:rsid w:val="00897408"/>
    <w:rsid w:val="008A02AE"/>
    <w:rsid w:val="008A0D4F"/>
    <w:rsid w:val="008A1CEB"/>
    <w:rsid w:val="008A21F1"/>
    <w:rsid w:val="008A2728"/>
    <w:rsid w:val="008A5559"/>
    <w:rsid w:val="008A6635"/>
    <w:rsid w:val="008A6E7C"/>
    <w:rsid w:val="008A706C"/>
    <w:rsid w:val="008B0705"/>
    <w:rsid w:val="008B0B4F"/>
    <w:rsid w:val="008B15A6"/>
    <w:rsid w:val="008B1B1D"/>
    <w:rsid w:val="008B2030"/>
    <w:rsid w:val="008B25DD"/>
    <w:rsid w:val="008B37C8"/>
    <w:rsid w:val="008B4709"/>
    <w:rsid w:val="008B58E7"/>
    <w:rsid w:val="008B6490"/>
    <w:rsid w:val="008B64E8"/>
    <w:rsid w:val="008B6B2C"/>
    <w:rsid w:val="008B6D38"/>
    <w:rsid w:val="008C0171"/>
    <w:rsid w:val="008C0BF6"/>
    <w:rsid w:val="008C2F98"/>
    <w:rsid w:val="008C363D"/>
    <w:rsid w:val="008C4966"/>
    <w:rsid w:val="008C49E5"/>
    <w:rsid w:val="008C4F5C"/>
    <w:rsid w:val="008C553D"/>
    <w:rsid w:val="008C55FA"/>
    <w:rsid w:val="008C6B05"/>
    <w:rsid w:val="008C7843"/>
    <w:rsid w:val="008C7EEB"/>
    <w:rsid w:val="008D0E55"/>
    <w:rsid w:val="008D1890"/>
    <w:rsid w:val="008D201D"/>
    <w:rsid w:val="008D21FB"/>
    <w:rsid w:val="008D34D7"/>
    <w:rsid w:val="008D37A3"/>
    <w:rsid w:val="008D3E37"/>
    <w:rsid w:val="008D7D4E"/>
    <w:rsid w:val="008E0C5F"/>
    <w:rsid w:val="008E0CB1"/>
    <w:rsid w:val="008E0F3C"/>
    <w:rsid w:val="008E1654"/>
    <w:rsid w:val="008E245E"/>
    <w:rsid w:val="008E2E07"/>
    <w:rsid w:val="008E380E"/>
    <w:rsid w:val="008E3E1E"/>
    <w:rsid w:val="008E5246"/>
    <w:rsid w:val="008E58C0"/>
    <w:rsid w:val="008E7446"/>
    <w:rsid w:val="008E7E2D"/>
    <w:rsid w:val="008F033F"/>
    <w:rsid w:val="008F0FFC"/>
    <w:rsid w:val="008F15AC"/>
    <w:rsid w:val="008F1B76"/>
    <w:rsid w:val="008F1D10"/>
    <w:rsid w:val="008F1ED1"/>
    <w:rsid w:val="008F1F27"/>
    <w:rsid w:val="008F2560"/>
    <w:rsid w:val="008F3739"/>
    <w:rsid w:val="008F3F0F"/>
    <w:rsid w:val="008F41E4"/>
    <w:rsid w:val="008F453B"/>
    <w:rsid w:val="008F5073"/>
    <w:rsid w:val="008F5908"/>
    <w:rsid w:val="008F6756"/>
    <w:rsid w:val="008F6BE6"/>
    <w:rsid w:val="008F6F4D"/>
    <w:rsid w:val="008F745F"/>
    <w:rsid w:val="008F7D60"/>
    <w:rsid w:val="00900264"/>
    <w:rsid w:val="00900657"/>
    <w:rsid w:val="00900809"/>
    <w:rsid w:val="0090151B"/>
    <w:rsid w:val="00901D13"/>
    <w:rsid w:val="009024EB"/>
    <w:rsid w:val="00902FB7"/>
    <w:rsid w:val="00903123"/>
    <w:rsid w:val="00904483"/>
    <w:rsid w:val="00905AE6"/>
    <w:rsid w:val="00905BB6"/>
    <w:rsid w:val="00906683"/>
    <w:rsid w:val="00906B2A"/>
    <w:rsid w:val="00907D16"/>
    <w:rsid w:val="00907F46"/>
    <w:rsid w:val="0091019D"/>
    <w:rsid w:val="0091118A"/>
    <w:rsid w:val="009111F7"/>
    <w:rsid w:val="0091157B"/>
    <w:rsid w:val="0091204A"/>
    <w:rsid w:val="009126D8"/>
    <w:rsid w:val="00912FF9"/>
    <w:rsid w:val="0091320B"/>
    <w:rsid w:val="009137BD"/>
    <w:rsid w:val="00914000"/>
    <w:rsid w:val="00914965"/>
    <w:rsid w:val="00914B26"/>
    <w:rsid w:val="00915F0A"/>
    <w:rsid w:val="00917874"/>
    <w:rsid w:val="009204F6"/>
    <w:rsid w:val="00920839"/>
    <w:rsid w:val="00921EA9"/>
    <w:rsid w:val="00922021"/>
    <w:rsid w:val="00922585"/>
    <w:rsid w:val="00922849"/>
    <w:rsid w:val="00922D69"/>
    <w:rsid w:val="00924F33"/>
    <w:rsid w:val="009259AD"/>
    <w:rsid w:val="00925DF9"/>
    <w:rsid w:val="00925EFE"/>
    <w:rsid w:val="0092754F"/>
    <w:rsid w:val="00933CB1"/>
    <w:rsid w:val="009343BC"/>
    <w:rsid w:val="009344DD"/>
    <w:rsid w:val="00934701"/>
    <w:rsid w:val="00934A39"/>
    <w:rsid w:val="00934EED"/>
    <w:rsid w:val="00935A70"/>
    <w:rsid w:val="00936762"/>
    <w:rsid w:val="00936BCF"/>
    <w:rsid w:val="0094139F"/>
    <w:rsid w:val="00942E28"/>
    <w:rsid w:val="00943A10"/>
    <w:rsid w:val="00944972"/>
    <w:rsid w:val="00944B4B"/>
    <w:rsid w:val="009452F4"/>
    <w:rsid w:val="009453F1"/>
    <w:rsid w:val="009470CA"/>
    <w:rsid w:val="0094785E"/>
    <w:rsid w:val="00947C06"/>
    <w:rsid w:val="00950C6D"/>
    <w:rsid w:val="00951658"/>
    <w:rsid w:val="009518B7"/>
    <w:rsid w:val="00951D3D"/>
    <w:rsid w:val="009524B7"/>
    <w:rsid w:val="0095252A"/>
    <w:rsid w:val="00952F58"/>
    <w:rsid w:val="00953A0C"/>
    <w:rsid w:val="00954C3D"/>
    <w:rsid w:val="00954D57"/>
    <w:rsid w:val="009550B0"/>
    <w:rsid w:val="00955938"/>
    <w:rsid w:val="00956BB3"/>
    <w:rsid w:val="00956FF0"/>
    <w:rsid w:val="00960808"/>
    <w:rsid w:val="009608C7"/>
    <w:rsid w:val="00960A5A"/>
    <w:rsid w:val="009626D4"/>
    <w:rsid w:val="0096314A"/>
    <w:rsid w:val="0096349F"/>
    <w:rsid w:val="00963A20"/>
    <w:rsid w:val="00963A6D"/>
    <w:rsid w:val="00963E9F"/>
    <w:rsid w:val="009642EC"/>
    <w:rsid w:val="00964431"/>
    <w:rsid w:val="00964E31"/>
    <w:rsid w:val="00965582"/>
    <w:rsid w:val="0096588A"/>
    <w:rsid w:val="00966275"/>
    <w:rsid w:val="009670B4"/>
    <w:rsid w:val="009675CF"/>
    <w:rsid w:val="00967943"/>
    <w:rsid w:val="0097032D"/>
    <w:rsid w:val="0097053F"/>
    <w:rsid w:val="00970F62"/>
    <w:rsid w:val="00971862"/>
    <w:rsid w:val="0097246D"/>
    <w:rsid w:val="00972F4E"/>
    <w:rsid w:val="009738F0"/>
    <w:rsid w:val="009739BA"/>
    <w:rsid w:val="00974960"/>
    <w:rsid w:val="00974FDF"/>
    <w:rsid w:val="0097525B"/>
    <w:rsid w:val="00975A8B"/>
    <w:rsid w:val="00976E4F"/>
    <w:rsid w:val="00977C7D"/>
    <w:rsid w:val="00980585"/>
    <w:rsid w:val="00982F77"/>
    <w:rsid w:val="00984634"/>
    <w:rsid w:val="009847A1"/>
    <w:rsid w:val="00984DAF"/>
    <w:rsid w:val="009851F1"/>
    <w:rsid w:val="009857B0"/>
    <w:rsid w:val="009866B3"/>
    <w:rsid w:val="00986B7F"/>
    <w:rsid w:val="00987FD7"/>
    <w:rsid w:val="009900C3"/>
    <w:rsid w:val="0099169A"/>
    <w:rsid w:val="00991743"/>
    <w:rsid w:val="00991A15"/>
    <w:rsid w:val="009948E2"/>
    <w:rsid w:val="00995261"/>
    <w:rsid w:val="0099537F"/>
    <w:rsid w:val="00995C04"/>
    <w:rsid w:val="009968BC"/>
    <w:rsid w:val="00997121"/>
    <w:rsid w:val="00997288"/>
    <w:rsid w:val="009A057E"/>
    <w:rsid w:val="009A1957"/>
    <w:rsid w:val="009A2B91"/>
    <w:rsid w:val="009A2C33"/>
    <w:rsid w:val="009A31E5"/>
    <w:rsid w:val="009A36BA"/>
    <w:rsid w:val="009A5D3C"/>
    <w:rsid w:val="009A644D"/>
    <w:rsid w:val="009A7EB8"/>
    <w:rsid w:val="009B0744"/>
    <w:rsid w:val="009B0BA2"/>
    <w:rsid w:val="009B2FE5"/>
    <w:rsid w:val="009B32EE"/>
    <w:rsid w:val="009B3A43"/>
    <w:rsid w:val="009B49FA"/>
    <w:rsid w:val="009B4ECB"/>
    <w:rsid w:val="009B7741"/>
    <w:rsid w:val="009C0287"/>
    <w:rsid w:val="009C0BE1"/>
    <w:rsid w:val="009C0E29"/>
    <w:rsid w:val="009C1064"/>
    <w:rsid w:val="009C16F4"/>
    <w:rsid w:val="009C1C5C"/>
    <w:rsid w:val="009C2037"/>
    <w:rsid w:val="009C27C3"/>
    <w:rsid w:val="009C2FF6"/>
    <w:rsid w:val="009C3534"/>
    <w:rsid w:val="009C3D10"/>
    <w:rsid w:val="009C4974"/>
    <w:rsid w:val="009C4F3F"/>
    <w:rsid w:val="009C5ECE"/>
    <w:rsid w:val="009C6167"/>
    <w:rsid w:val="009C629E"/>
    <w:rsid w:val="009C6A54"/>
    <w:rsid w:val="009C78C9"/>
    <w:rsid w:val="009C7BFB"/>
    <w:rsid w:val="009D0D2C"/>
    <w:rsid w:val="009D1E44"/>
    <w:rsid w:val="009D1EC0"/>
    <w:rsid w:val="009D2021"/>
    <w:rsid w:val="009D2574"/>
    <w:rsid w:val="009D3CE7"/>
    <w:rsid w:val="009D41C8"/>
    <w:rsid w:val="009D42C6"/>
    <w:rsid w:val="009D43BE"/>
    <w:rsid w:val="009D47D5"/>
    <w:rsid w:val="009D53E0"/>
    <w:rsid w:val="009D6BF9"/>
    <w:rsid w:val="009D6C93"/>
    <w:rsid w:val="009D7771"/>
    <w:rsid w:val="009E013B"/>
    <w:rsid w:val="009E0A01"/>
    <w:rsid w:val="009E0D4A"/>
    <w:rsid w:val="009E185C"/>
    <w:rsid w:val="009E1F55"/>
    <w:rsid w:val="009E2303"/>
    <w:rsid w:val="009E33E5"/>
    <w:rsid w:val="009E463A"/>
    <w:rsid w:val="009E4F0B"/>
    <w:rsid w:val="009E642D"/>
    <w:rsid w:val="009E6980"/>
    <w:rsid w:val="009E6D38"/>
    <w:rsid w:val="009E7188"/>
    <w:rsid w:val="009E761E"/>
    <w:rsid w:val="009E7E80"/>
    <w:rsid w:val="009F2649"/>
    <w:rsid w:val="009F352B"/>
    <w:rsid w:val="009F3551"/>
    <w:rsid w:val="009F3A01"/>
    <w:rsid w:val="009F44D0"/>
    <w:rsid w:val="009F49C2"/>
    <w:rsid w:val="009F561F"/>
    <w:rsid w:val="009F586A"/>
    <w:rsid w:val="009F5D03"/>
    <w:rsid w:val="009F6C59"/>
    <w:rsid w:val="009F6FDF"/>
    <w:rsid w:val="009F7192"/>
    <w:rsid w:val="009F7614"/>
    <w:rsid w:val="00A014D6"/>
    <w:rsid w:val="00A0229B"/>
    <w:rsid w:val="00A027F3"/>
    <w:rsid w:val="00A0380E"/>
    <w:rsid w:val="00A03BBA"/>
    <w:rsid w:val="00A051AB"/>
    <w:rsid w:val="00A0646F"/>
    <w:rsid w:val="00A06822"/>
    <w:rsid w:val="00A06D48"/>
    <w:rsid w:val="00A07436"/>
    <w:rsid w:val="00A076EF"/>
    <w:rsid w:val="00A07904"/>
    <w:rsid w:val="00A11B75"/>
    <w:rsid w:val="00A122C7"/>
    <w:rsid w:val="00A13D00"/>
    <w:rsid w:val="00A141A8"/>
    <w:rsid w:val="00A14BFF"/>
    <w:rsid w:val="00A1562B"/>
    <w:rsid w:val="00A17234"/>
    <w:rsid w:val="00A205AF"/>
    <w:rsid w:val="00A20902"/>
    <w:rsid w:val="00A21038"/>
    <w:rsid w:val="00A21C8C"/>
    <w:rsid w:val="00A22086"/>
    <w:rsid w:val="00A220B5"/>
    <w:rsid w:val="00A2266B"/>
    <w:rsid w:val="00A22B5D"/>
    <w:rsid w:val="00A23D0D"/>
    <w:rsid w:val="00A23F99"/>
    <w:rsid w:val="00A24416"/>
    <w:rsid w:val="00A2634A"/>
    <w:rsid w:val="00A26598"/>
    <w:rsid w:val="00A2742E"/>
    <w:rsid w:val="00A27977"/>
    <w:rsid w:val="00A30CB4"/>
    <w:rsid w:val="00A3196B"/>
    <w:rsid w:val="00A335B1"/>
    <w:rsid w:val="00A33FE0"/>
    <w:rsid w:val="00A3443B"/>
    <w:rsid w:val="00A34C48"/>
    <w:rsid w:val="00A357CD"/>
    <w:rsid w:val="00A35829"/>
    <w:rsid w:val="00A365DA"/>
    <w:rsid w:val="00A36AFF"/>
    <w:rsid w:val="00A36B8E"/>
    <w:rsid w:val="00A371BF"/>
    <w:rsid w:val="00A3734D"/>
    <w:rsid w:val="00A40CA8"/>
    <w:rsid w:val="00A417BC"/>
    <w:rsid w:val="00A41DFA"/>
    <w:rsid w:val="00A42EFA"/>
    <w:rsid w:val="00A43978"/>
    <w:rsid w:val="00A45BE1"/>
    <w:rsid w:val="00A5094A"/>
    <w:rsid w:val="00A50CBC"/>
    <w:rsid w:val="00A5190C"/>
    <w:rsid w:val="00A51A1E"/>
    <w:rsid w:val="00A523EE"/>
    <w:rsid w:val="00A52B86"/>
    <w:rsid w:val="00A53216"/>
    <w:rsid w:val="00A53EE6"/>
    <w:rsid w:val="00A54522"/>
    <w:rsid w:val="00A54648"/>
    <w:rsid w:val="00A54C27"/>
    <w:rsid w:val="00A54F84"/>
    <w:rsid w:val="00A553D4"/>
    <w:rsid w:val="00A55F39"/>
    <w:rsid w:val="00A5605F"/>
    <w:rsid w:val="00A561C4"/>
    <w:rsid w:val="00A5668D"/>
    <w:rsid w:val="00A56ADB"/>
    <w:rsid w:val="00A60F6C"/>
    <w:rsid w:val="00A616D4"/>
    <w:rsid w:val="00A620D7"/>
    <w:rsid w:val="00A630B6"/>
    <w:rsid w:val="00A64021"/>
    <w:rsid w:val="00A644CB"/>
    <w:rsid w:val="00A64667"/>
    <w:rsid w:val="00A64A4E"/>
    <w:rsid w:val="00A70A36"/>
    <w:rsid w:val="00A71161"/>
    <w:rsid w:val="00A72248"/>
    <w:rsid w:val="00A72608"/>
    <w:rsid w:val="00A735A7"/>
    <w:rsid w:val="00A7486F"/>
    <w:rsid w:val="00A75BA2"/>
    <w:rsid w:val="00A76FCF"/>
    <w:rsid w:val="00A80E24"/>
    <w:rsid w:val="00A80F9D"/>
    <w:rsid w:val="00A81553"/>
    <w:rsid w:val="00A82A9B"/>
    <w:rsid w:val="00A83FCC"/>
    <w:rsid w:val="00A85345"/>
    <w:rsid w:val="00A85589"/>
    <w:rsid w:val="00A8638E"/>
    <w:rsid w:val="00A8687C"/>
    <w:rsid w:val="00A9026D"/>
    <w:rsid w:val="00A91437"/>
    <w:rsid w:val="00A916AC"/>
    <w:rsid w:val="00A918D5"/>
    <w:rsid w:val="00A91904"/>
    <w:rsid w:val="00A922D1"/>
    <w:rsid w:val="00A92886"/>
    <w:rsid w:val="00A9448F"/>
    <w:rsid w:val="00A95D5C"/>
    <w:rsid w:val="00A9719C"/>
    <w:rsid w:val="00A975E5"/>
    <w:rsid w:val="00A97ECA"/>
    <w:rsid w:val="00AA08AF"/>
    <w:rsid w:val="00AA0B57"/>
    <w:rsid w:val="00AA15C5"/>
    <w:rsid w:val="00AA2447"/>
    <w:rsid w:val="00AA26A0"/>
    <w:rsid w:val="00AA3789"/>
    <w:rsid w:val="00AA3BAF"/>
    <w:rsid w:val="00AA3F3F"/>
    <w:rsid w:val="00AA4116"/>
    <w:rsid w:val="00AA6139"/>
    <w:rsid w:val="00AA6397"/>
    <w:rsid w:val="00AA720B"/>
    <w:rsid w:val="00AA746D"/>
    <w:rsid w:val="00AB069A"/>
    <w:rsid w:val="00AB2BCA"/>
    <w:rsid w:val="00AB3FCF"/>
    <w:rsid w:val="00AB4679"/>
    <w:rsid w:val="00AB52E1"/>
    <w:rsid w:val="00AB6CB3"/>
    <w:rsid w:val="00AC04DF"/>
    <w:rsid w:val="00AC099B"/>
    <w:rsid w:val="00AC1BF9"/>
    <w:rsid w:val="00AC222A"/>
    <w:rsid w:val="00AC2984"/>
    <w:rsid w:val="00AC3194"/>
    <w:rsid w:val="00AC3AC7"/>
    <w:rsid w:val="00AC3F09"/>
    <w:rsid w:val="00AC41C4"/>
    <w:rsid w:val="00AC62B1"/>
    <w:rsid w:val="00AC6B12"/>
    <w:rsid w:val="00AC6DA0"/>
    <w:rsid w:val="00AD11D5"/>
    <w:rsid w:val="00AD1BAA"/>
    <w:rsid w:val="00AD1E22"/>
    <w:rsid w:val="00AD21DF"/>
    <w:rsid w:val="00AD23A0"/>
    <w:rsid w:val="00AD327F"/>
    <w:rsid w:val="00AD356A"/>
    <w:rsid w:val="00AD3848"/>
    <w:rsid w:val="00AD453B"/>
    <w:rsid w:val="00AD7904"/>
    <w:rsid w:val="00AD7C4E"/>
    <w:rsid w:val="00AD7CF7"/>
    <w:rsid w:val="00AE00C7"/>
    <w:rsid w:val="00AE093A"/>
    <w:rsid w:val="00AE16B2"/>
    <w:rsid w:val="00AE2871"/>
    <w:rsid w:val="00AE2DD1"/>
    <w:rsid w:val="00AE4145"/>
    <w:rsid w:val="00AE4AC6"/>
    <w:rsid w:val="00AE4D42"/>
    <w:rsid w:val="00AE5FA5"/>
    <w:rsid w:val="00AE6BAB"/>
    <w:rsid w:val="00AE6E0C"/>
    <w:rsid w:val="00AE7F50"/>
    <w:rsid w:val="00AF0623"/>
    <w:rsid w:val="00AF0AAF"/>
    <w:rsid w:val="00AF0D63"/>
    <w:rsid w:val="00AF1F04"/>
    <w:rsid w:val="00AF225D"/>
    <w:rsid w:val="00AF29C1"/>
    <w:rsid w:val="00AF2BAC"/>
    <w:rsid w:val="00AF3223"/>
    <w:rsid w:val="00AF3748"/>
    <w:rsid w:val="00AF49EE"/>
    <w:rsid w:val="00B00552"/>
    <w:rsid w:val="00B00ACD"/>
    <w:rsid w:val="00B00BF4"/>
    <w:rsid w:val="00B01254"/>
    <w:rsid w:val="00B04773"/>
    <w:rsid w:val="00B04F13"/>
    <w:rsid w:val="00B05184"/>
    <w:rsid w:val="00B1053F"/>
    <w:rsid w:val="00B118D4"/>
    <w:rsid w:val="00B12A4F"/>
    <w:rsid w:val="00B130DD"/>
    <w:rsid w:val="00B14DAD"/>
    <w:rsid w:val="00B14EF9"/>
    <w:rsid w:val="00B1526E"/>
    <w:rsid w:val="00B15979"/>
    <w:rsid w:val="00B162CE"/>
    <w:rsid w:val="00B16921"/>
    <w:rsid w:val="00B16A88"/>
    <w:rsid w:val="00B20B41"/>
    <w:rsid w:val="00B21940"/>
    <w:rsid w:val="00B21F75"/>
    <w:rsid w:val="00B2217C"/>
    <w:rsid w:val="00B2315B"/>
    <w:rsid w:val="00B23B54"/>
    <w:rsid w:val="00B24258"/>
    <w:rsid w:val="00B24A4F"/>
    <w:rsid w:val="00B24DBC"/>
    <w:rsid w:val="00B24EF7"/>
    <w:rsid w:val="00B256A7"/>
    <w:rsid w:val="00B258BB"/>
    <w:rsid w:val="00B25E50"/>
    <w:rsid w:val="00B269BF"/>
    <w:rsid w:val="00B2701D"/>
    <w:rsid w:val="00B31435"/>
    <w:rsid w:val="00B318C3"/>
    <w:rsid w:val="00B318DC"/>
    <w:rsid w:val="00B3257A"/>
    <w:rsid w:val="00B32830"/>
    <w:rsid w:val="00B32C81"/>
    <w:rsid w:val="00B33DF6"/>
    <w:rsid w:val="00B34528"/>
    <w:rsid w:val="00B35470"/>
    <w:rsid w:val="00B35EC8"/>
    <w:rsid w:val="00B368F0"/>
    <w:rsid w:val="00B36A87"/>
    <w:rsid w:val="00B36AFB"/>
    <w:rsid w:val="00B36E64"/>
    <w:rsid w:val="00B372F3"/>
    <w:rsid w:val="00B37EAD"/>
    <w:rsid w:val="00B40F6E"/>
    <w:rsid w:val="00B414A4"/>
    <w:rsid w:val="00B42CB6"/>
    <w:rsid w:val="00B43DEE"/>
    <w:rsid w:val="00B441B3"/>
    <w:rsid w:val="00B44C96"/>
    <w:rsid w:val="00B45003"/>
    <w:rsid w:val="00B457C3"/>
    <w:rsid w:val="00B45824"/>
    <w:rsid w:val="00B45B47"/>
    <w:rsid w:val="00B46CD2"/>
    <w:rsid w:val="00B47031"/>
    <w:rsid w:val="00B50498"/>
    <w:rsid w:val="00B50DB6"/>
    <w:rsid w:val="00B511F3"/>
    <w:rsid w:val="00B5280D"/>
    <w:rsid w:val="00B543CF"/>
    <w:rsid w:val="00B546FF"/>
    <w:rsid w:val="00B552AC"/>
    <w:rsid w:val="00B55E5F"/>
    <w:rsid w:val="00B5654E"/>
    <w:rsid w:val="00B567E4"/>
    <w:rsid w:val="00B5718A"/>
    <w:rsid w:val="00B604F7"/>
    <w:rsid w:val="00B61330"/>
    <w:rsid w:val="00B625AB"/>
    <w:rsid w:val="00B629A5"/>
    <w:rsid w:val="00B631FB"/>
    <w:rsid w:val="00B63892"/>
    <w:rsid w:val="00B6425A"/>
    <w:rsid w:val="00B643C3"/>
    <w:rsid w:val="00B64E22"/>
    <w:rsid w:val="00B65682"/>
    <w:rsid w:val="00B658EE"/>
    <w:rsid w:val="00B65DB8"/>
    <w:rsid w:val="00B66940"/>
    <w:rsid w:val="00B67AD6"/>
    <w:rsid w:val="00B7068D"/>
    <w:rsid w:val="00B71665"/>
    <w:rsid w:val="00B717A5"/>
    <w:rsid w:val="00B725EE"/>
    <w:rsid w:val="00B72A10"/>
    <w:rsid w:val="00B732AD"/>
    <w:rsid w:val="00B732FD"/>
    <w:rsid w:val="00B73415"/>
    <w:rsid w:val="00B7387C"/>
    <w:rsid w:val="00B739AB"/>
    <w:rsid w:val="00B7422A"/>
    <w:rsid w:val="00B74D5B"/>
    <w:rsid w:val="00B7514C"/>
    <w:rsid w:val="00B75AA7"/>
    <w:rsid w:val="00B75B31"/>
    <w:rsid w:val="00B80BDB"/>
    <w:rsid w:val="00B81189"/>
    <w:rsid w:val="00B811E8"/>
    <w:rsid w:val="00B82D5B"/>
    <w:rsid w:val="00B82DD7"/>
    <w:rsid w:val="00B83A5D"/>
    <w:rsid w:val="00B84B21"/>
    <w:rsid w:val="00B85E7D"/>
    <w:rsid w:val="00B86EA7"/>
    <w:rsid w:val="00B87F44"/>
    <w:rsid w:val="00B90C01"/>
    <w:rsid w:val="00B91191"/>
    <w:rsid w:val="00B92028"/>
    <w:rsid w:val="00B9266C"/>
    <w:rsid w:val="00B93392"/>
    <w:rsid w:val="00B93610"/>
    <w:rsid w:val="00B93643"/>
    <w:rsid w:val="00B958F8"/>
    <w:rsid w:val="00B9590B"/>
    <w:rsid w:val="00B9601F"/>
    <w:rsid w:val="00B97A86"/>
    <w:rsid w:val="00BA07DB"/>
    <w:rsid w:val="00BA24ED"/>
    <w:rsid w:val="00BA343D"/>
    <w:rsid w:val="00BA4599"/>
    <w:rsid w:val="00BA4FAE"/>
    <w:rsid w:val="00BA50A2"/>
    <w:rsid w:val="00BA5A7C"/>
    <w:rsid w:val="00BA6BEA"/>
    <w:rsid w:val="00BB0005"/>
    <w:rsid w:val="00BB15C7"/>
    <w:rsid w:val="00BB1A41"/>
    <w:rsid w:val="00BB235A"/>
    <w:rsid w:val="00BB3373"/>
    <w:rsid w:val="00BB4D33"/>
    <w:rsid w:val="00BB5306"/>
    <w:rsid w:val="00BB5691"/>
    <w:rsid w:val="00BB5771"/>
    <w:rsid w:val="00BB5B8F"/>
    <w:rsid w:val="00BB5CBB"/>
    <w:rsid w:val="00BC050A"/>
    <w:rsid w:val="00BC0EE5"/>
    <w:rsid w:val="00BC0F33"/>
    <w:rsid w:val="00BC2F3A"/>
    <w:rsid w:val="00BC328F"/>
    <w:rsid w:val="00BC336D"/>
    <w:rsid w:val="00BC37F7"/>
    <w:rsid w:val="00BC5B19"/>
    <w:rsid w:val="00BC6869"/>
    <w:rsid w:val="00BC6A37"/>
    <w:rsid w:val="00BC74C7"/>
    <w:rsid w:val="00BC7CBB"/>
    <w:rsid w:val="00BD145C"/>
    <w:rsid w:val="00BD1466"/>
    <w:rsid w:val="00BD1AC6"/>
    <w:rsid w:val="00BD354E"/>
    <w:rsid w:val="00BD3D7D"/>
    <w:rsid w:val="00BD4176"/>
    <w:rsid w:val="00BD571C"/>
    <w:rsid w:val="00BD5A44"/>
    <w:rsid w:val="00BD6862"/>
    <w:rsid w:val="00BD6BA0"/>
    <w:rsid w:val="00BD71C3"/>
    <w:rsid w:val="00BE36CB"/>
    <w:rsid w:val="00BE3889"/>
    <w:rsid w:val="00BE4B50"/>
    <w:rsid w:val="00BE5827"/>
    <w:rsid w:val="00BE5F9D"/>
    <w:rsid w:val="00BE61EC"/>
    <w:rsid w:val="00BE6395"/>
    <w:rsid w:val="00BE7162"/>
    <w:rsid w:val="00BF01B4"/>
    <w:rsid w:val="00BF057F"/>
    <w:rsid w:val="00BF0E2F"/>
    <w:rsid w:val="00BF165D"/>
    <w:rsid w:val="00BF19D4"/>
    <w:rsid w:val="00BF3222"/>
    <w:rsid w:val="00BF33A0"/>
    <w:rsid w:val="00BF3C0C"/>
    <w:rsid w:val="00BF3F67"/>
    <w:rsid w:val="00BF54F9"/>
    <w:rsid w:val="00BF54FF"/>
    <w:rsid w:val="00BF575C"/>
    <w:rsid w:val="00BF5E2A"/>
    <w:rsid w:val="00BF6455"/>
    <w:rsid w:val="00BF6CA4"/>
    <w:rsid w:val="00BF73D3"/>
    <w:rsid w:val="00C00434"/>
    <w:rsid w:val="00C0135E"/>
    <w:rsid w:val="00C02046"/>
    <w:rsid w:val="00C04669"/>
    <w:rsid w:val="00C059C9"/>
    <w:rsid w:val="00C074D1"/>
    <w:rsid w:val="00C10A8E"/>
    <w:rsid w:val="00C11A68"/>
    <w:rsid w:val="00C129ED"/>
    <w:rsid w:val="00C1332E"/>
    <w:rsid w:val="00C14592"/>
    <w:rsid w:val="00C14FD7"/>
    <w:rsid w:val="00C164DE"/>
    <w:rsid w:val="00C167B1"/>
    <w:rsid w:val="00C16B46"/>
    <w:rsid w:val="00C16DE3"/>
    <w:rsid w:val="00C16E11"/>
    <w:rsid w:val="00C17A60"/>
    <w:rsid w:val="00C17D6C"/>
    <w:rsid w:val="00C21022"/>
    <w:rsid w:val="00C2127B"/>
    <w:rsid w:val="00C216E4"/>
    <w:rsid w:val="00C21C57"/>
    <w:rsid w:val="00C21F39"/>
    <w:rsid w:val="00C224EB"/>
    <w:rsid w:val="00C23C3C"/>
    <w:rsid w:val="00C23FBE"/>
    <w:rsid w:val="00C24124"/>
    <w:rsid w:val="00C246F6"/>
    <w:rsid w:val="00C24BBF"/>
    <w:rsid w:val="00C26B8B"/>
    <w:rsid w:val="00C26F4F"/>
    <w:rsid w:val="00C270A5"/>
    <w:rsid w:val="00C27A80"/>
    <w:rsid w:val="00C27EF7"/>
    <w:rsid w:val="00C30A8C"/>
    <w:rsid w:val="00C311C1"/>
    <w:rsid w:val="00C32423"/>
    <w:rsid w:val="00C32EB6"/>
    <w:rsid w:val="00C34CE5"/>
    <w:rsid w:val="00C352C1"/>
    <w:rsid w:val="00C353C2"/>
    <w:rsid w:val="00C35755"/>
    <w:rsid w:val="00C35EFC"/>
    <w:rsid w:val="00C3646B"/>
    <w:rsid w:val="00C3696A"/>
    <w:rsid w:val="00C40543"/>
    <w:rsid w:val="00C4083A"/>
    <w:rsid w:val="00C40ACF"/>
    <w:rsid w:val="00C41F29"/>
    <w:rsid w:val="00C42256"/>
    <w:rsid w:val="00C42BA6"/>
    <w:rsid w:val="00C43377"/>
    <w:rsid w:val="00C449D7"/>
    <w:rsid w:val="00C45F66"/>
    <w:rsid w:val="00C46B26"/>
    <w:rsid w:val="00C475BF"/>
    <w:rsid w:val="00C477BD"/>
    <w:rsid w:val="00C477BE"/>
    <w:rsid w:val="00C4782B"/>
    <w:rsid w:val="00C47C74"/>
    <w:rsid w:val="00C47D48"/>
    <w:rsid w:val="00C508C1"/>
    <w:rsid w:val="00C512C2"/>
    <w:rsid w:val="00C5169A"/>
    <w:rsid w:val="00C52187"/>
    <w:rsid w:val="00C52BB5"/>
    <w:rsid w:val="00C53432"/>
    <w:rsid w:val="00C554B4"/>
    <w:rsid w:val="00C55CE6"/>
    <w:rsid w:val="00C55E8B"/>
    <w:rsid w:val="00C56D24"/>
    <w:rsid w:val="00C56F5F"/>
    <w:rsid w:val="00C57CC2"/>
    <w:rsid w:val="00C60895"/>
    <w:rsid w:val="00C60FF0"/>
    <w:rsid w:val="00C61416"/>
    <w:rsid w:val="00C616FB"/>
    <w:rsid w:val="00C61E19"/>
    <w:rsid w:val="00C6216F"/>
    <w:rsid w:val="00C638AD"/>
    <w:rsid w:val="00C63C2B"/>
    <w:rsid w:val="00C64227"/>
    <w:rsid w:val="00C648C6"/>
    <w:rsid w:val="00C64BAC"/>
    <w:rsid w:val="00C64D95"/>
    <w:rsid w:val="00C65569"/>
    <w:rsid w:val="00C66B17"/>
    <w:rsid w:val="00C673D2"/>
    <w:rsid w:val="00C71050"/>
    <w:rsid w:val="00C71185"/>
    <w:rsid w:val="00C7202D"/>
    <w:rsid w:val="00C7209F"/>
    <w:rsid w:val="00C725E1"/>
    <w:rsid w:val="00C72E08"/>
    <w:rsid w:val="00C7316A"/>
    <w:rsid w:val="00C73437"/>
    <w:rsid w:val="00C73D09"/>
    <w:rsid w:val="00C74326"/>
    <w:rsid w:val="00C74BA1"/>
    <w:rsid w:val="00C75EBF"/>
    <w:rsid w:val="00C8006F"/>
    <w:rsid w:val="00C80244"/>
    <w:rsid w:val="00C80C75"/>
    <w:rsid w:val="00C81019"/>
    <w:rsid w:val="00C811F1"/>
    <w:rsid w:val="00C83211"/>
    <w:rsid w:val="00C83CD4"/>
    <w:rsid w:val="00C849D8"/>
    <w:rsid w:val="00C84A37"/>
    <w:rsid w:val="00C84D88"/>
    <w:rsid w:val="00C84E1B"/>
    <w:rsid w:val="00C85FA9"/>
    <w:rsid w:val="00C86A5C"/>
    <w:rsid w:val="00C86B1B"/>
    <w:rsid w:val="00C902E6"/>
    <w:rsid w:val="00C912BC"/>
    <w:rsid w:val="00C91367"/>
    <w:rsid w:val="00C91DCA"/>
    <w:rsid w:val="00C9230C"/>
    <w:rsid w:val="00C92BD5"/>
    <w:rsid w:val="00C945A1"/>
    <w:rsid w:val="00C952E0"/>
    <w:rsid w:val="00C977BC"/>
    <w:rsid w:val="00C977DF"/>
    <w:rsid w:val="00C9790E"/>
    <w:rsid w:val="00CA0297"/>
    <w:rsid w:val="00CA0DC1"/>
    <w:rsid w:val="00CA1327"/>
    <w:rsid w:val="00CA1B09"/>
    <w:rsid w:val="00CA315F"/>
    <w:rsid w:val="00CA33C0"/>
    <w:rsid w:val="00CA4152"/>
    <w:rsid w:val="00CA61C9"/>
    <w:rsid w:val="00CA6394"/>
    <w:rsid w:val="00CA7F41"/>
    <w:rsid w:val="00CB0548"/>
    <w:rsid w:val="00CB083F"/>
    <w:rsid w:val="00CB0AF1"/>
    <w:rsid w:val="00CB1042"/>
    <w:rsid w:val="00CB12F6"/>
    <w:rsid w:val="00CB23CD"/>
    <w:rsid w:val="00CB2553"/>
    <w:rsid w:val="00CB28CF"/>
    <w:rsid w:val="00CB2D97"/>
    <w:rsid w:val="00CB34F8"/>
    <w:rsid w:val="00CB3823"/>
    <w:rsid w:val="00CB45DB"/>
    <w:rsid w:val="00CB4ABF"/>
    <w:rsid w:val="00CB4E9E"/>
    <w:rsid w:val="00CB5CED"/>
    <w:rsid w:val="00CB61DB"/>
    <w:rsid w:val="00CB6ED6"/>
    <w:rsid w:val="00CB74EE"/>
    <w:rsid w:val="00CB7BA1"/>
    <w:rsid w:val="00CB7E2F"/>
    <w:rsid w:val="00CC043A"/>
    <w:rsid w:val="00CC0AA6"/>
    <w:rsid w:val="00CC3575"/>
    <w:rsid w:val="00CC36D2"/>
    <w:rsid w:val="00CC3DF4"/>
    <w:rsid w:val="00CC40D9"/>
    <w:rsid w:val="00CC6216"/>
    <w:rsid w:val="00CC7B09"/>
    <w:rsid w:val="00CC7C7E"/>
    <w:rsid w:val="00CD01B2"/>
    <w:rsid w:val="00CD1C08"/>
    <w:rsid w:val="00CD21B1"/>
    <w:rsid w:val="00CD2CC5"/>
    <w:rsid w:val="00CD5B81"/>
    <w:rsid w:val="00CD5CD8"/>
    <w:rsid w:val="00CD6581"/>
    <w:rsid w:val="00CD6616"/>
    <w:rsid w:val="00CE036A"/>
    <w:rsid w:val="00CE079E"/>
    <w:rsid w:val="00CE124B"/>
    <w:rsid w:val="00CE25A2"/>
    <w:rsid w:val="00CE2B74"/>
    <w:rsid w:val="00CE2BE5"/>
    <w:rsid w:val="00CE2EBD"/>
    <w:rsid w:val="00CE35B9"/>
    <w:rsid w:val="00CE486A"/>
    <w:rsid w:val="00CE492A"/>
    <w:rsid w:val="00CE5AB1"/>
    <w:rsid w:val="00CE675B"/>
    <w:rsid w:val="00CE6E76"/>
    <w:rsid w:val="00CE7A3D"/>
    <w:rsid w:val="00CF04AE"/>
    <w:rsid w:val="00CF0FFC"/>
    <w:rsid w:val="00CF1221"/>
    <w:rsid w:val="00CF135D"/>
    <w:rsid w:val="00CF17CC"/>
    <w:rsid w:val="00CF24E6"/>
    <w:rsid w:val="00CF2A40"/>
    <w:rsid w:val="00CF2E55"/>
    <w:rsid w:val="00CF3E34"/>
    <w:rsid w:val="00CF410B"/>
    <w:rsid w:val="00CF4629"/>
    <w:rsid w:val="00CF4E0B"/>
    <w:rsid w:val="00CF54A1"/>
    <w:rsid w:val="00CF54AE"/>
    <w:rsid w:val="00CF57AB"/>
    <w:rsid w:val="00CF6114"/>
    <w:rsid w:val="00CF7837"/>
    <w:rsid w:val="00CF7BE1"/>
    <w:rsid w:val="00D0094C"/>
    <w:rsid w:val="00D00CF8"/>
    <w:rsid w:val="00D04232"/>
    <w:rsid w:val="00D044B4"/>
    <w:rsid w:val="00D047E3"/>
    <w:rsid w:val="00D05063"/>
    <w:rsid w:val="00D05AFF"/>
    <w:rsid w:val="00D05CFA"/>
    <w:rsid w:val="00D0652E"/>
    <w:rsid w:val="00D06CDE"/>
    <w:rsid w:val="00D075A2"/>
    <w:rsid w:val="00D07D72"/>
    <w:rsid w:val="00D101D7"/>
    <w:rsid w:val="00D10949"/>
    <w:rsid w:val="00D110F8"/>
    <w:rsid w:val="00D113CA"/>
    <w:rsid w:val="00D15165"/>
    <w:rsid w:val="00D1642A"/>
    <w:rsid w:val="00D16A7B"/>
    <w:rsid w:val="00D16BA6"/>
    <w:rsid w:val="00D206D5"/>
    <w:rsid w:val="00D209B8"/>
    <w:rsid w:val="00D20BA2"/>
    <w:rsid w:val="00D20F95"/>
    <w:rsid w:val="00D2296F"/>
    <w:rsid w:val="00D246E7"/>
    <w:rsid w:val="00D250AB"/>
    <w:rsid w:val="00D2729C"/>
    <w:rsid w:val="00D30FCE"/>
    <w:rsid w:val="00D3227F"/>
    <w:rsid w:val="00D32EDE"/>
    <w:rsid w:val="00D3317A"/>
    <w:rsid w:val="00D34468"/>
    <w:rsid w:val="00D34FC8"/>
    <w:rsid w:val="00D358E6"/>
    <w:rsid w:val="00D368D0"/>
    <w:rsid w:val="00D3794F"/>
    <w:rsid w:val="00D41761"/>
    <w:rsid w:val="00D42C16"/>
    <w:rsid w:val="00D435A3"/>
    <w:rsid w:val="00D43DBF"/>
    <w:rsid w:val="00D44F92"/>
    <w:rsid w:val="00D45106"/>
    <w:rsid w:val="00D4512E"/>
    <w:rsid w:val="00D461DD"/>
    <w:rsid w:val="00D46E08"/>
    <w:rsid w:val="00D4713D"/>
    <w:rsid w:val="00D47213"/>
    <w:rsid w:val="00D4784B"/>
    <w:rsid w:val="00D508F3"/>
    <w:rsid w:val="00D52325"/>
    <w:rsid w:val="00D5250C"/>
    <w:rsid w:val="00D552A4"/>
    <w:rsid w:val="00D55727"/>
    <w:rsid w:val="00D56337"/>
    <w:rsid w:val="00D576DF"/>
    <w:rsid w:val="00D57E4F"/>
    <w:rsid w:val="00D57F73"/>
    <w:rsid w:val="00D60A67"/>
    <w:rsid w:val="00D613D9"/>
    <w:rsid w:val="00D614E2"/>
    <w:rsid w:val="00D61A55"/>
    <w:rsid w:val="00D62015"/>
    <w:rsid w:val="00D62622"/>
    <w:rsid w:val="00D626D4"/>
    <w:rsid w:val="00D63274"/>
    <w:rsid w:val="00D64261"/>
    <w:rsid w:val="00D653A1"/>
    <w:rsid w:val="00D655E6"/>
    <w:rsid w:val="00D65B6B"/>
    <w:rsid w:val="00D65F5E"/>
    <w:rsid w:val="00D6652D"/>
    <w:rsid w:val="00D66FAC"/>
    <w:rsid w:val="00D67351"/>
    <w:rsid w:val="00D67365"/>
    <w:rsid w:val="00D67C4C"/>
    <w:rsid w:val="00D72D7A"/>
    <w:rsid w:val="00D730CE"/>
    <w:rsid w:val="00D743B9"/>
    <w:rsid w:val="00D74AE2"/>
    <w:rsid w:val="00D7525C"/>
    <w:rsid w:val="00D75AA9"/>
    <w:rsid w:val="00D76938"/>
    <w:rsid w:val="00D76C86"/>
    <w:rsid w:val="00D76D65"/>
    <w:rsid w:val="00D76F6A"/>
    <w:rsid w:val="00D77201"/>
    <w:rsid w:val="00D779FB"/>
    <w:rsid w:val="00D77E93"/>
    <w:rsid w:val="00D801C6"/>
    <w:rsid w:val="00D80508"/>
    <w:rsid w:val="00D80A45"/>
    <w:rsid w:val="00D80C79"/>
    <w:rsid w:val="00D81217"/>
    <w:rsid w:val="00D81AEE"/>
    <w:rsid w:val="00D81B33"/>
    <w:rsid w:val="00D826E2"/>
    <w:rsid w:val="00D83264"/>
    <w:rsid w:val="00D83463"/>
    <w:rsid w:val="00D84A9D"/>
    <w:rsid w:val="00D85F68"/>
    <w:rsid w:val="00D901CF"/>
    <w:rsid w:val="00D906B3"/>
    <w:rsid w:val="00D91097"/>
    <w:rsid w:val="00D910CE"/>
    <w:rsid w:val="00D91E0B"/>
    <w:rsid w:val="00D91F0C"/>
    <w:rsid w:val="00D924AF"/>
    <w:rsid w:val="00D92B61"/>
    <w:rsid w:val="00D933F3"/>
    <w:rsid w:val="00D937A3"/>
    <w:rsid w:val="00D93DA8"/>
    <w:rsid w:val="00D95602"/>
    <w:rsid w:val="00D965EF"/>
    <w:rsid w:val="00D971A1"/>
    <w:rsid w:val="00D971EC"/>
    <w:rsid w:val="00D97818"/>
    <w:rsid w:val="00D97977"/>
    <w:rsid w:val="00DA002C"/>
    <w:rsid w:val="00DA2355"/>
    <w:rsid w:val="00DA26DF"/>
    <w:rsid w:val="00DA2BC7"/>
    <w:rsid w:val="00DA2BE0"/>
    <w:rsid w:val="00DA3F5E"/>
    <w:rsid w:val="00DA4F68"/>
    <w:rsid w:val="00DA55AD"/>
    <w:rsid w:val="00DA57C8"/>
    <w:rsid w:val="00DA588C"/>
    <w:rsid w:val="00DA58F1"/>
    <w:rsid w:val="00DA62DA"/>
    <w:rsid w:val="00DA7821"/>
    <w:rsid w:val="00DA7963"/>
    <w:rsid w:val="00DB0476"/>
    <w:rsid w:val="00DB11F8"/>
    <w:rsid w:val="00DB124B"/>
    <w:rsid w:val="00DB2105"/>
    <w:rsid w:val="00DB2463"/>
    <w:rsid w:val="00DB30EA"/>
    <w:rsid w:val="00DB3126"/>
    <w:rsid w:val="00DB32FF"/>
    <w:rsid w:val="00DB3310"/>
    <w:rsid w:val="00DB3D1E"/>
    <w:rsid w:val="00DB4586"/>
    <w:rsid w:val="00DB599B"/>
    <w:rsid w:val="00DB65F5"/>
    <w:rsid w:val="00DB6A80"/>
    <w:rsid w:val="00DB6D7A"/>
    <w:rsid w:val="00DC0F7B"/>
    <w:rsid w:val="00DC17D1"/>
    <w:rsid w:val="00DC17F0"/>
    <w:rsid w:val="00DC1AEA"/>
    <w:rsid w:val="00DC278A"/>
    <w:rsid w:val="00DC3753"/>
    <w:rsid w:val="00DC3AE4"/>
    <w:rsid w:val="00DC3C8B"/>
    <w:rsid w:val="00DC436E"/>
    <w:rsid w:val="00DC4640"/>
    <w:rsid w:val="00DC4CB2"/>
    <w:rsid w:val="00DC6F2F"/>
    <w:rsid w:val="00DC75DB"/>
    <w:rsid w:val="00DD02D5"/>
    <w:rsid w:val="00DD03D0"/>
    <w:rsid w:val="00DD090C"/>
    <w:rsid w:val="00DD0970"/>
    <w:rsid w:val="00DD0F17"/>
    <w:rsid w:val="00DD17A5"/>
    <w:rsid w:val="00DD1B8A"/>
    <w:rsid w:val="00DD2B2C"/>
    <w:rsid w:val="00DD3939"/>
    <w:rsid w:val="00DD5006"/>
    <w:rsid w:val="00DD6456"/>
    <w:rsid w:val="00DD6CF7"/>
    <w:rsid w:val="00DD7240"/>
    <w:rsid w:val="00DE198E"/>
    <w:rsid w:val="00DE2712"/>
    <w:rsid w:val="00DE28EF"/>
    <w:rsid w:val="00DE3229"/>
    <w:rsid w:val="00DE3F34"/>
    <w:rsid w:val="00DE5CE1"/>
    <w:rsid w:val="00DE643A"/>
    <w:rsid w:val="00DE6EDD"/>
    <w:rsid w:val="00DE7AFB"/>
    <w:rsid w:val="00DE7B4F"/>
    <w:rsid w:val="00DF0448"/>
    <w:rsid w:val="00DF07B9"/>
    <w:rsid w:val="00DF0849"/>
    <w:rsid w:val="00DF28A0"/>
    <w:rsid w:val="00DF3F70"/>
    <w:rsid w:val="00DF4052"/>
    <w:rsid w:val="00DF45E5"/>
    <w:rsid w:val="00DF506C"/>
    <w:rsid w:val="00DF50D9"/>
    <w:rsid w:val="00DF6168"/>
    <w:rsid w:val="00DF63A1"/>
    <w:rsid w:val="00DF6AF9"/>
    <w:rsid w:val="00DF7495"/>
    <w:rsid w:val="00DF7E90"/>
    <w:rsid w:val="00E01C35"/>
    <w:rsid w:val="00E01DE3"/>
    <w:rsid w:val="00E01F53"/>
    <w:rsid w:val="00E0289F"/>
    <w:rsid w:val="00E045B0"/>
    <w:rsid w:val="00E049FE"/>
    <w:rsid w:val="00E04F89"/>
    <w:rsid w:val="00E06CDF"/>
    <w:rsid w:val="00E074F2"/>
    <w:rsid w:val="00E0763A"/>
    <w:rsid w:val="00E07C0E"/>
    <w:rsid w:val="00E07FF8"/>
    <w:rsid w:val="00E1015A"/>
    <w:rsid w:val="00E10C12"/>
    <w:rsid w:val="00E114EA"/>
    <w:rsid w:val="00E1160A"/>
    <w:rsid w:val="00E11AB6"/>
    <w:rsid w:val="00E12A0C"/>
    <w:rsid w:val="00E12CD3"/>
    <w:rsid w:val="00E13557"/>
    <w:rsid w:val="00E141B8"/>
    <w:rsid w:val="00E15D37"/>
    <w:rsid w:val="00E15D3F"/>
    <w:rsid w:val="00E17335"/>
    <w:rsid w:val="00E17C60"/>
    <w:rsid w:val="00E17F1C"/>
    <w:rsid w:val="00E17F71"/>
    <w:rsid w:val="00E206C2"/>
    <w:rsid w:val="00E20E88"/>
    <w:rsid w:val="00E21840"/>
    <w:rsid w:val="00E2202F"/>
    <w:rsid w:val="00E23628"/>
    <w:rsid w:val="00E251CE"/>
    <w:rsid w:val="00E2534E"/>
    <w:rsid w:val="00E2570A"/>
    <w:rsid w:val="00E26A69"/>
    <w:rsid w:val="00E30487"/>
    <w:rsid w:val="00E31001"/>
    <w:rsid w:val="00E31541"/>
    <w:rsid w:val="00E3164E"/>
    <w:rsid w:val="00E31F83"/>
    <w:rsid w:val="00E324F2"/>
    <w:rsid w:val="00E33096"/>
    <w:rsid w:val="00E33940"/>
    <w:rsid w:val="00E341BC"/>
    <w:rsid w:val="00E341FF"/>
    <w:rsid w:val="00E344F3"/>
    <w:rsid w:val="00E34714"/>
    <w:rsid w:val="00E34CBD"/>
    <w:rsid w:val="00E3510A"/>
    <w:rsid w:val="00E35353"/>
    <w:rsid w:val="00E353C2"/>
    <w:rsid w:val="00E369E5"/>
    <w:rsid w:val="00E3753C"/>
    <w:rsid w:val="00E37FE2"/>
    <w:rsid w:val="00E40946"/>
    <w:rsid w:val="00E40A15"/>
    <w:rsid w:val="00E40A81"/>
    <w:rsid w:val="00E40DF1"/>
    <w:rsid w:val="00E422A9"/>
    <w:rsid w:val="00E44395"/>
    <w:rsid w:val="00E45827"/>
    <w:rsid w:val="00E46252"/>
    <w:rsid w:val="00E46332"/>
    <w:rsid w:val="00E46423"/>
    <w:rsid w:val="00E4735B"/>
    <w:rsid w:val="00E5086C"/>
    <w:rsid w:val="00E5088A"/>
    <w:rsid w:val="00E5115E"/>
    <w:rsid w:val="00E51400"/>
    <w:rsid w:val="00E5187D"/>
    <w:rsid w:val="00E5234E"/>
    <w:rsid w:val="00E525C1"/>
    <w:rsid w:val="00E52BFD"/>
    <w:rsid w:val="00E53AAA"/>
    <w:rsid w:val="00E53EAE"/>
    <w:rsid w:val="00E54BE7"/>
    <w:rsid w:val="00E55579"/>
    <w:rsid w:val="00E55CC6"/>
    <w:rsid w:val="00E55DED"/>
    <w:rsid w:val="00E56083"/>
    <w:rsid w:val="00E567E9"/>
    <w:rsid w:val="00E624CB"/>
    <w:rsid w:val="00E626E6"/>
    <w:rsid w:val="00E63C26"/>
    <w:rsid w:val="00E63F93"/>
    <w:rsid w:val="00E65009"/>
    <w:rsid w:val="00E65659"/>
    <w:rsid w:val="00E666DC"/>
    <w:rsid w:val="00E66EB3"/>
    <w:rsid w:val="00E710EA"/>
    <w:rsid w:val="00E71C09"/>
    <w:rsid w:val="00E7234F"/>
    <w:rsid w:val="00E72598"/>
    <w:rsid w:val="00E747A8"/>
    <w:rsid w:val="00E74AB5"/>
    <w:rsid w:val="00E757C9"/>
    <w:rsid w:val="00E75826"/>
    <w:rsid w:val="00E7632F"/>
    <w:rsid w:val="00E76DFC"/>
    <w:rsid w:val="00E7783A"/>
    <w:rsid w:val="00E82DA9"/>
    <w:rsid w:val="00E844C7"/>
    <w:rsid w:val="00E84865"/>
    <w:rsid w:val="00E851E5"/>
    <w:rsid w:val="00E85E92"/>
    <w:rsid w:val="00E864A0"/>
    <w:rsid w:val="00E86ED2"/>
    <w:rsid w:val="00E872BD"/>
    <w:rsid w:val="00E876F6"/>
    <w:rsid w:val="00E90C40"/>
    <w:rsid w:val="00E92A96"/>
    <w:rsid w:val="00E95715"/>
    <w:rsid w:val="00E95F7A"/>
    <w:rsid w:val="00E961ED"/>
    <w:rsid w:val="00E96965"/>
    <w:rsid w:val="00E969E3"/>
    <w:rsid w:val="00E96ECC"/>
    <w:rsid w:val="00EA0094"/>
    <w:rsid w:val="00EA0476"/>
    <w:rsid w:val="00EA0556"/>
    <w:rsid w:val="00EA0914"/>
    <w:rsid w:val="00EA2552"/>
    <w:rsid w:val="00EA2676"/>
    <w:rsid w:val="00EA27B8"/>
    <w:rsid w:val="00EA2F9D"/>
    <w:rsid w:val="00EA3BEB"/>
    <w:rsid w:val="00EA3EBA"/>
    <w:rsid w:val="00EA410F"/>
    <w:rsid w:val="00EA6492"/>
    <w:rsid w:val="00EA69C5"/>
    <w:rsid w:val="00EA70E8"/>
    <w:rsid w:val="00EA7C4A"/>
    <w:rsid w:val="00EB0FEE"/>
    <w:rsid w:val="00EB113F"/>
    <w:rsid w:val="00EB2AF7"/>
    <w:rsid w:val="00EB2F51"/>
    <w:rsid w:val="00EB30E1"/>
    <w:rsid w:val="00EB33D5"/>
    <w:rsid w:val="00EB393E"/>
    <w:rsid w:val="00EB397C"/>
    <w:rsid w:val="00EB4A52"/>
    <w:rsid w:val="00EB60C0"/>
    <w:rsid w:val="00EC00FA"/>
    <w:rsid w:val="00EC0405"/>
    <w:rsid w:val="00EC0907"/>
    <w:rsid w:val="00EC1ADF"/>
    <w:rsid w:val="00EC2B81"/>
    <w:rsid w:val="00EC2E8B"/>
    <w:rsid w:val="00EC326D"/>
    <w:rsid w:val="00EC3335"/>
    <w:rsid w:val="00EC38C9"/>
    <w:rsid w:val="00EC3ACE"/>
    <w:rsid w:val="00EC543F"/>
    <w:rsid w:val="00EC5848"/>
    <w:rsid w:val="00EC70EF"/>
    <w:rsid w:val="00EC743C"/>
    <w:rsid w:val="00ED008D"/>
    <w:rsid w:val="00ED1242"/>
    <w:rsid w:val="00ED22C5"/>
    <w:rsid w:val="00ED2789"/>
    <w:rsid w:val="00ED4454"/>
    <w:rsid w:val="00ED68E2"/>
    <w:rsid w:val="00EE039D"/>
    <w:rsid w:val="00EE0486"/>
    <w:rsid w:val="00EE066F"/>
    <w:rsid w:val="00EE1B75"/>
    <w:rsid w:val="00EE3B11"/>
    <w:rsid w:val="00EE542F"/>
    <w:rsid w:val="00EE583E"/>
    <w:rsid w:val="00EE5DD1"/>
    <w:rsid w:val="00EE6E37"/>
    <w:rsid w:val="00EE7B6A"/>
    <w:rsid w:val="00EE7CFA"/>
    <w:rsid w:val="00EE7EE4"/>
    <w:rsid w:val="00EF0BCA"/>
    <w:rsid w:val="00EF0E5B"/>
    <w:rsid w:val="00EF2098"/>
    <w:rsid w:val="00EF36A5"/>
    <w:rsid w:val="00EF37E1"/>
    <w:rsid w:val="00EF39F9"/>
    <w:rsid w:val="00EF3E60"/>
    <w:rsid w:val="00EF4383"/>
    <w:rsid w:val="00EF44D6"/>
    <w:rsid w:val="00EF4A07"/>
    <w:rsid w:val="00EF61AE"/>
    <w:rsid w:val="00EF6B0F"/>
    <w:rsid w:val="00EF7382"/>
    <w:rsid w:val="00EF788C"/>
    <w:rsid w:val="00EF79EF"/>
    <w:rsid w:val="00F010B4"/>
    <w:rsid w:val="00F0220D"/>
    <w:rsid w:val="00F03925"/>
    <w:rsid w:val="00F03B94"/>
    <w:rsid w:val="00F0434C"/>
    <w:rsid w:val="00F06348"/>
    <w:rsid w:val="00F06669"/>
    <w:rsid w:val="00F0788D"/>
    <w:rsid w:val="00F10158"/>
    <w:rsid w:val="00F102EF"/>
    <w:rsid w:val="00F1058D"/>
    <w:rsid w:val="00F1095A"/>
    <w:rsid w:val="00F1153E"/>
    <w:rsid w:val="00F11FF5"/>
    <w:rsid w:val="00F1256E"/>
    <w:rsid w:val="00F12AC5"/>
    <w:rsid w:val="00F1484F"/>
    <w:rsid w:val="00F162D7"/>
    <w:rsid w:val="00F165AD"/>
    <w:rsid w:val="00F16923"/>
    <w:rsid w:val="00F2014D"/>
    <w:rsid w:val="00F2038F"/>
    <w:rsid w:val="00F20FFC"/>
    <w:rsid w:val="00F21813"/>
    <w:rsid w:val="00F21C65"/>
    <w:rsid w:val="00F22792"/>
    <w:rsid w:val="00F23923"/>
    <w:rsid w:val="00F2472A"/>
    <w:rsid w:val="00F24B33"/>
    <w:rsid w:val="00F24BFE"/>
    <w:rsid w:val="00F2538B"/>
    <w:rsid w:val="00F25F7D"/>
    <w:rsid w:val="00F26C78"/>
    <w:rsid w:val="00F27021"/>
    <w:rsid w:val="00F27110"/>
    <w:rsid w:val="00F277E3"/>
    <w:rsid w:val="00F323ED"/>
    <w:rsid w:val="00F3313D"/>
    <w:rsid w:val="00F33EDA"/>
    <w:rsid w:val="00F3463D"/>
    <w:rsid w:val="00F34716"/>
    <w:rsid w:val="00F34E03"/>
    <w:rsid w:val="00F35D8E"/>
    <w:rsid w:val="00F3631B"/>
    <w:rsid w:val="00F376AC"/>
    <w:rsid w:val="00F404A7"/>
    <w:rsid w:val="00F41B75"/>
    <w:rsid w:val="00F421E2"/>
    <w:rsid w:val="00F42424"/>
    <w:rsid w:val="00F42C6B"/>
    <w:rsid w:val="00F42E50"/>
    <w:rsid w:val="00F42E58"/>
    <w:rsid w:val="00F43C98"/>
    <w:rsid w:val="00F44321"/>
    <w:rsid w:val="00F44713"/>
    <w:rsid w:val="00F455B7"/>
    <w:rsid w:val="00F46CAB"/>
    <w:rsid w:val="00F51BB4"/>
    <w:rsid w:val="00F5252A"/>
    <w:rsid w:val="00F52619"/>
    <w:rsid w:val="00F52B77"/>
    <w:rsid w:val="00F542A6"/>
    <w:rsid w:val="00F55225"/>
    <w:rsid w:val="00F55A8D"/>
    <w:rsid w:val="00F55D60"/>
    <w:rsid w:val="00F562FE"/>
    <w:rsid w:val="00F564AE"/>
    <w:rsid w:val="00F575E3"/>
    <w:rsid w:val="00F60745"/>
    <w:rsid w:val="00F60E83"/>
    <w:rsid w:val="00F610BD"/>
    <w:rsid w:val="00F612B0"/>
    <w:rsid w:val="00F626EA"/>
    <w:rsid w:val="00F62A6F"/>
    <w:rsid w:val="00F64E79"/>
    <w:rsid w:val="00F65160"/>
    <w:rsid w:val="00F65B6E"/>
    <w:rsid w:val="00F65BE0"/>
    <w:rsid w:val="00F661AB"/>
    <w:rsid w:val="00F66E08"/>
    <w:rsid w:val="00F677C0"/>
    <w:rsid w:val="00F67E62"/>
    <w:rsid w:val="00F705B0"/>
    <w:rsid w:val="00F70D0A"/>
    <w:rsid w:val="00F72434"/>
    <w:rsid w:val="00F746BE"/>
    <w:rsid w:val="00F75186"/>
    <w:rsid w:val="00F752C0"/>
    <w:rsid w:val="00F761D0"/>
    <w:rsid w:val="00F764CC"/>
    <w:rsid w:val="00F7668E"/>
    <w:rsid w:val="00F805FA"/>
    <w:rsid w:val="00F8072E"/>
    <w:rsid w:val="00F82661"/>
    <w:rsid w:val="00F833B2"/>
    <w:rsid w:val="00F83F52"/>
    <w:rsid w:val="00F844CC"/>
    <w:rsid w:val="00F85859"/>
    <w:rsid w:val="00F85D84"/>
    <w:rsid w:val="00F869D7"/>
    <w:rsid w:val="00F86C13"/>
    <w:rsid w:val="00F86C49"/>
    <w:rsid w:val="00F87D3B"/>
    <w:rsid w:val="00F87EB4"/>
    <w:rsid w:val="00F902B9"/>
    <w:rsid w:val="00F90D5C"/>
    <w:rsid w:val="00F9150D"/>
    <w:rsid w:val="00F91BC6"/>
    <w:rsid w:val="00F9254F"/>
    <w:rsid w:val="00F928C5"/>
    <w:rsid w:val="00F92B87"/>
    <w:rsid w:val="00F92F73"/>
    <w:rsid w:val="00F950B0"/>
    <w:rsid w:val="00F965F1"/>
    <w:rsid w:val="00F96C84"/>
    <w:rsid w:val="00F96FCF"/>
    <w:rsid w:val="00FA0120"/>
    <w:rsid w:val="00FA033E"/>
    <w:rsid w:val="00FA0B06"/>
    <w:rsid w:val="00FA0E8F"/>
    <w:rsid w:val="00FA1374"/>
    <w:rsid w:val="00FA1952"/>
    <w:rsid w:val="00FA28A6"/>
    <w:rsid w:val="00FA2A6E"/>
    <w:rsid w:val="00FA444C"/>
    <w:rsid w:val="00FA4F78"/>
    <w:rsid w:val="00FA4FA4"/>
    <w:rsid w:val="00FA5336"/>
    <w:rsid w:val="00FA598B"/>
    <w:rsid w:val="00FA6263"/>
    <w:rsid w:val="00FA67C8"/>
    <w:rsid w:val="00FA7D3D"/>
    <w:rsid w:val="00FB0B6A"/>
    <w:rsid w:val="00FB100C"/>
    <w:rsid w:val="00FB2158"/>
    <w:rsid w:val="00FB2909"/>
    <w:rsid w:val="00FB2D24"/>
    <w:rsid w:val="00FB2D38"/>
    <w:rsid w:val="00FB2DAC"/>
    <w:rsid w:val="00FB30A7"/>
    <w:rsid w:val="00FB3454"/>
    <w:rsid w:val="00FB4A19"/>
    <w:rsid w:val="00FB6573"/>
    <w:rsid w:val="00FB65AB"/>
    <w:rsid w:val="00FB6B6B"/>
    <w:rsid w:val="00FB72CA"/>
    <w:rsid w:val="00FB7AEF"/>
    <w:rsid w:val="00FC010F"/>
    <w:rsid w:val="00FC0758"/>
    <w:rsid w:val="00FC0C8E"/>
    <w:rsid w:val="00FC0E7A"/>
    <w:rsid w:val="00FC158D"/>
    <w:rsid w:val="00FC34CF"/>
    <w:rsid w:val="00FC3A0D"/>
    <w:rsid w:val="00FC3A64"/>
    <w:rsid w:val="00FC41E4"/>
    <w:rsid w:val="00FC495F"/>
    <w:rsid w:val="00FC4F2D"/>
    <w:rsid w:val="00FC53A3"/>
    <w:rsid w:val="00FC59DF"/>
    <w:rsid w:val="00FC6759"/>
    <w:rsid w:val="00FC7706"/>
    <w:rsid w:val="00FD08DA"/>
    <w:rsid w:val="00FD1722"/>
    <w:rsid w:val="00FD1F9E"/>
    <w:rsid w:val="00FD24A6"/>
    <w:rsid w:val="00FD24C8"/>
    <w:rsid w:val="00FD272F"/>
    <w:rsid w:val="00FD316D"/>
    <w:rsid w:val="00FD365C"/>
    <w:rsid w:val="00FD42FE"/>
    <w:rsid w:val="00FD4A23"/>
    <w:rsid w:val="00FD577C"/>
    <w:rsid w:val="00FD5C77"/>
    <w:rsid w:val="00FD6FF4"/>
    <w:rsid w:val="00FD722F"/>
    <w:rsid w:val="00FD7E5A"/>
    <w:rsid w:val="00FE0322"/>
    <w:rsid w:val="00FE0BF7"/>
    <w:rsid w:val="00FE0C59"/>
    <w:rsid w:val="00FE0DA0"/>
    <w:rsid w:val="00FE2F87"/>
    <w:rsid w:val="00FE4072"/>
    <w:rsid w:val="00FE5DC3"/>
    <w:rsid w:val="00FE663A"/>
    <w:rsid w:val="00FE6DF5"/>
    <w:rsid w:val="00FE7115"/>
    <w:rsid w:val="00FF0730"/>
    <w:rsid w:val="00FF13BA"/>
    <w:rsid w:val="00FF1479"/>
    <w:rsid w:val="00FF16AA"/>
    <w:rsid w:val="00FF225C"/>
    <w:rsid w:val="00FF3714"/>
    <w:rsid w:val="00FF3A59"/>
    <w:rsid w:val="00FF4CDF"/>
    <w:rsid w:val="00FF6214"/>
    <w:rsid w:val="00FF7662"/>
    <w:rsid w:val="08521D6A"/>
    <w:rsid w:val="08C705AC"/>
    <w:rsid w:val="08EB52A8"/>
    <w:rsid w:val="08F256B2"/>
    <w:rsid w:val="0B625E73"/>
    <w:rsid w:val="0B8B303E"/>
    <w:rsid w:val="0C2C4C96"/>
    <w:rsid w:val="0C4940BF"/>
    <w:rsid w:val="0C4F3C26"/>
    <w:rsid w:val="0D4C2E32"/>
    <w:rsid w:val="1119276F"/>
    <w:rsid w:val="131D401C"/>
    <w:rsid w:val="139B7C52"/>
    <w:rsid w:val="148054B7"/>
    <w:rsid w:val="169B797A"/>
    <w:rsid w:val="179F3EC0"/>
    <w:rsid w:val="19551908"/>
    <w:rsid w:val="1BE03A0D"/>
    <w:rsid w:val="1C222F71"/>
    <w:rsid w:val="1CD1028D"/>
    <w:rsid w:val="208C301F"/>
    <w:rsid w:val="24C403CB"/>
    <w:rsid w:val="24ED6468"/>
    <w:rsid w:val="250C696F"/>
    <w:rsid w:val="26861263"/>
    <w:rsid w:val="27582724"/>
    <w:rsid w:val="27B65037"/>
    <w:rsid w:val="284B211C"/>
    <w:rsid w:val="284F33E9"/>
    <w:rsid w:val="2AEB3D57"/>
    <w:rsid w:val="2CDD7B5D"/>
    <w:rsid w:val="305945E1"/>
    <w:rsid w:val="313D29F8"/>
    <w:rsid w:val="3158170A"/>
    <w:rsid w:val="322C2F75"/>
    <w:rsid w:val="347934B5"/>
    <w:rsid w:val="358854E6"/>
    <w:rsid w:val="37D85E2F"/>
    <w:rsid w:val="381F2D55"/>
    <w:rsid w:val="38DA20CF"/>
    <w:rsid w:val="39FB7A4C"/>
    <w:rsid w:val="3AC8431A"/>
    <w:rsid w:val="3C042222"/>
    <w:rsid w:val="3DFD0353"/>
    <w:rsid w:val="3E312A5F"/>
    <w:rsid w:val="41C459FF"/>
    <w:rsid w:val="43A12CD7"/>
    <w:rsid w:val="43EF59B5"/>
    <w:rsid w:val="4439094E"/>
    <w:rsid w:val="44A86067"/>
    <w:rsid w:val="44C75305"/>
    <w:rsid w:val="45AD27D5"/>
    <w:rsid w:val="4983427D"/>
    <w:rsid w:val="4A4D2ECD"/>
    <w:rsid w:val="4B756AC6"/>
    <w:rsid w:val="4BCA6D09"/>
    <w:rsid w:val="4C6A6E14"/>
    <w:rsid w:val="4D6046CB"/>
    <w:rsid w:val="524B466D"/>
    <w:rsid w:val="558F1FA8"/>
    <w:rsid w:val="55DF6251"/>
    <w:rsid w:val="58E2717F"/>
    <w:rsid w:val="59CB6FC2"/>
    <w:rsid w:val="5B1F540A"/>
    <w:rsid w:val="5C716788"/>
    <w:rsid w:val="5CAD41D1"/>
    <w:rsid w:val="5CD80C3C"/>
    <w:rsid w:val="63290D92"/>
    <w:rsid w:val="6575004E"/>
    <w:rsid w:val="67935AA2"/>
    <w:rsid w:val="68187D9A"/>
    <w:rsid w:val="6A4B703A"/>
    <w:rsid w:val="6B046CA8"/>
    <w:rsid w:val="6B107ACA"/>
    <w:rsid w:val="6E103C59"/>
    <w:rsid w:val="6EEA489E"/>
    <w:rsid w:val="6FF13BA4"/>
    <w:rsid w:val="70B24934"/>
    <w:rsid w:val="70EA46DF"/>
    <w:rsid w:val="71ED035D"/>
    <w:rsid w:val="74F11755"/>
    <w:rsid w:val="751B31F7"/>
    <w:rsid w:val="756D5CC7"/>
    <w:rsid w:val="77067EE7"/>
    <w:rsid w:val="781F5F1D"/>
    <w:rsid w:val="78C17055"/>
    <w:rsid w:val="79D11363"/>
    <w:rsid w:val="7AF057CB"/>
    <w:rsid w:val="7B8A04DF"/>
    <w:rsid w:val="7C0B4A7D"/>
    <w:rsid w:val="7D3545B0"/>
    <w:rsid w:val="7E307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33"/>
    <w:qFormat/>
    <w:uiPriority w:val="0"/>
    <w:pPr>
      <w:numPr>
        <w:ilvl w:val="0"/>
        <w:numId w:val="1"/>
      </w:numPr>
      <w:spacing w:before="240" w:after="240" w:line="360" w:lineRule="exact"/>
      <w:jc w:val="left"/>
      <w:outlineLvl w:val="0"/>
    </w:pPr>
    <w:rPr>
      <w:rFonts w:ascii="Arial" w:hAnsi="Arial" w:eastAsia="黑体"/>
      <w:b/>
      <w:kern w:val="44"/>
    </w:rPr>
  </w:style>
  <w:style w:type="paragraph" w:styleId="4">
    <w:name w:val="heading 2"/>
    <w:basedOn w:val="1"/>
    <w:next w:val="2"/>
    <w:link w:val="42"/>
    <w:qFormat/>
    <w:uiPriority w:val="0"/>
    <w:pPr>
      <w:numPr>
        <w:ilvl w:val="1"/>
        <w:numId w:val="1"/>
      </w:numPr>
      <w:spacing w:line="360" w:lineRule="exact"/>
      <w:ind w:left="576"/>
      <w:jc w:val="left"/>
      <w:outlineLvl w:val="1"/>
    </w:pPr>
  </w:style>
  <w:style w:type="paragraph" w:styleId="5">
    <w:name w:val="heading 3"/>
    <w:basedOn w:val="1"/>
    <w:next w:val="2"/>
    <w:link w:val="43"/>
    <w:qFormat/>
    <w:uiPriority w:val="0"/>
    <w:pPr>
      <w:numPr>
        <w:ilvl w:val="2"/>
        <w:numId w:val="1"/>
      </w:numPr>
      <w:spacing w:line="360" w:lineRule="exact"/>
      <w:jc w:val="left"/>
      <w:outlineLvl w:val="2"/>
    </w:pPr>
  </w:style>
  <w:style w:type="paragraph" w:styleId="6">
    <w:name w:val="heading 4"/>
    <w:basedOn w:val="1"/>
    <w:next w:val="2"/>
    <w:link w:val="36"/>
    <w:qFormat/>
    <w:uiPriority w:val="0"/>
    <w:pPr>
      <w:numPr>
        <w:ilvl w:val="3"/>
        <w:numId w:val="1"/>
      </w:numPr>
      <w:spacing w:line="360" w:lineRule="exact"/>
      <w:jc w:val="left"/>
      <w:outlineLvl w:val="3"/>
    </w:pPr>
  </w:style>
  <w:style w:type="paragraph" w:styleId="7">
    <w:name w:val="heading 5"/>
    <w:basedOn w:val="1"/>
    <w:next w:val="2"/>
    <w:link w:val="37"/>
    <w:qFormat/>
    <w:uiPriority w:val="0"/>
    <w:pPr>
      <w:numPr>
        <w:ilvl w:val="4"/>
        <w:numId w:val="1"/>
      </w:numPr>
      <w:tabs>
        <w:tab w:val="left" w:pos="1361"/>
      </w:tabs>
      <w:spacing w:line="360" w:lineRule="exact"/>
      <w:jc w:val="left"/>
      <w:outlineLvl w:val="4"/>
    </w:pPr>
  </w:style>
  <w:style w:type="paragraph" w:styleId="8">
    <w:name w:val="heading 6"/>
    <w:basedOn w:val="1"/>
    <w:next w:val="2"/>
    <w:link w:val="38"/>
    <w:qFormat/>
    <w:uiPriority w:val="0"/>
    <w:pPr>
      <w:numPr>
        <w:ilvl w:val="5"/>
        <w:numId w:val="1"/>
      </w:numPr>
      <w:spacing w:line="360" w:lineRule="exact"/>
      <w:jc w:val="left"/>
      <w:outlineLvl w:val="5"/>
    </w:pPr>
  </w:style>
  <w:style w:type="paragraph" w:styleId="9">
    <w:name w:val="heading 7"/>
    <w:basedOn w:val="1"/>
    <w:next w:val="2"/>
    <w:link w:val="39"/>
    <w:qFormat/>
    <w:uiPriority w:val="0"/>
    <w:pPr>
      <w:numPr>
        <w:ilvl w:val="6"/>
        <w:numId w:val="1"/>
      </w:numPr>
      <w:spacing w:line="360" w:lineRule="exact"/>
      <w:outlineLvl w:val="6"/>
    </w:pPr>
  </w:style>
  <w:style w:type="paragraph" w:styleId="10">
    <w:name w:val="heading 8"/>
    <w:basedOn w:val="1"/>
    <w:next w:val="2"/>
    <w:link w:val="40"/>
    <w:qFormat/>
    <w:uiPriority w:val="0"/>
    <w:pPr>
      <w:numPr>
        <w:ilvl w:val="7"/>
        <w:numId w:val="1"/>
      </w:numPr>
      <w:spacing w:line="360" w:lineRule="exact"/>
      <w:jc w:val="left"/>
      <w:outlineLvl w:val="7"/>
    </w:pPr>
  </w:style>
  <w:style w:type="paragraph" w:styleId="11">
    <w:name w:val="heading 9"/>
    <w:basedOn w:val="1"/>
    <w:next w:val="2"/>
    <w:link w:val="41"/>
    <w:qFormat/>
    <w:uiPriority w:val="0"/>
    <w:pPr>
      <w:numPr>
        <w:ilvl w:val="8"/>
        <w:numId w:val="1"/>
      </w:numPr>
      <w:spacing w:line="360" w:lineRule="exact"/>
      <w:jc w:val="left"/>
      <w:outlineLvl w:val="8"/>
    </w:pPr>
  </w:style>
  <w:style w:type="character" w:default="1" w:styleId="24">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1"/>
    <w:link w:val="45"/>
    <w:unhideWhenUsed/>
    <w:qFormat/>
    <w:uiPriority w:val="0"/>
    <w:pPr>
      <w:ind w:firstLine="420" w:firstLineChars="100"/>
    </w:pPr>
  </w:style>
  <w:style w:type="paragraph" w:styleId="12">
    <w:name w:val="annotation subject"/>
    <w:basedOn w:val="13"/>
    <w:next w:val="13"/>
    <w:link w:val="66"/>
    <w:semiHidden/>
    <w:unhideWhenUsed/>
    <w:qFormat/>
    <w:uiPriority w:val="99"/>
    <w:pPr>
      <w:spacing w:line="240" w:lineRule="auto"/>
    </w:pPr>
    <w:rPr>
      <w:b/>
      <w:bCs/>
    </w:rPr>
  </w:style>
  <w:style w:type="paragraph" w:styleId="13">
    <w:name w:val="annotation text"/>
    <w:basedOn w:val="1"/>
    <w:link w:val="60"/>
    <w:unhideWhenUsed/>
    <w:qFormat/>
    <w:uiPriority w:val="99"/>
    <w:pPr>
      <w:spacing w:line="360" w:lineRule="exact"/>
      <w:jc w:val="left"/>
    </w:pPr>
  </w:style>
  <w:style w:type="paragraph" w:styleId="14">
    <w:name w:val="Normal Indent"/>
    <w:basedOn w:val="1"/>
    <w:next w:val="1"/>
    <w:link w:val="53"/>
    <w:qFormat/>
    <w:uiPriority w:val="99"/>
    <w:pPr>
      <w:spacing w:line="360" w:lineRule="auto"/>
      <w:ind w:firstLine="200" w:firstLineChars="200"/>
    </w:pPr>
  </w:style>
  <w:style w:type="paragraph" w:styleId="15">
    <w:name w:val="Document Map"/>
    <w:basedOn w:val="1"/>
    <w:link w:val="59"/>
    <w:semiHidden/>
    <w:unhideWhenUsed/>
    <w:qFormat/>
    <w:uiPriority w:val="99"/>
    <w:rPr>
      <w:rFonts w:ascii="宋体"/>
      <w:sz w:val="18"/>
      <w:szCs w:val="18"/>
    </w:rPr>
  </w:style>
  <w:style w:type="paragraph" w:styleId="16">
    <w:name w:val="Body Text"/>
    <w:basedOn w:val="1"/>
    <w:link w:val="44"/>
    <w:semiHidden/>
    <w:unhideWhenUsed/>
    <w:qFormat/>
    <w:uiPriority w:val="99"/>
    <w:pPr>
      <w:spacing w:after="120"/>
    </w:pPr>
  </w:style>
  <w:style w:type="paragraph" w:styleId="17">
    <w:name w:val="Body Text Indent"/>
    <w:basedOn w:val="1"/>
    <w:link w:val="65"/>
    <w:semiHidden/>
    <w:unhideWhenUsed/>
    <w:qFormat/>
    <w:uiPriority w:val="99"/>
    <w:pPr>
      <w:spacing w:after="120"/>
      <w:ind w:left="420" w:leftChars="200"/>
    </w:pPr>
  </w:style>
  <w:style w:type="paragraph" w:styleId="18">
    <w:name w:val="Date"/>
    <w:basedOn w:val="1"/>
    <w:next w:val="1"/>
    <w:link w:val="52"/>
    <w:semiHidden/>
    <w:unhideWhenUsed/>
    <w:qFormat/>
    <w:uiPriority w:val="99"/>
    <w:pPr>
      <w:ind w:left="100" w:leftChars="2500"/>
    </w:pPr>
  </w:style>
  <w:style w:type="paragraph" w:styleId="19">
    <w:name w:val="Body Text Indent 2"/>
    <w:basedOn w:val="1"/>
    <w:link w:val="70"/>
    <w:semiHidden/>
    <w:unhideWhenUsed/>
    <w:qFormat/>
    <w:uiPriority w:val="99"/>
    <w:pPr>
      <w:spacing w:after="120" w:line="480" w:lineRule="auto"/>
      <w:ind w:left="420" w:leftChars="200"/>
    </w:pPr>
  </w:style>
  <w:style w:type="paragraph" w:styleId="20">
    <w:name w:val="Balloon Text"/>
    <w:basedOn w:val="1"/>
    <w:link w:val="47"/>
    <w:semiHidden/>
    <w:unhideWhenUsed/>
    <w:qFormat/>
    <w:uiPriority w:val="99"/>
    <w:rPr>
      <w:sz w:val="18"/>
      <w:szCs w:val="18"/>
    </w:rPr>
  </w:style>
  <w:style w:type="paragraph" w:styleId="21">
    <w:name w:val="footer"/>
    <w:basedOn w:val="1"/>
    <w:link w:val="32"/>
    <w:unhideWhenUsed/>
    <w:qFormat/>
    <w:uiPriority w:val="99"/>
    <w:pPr>
      <w:tabs>
        <w:tab w:val="center" w:pos="4153"/>
        <w:tab w:val="right" w:pos="8306"/>
      </w:tabs>
      <w:snapToGrid w:val="0"/>
      <w:jc w:val="left"/>
    </w:pPr>
    <w:rPr>
      <w:sz w:val="18"/>
      <w:szCs w:val="18"/>
    </w:rPr>
  </w:style>
  <w:style w:type="paragraph" w:styleId="2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Normal (Web)"/>
    <w:basedOn w:val="1"/>
    <w:qFormat/>
    <w:uiPriority w:val="99"/>
    <w:rPr>
      <w:sz w:val="24"/>
      <w:szCs w:val="24"/>
    </w:rPr>
  </w:style>
  <w:style w:type="character" w:styleId="25">
    <w:name w:val="Strong"/>
    <w:basedOn w:val="24"/>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table" w:styleId="30">
    <w:name w:val="Table Grid"/>
    <w:basedOn w:val="2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31">
    <w:name w:val="页眉 Char"/>
    <w:basedOn w:val="24"/>
    <w:link w:val="22"/>
    <w:qFormat/>
    <w:uiPriority w:val="99"/>
    <w:rPr>
      <w:sz w:val="18"/>
      <w:szCs w:val="18"/>
    </w:rPr>
  </w:style>
  <w:style w:type="character" w:customStyle="1" w:styleId="32">
    <w:name w:val="页脚 Char"/>
    <w:basedOn w:val="24"/>
    <w:link w:val="21"/>
    <w:qFormat/>
    <w:uiPriority w:val="99"/>
    <w:rPr>
      <w:sz w:val="18"/>
      <w:szCs w:val="18"/>
    </w:rPr>
  </w:style>
  <w:style w:type="character" w:customStyle="1" w:styleId="33">
    <w:name w:val="标题 1 Char"/>
    <w:basedOn w:val="24"/>
    <w:link w:val="3"/>
    <w:qFormat/>
    <w:uiPriority w:val="0"/>
    <w:rPr>
      <w:rFonts w:ascii="Arial" w:hAnsi="Arial" w:eastAsia="黑体" w:cs="Times New Roman"/>
      <w:b/>
      <w:kern w:val="44"/>
      <w:szCs w:val="20"/>
    </w:rPr>
  </w:style>
  <w:style w:type="character" w:customStyle="1" w:styleId="34">
    <w:name w:val="标题 2 Char"/>
    <w:basedOn w:val="24"/>
    <w:semiHidden/>
    <w:qFormat/>
    <w:uiPriority w:val="9"/>
    <w:rPr>
      <w:rFonts w:asciiTheme="majorHAnsi" w:hAnsiTheme="majorHAnsi" w:eastAsiaTheme="majorEastAsia" w:cstheme="majorBidi"/>
      <w:b/>
      <w:bCs/>
      <w:sz w:val="32"/>
      <w:szCs w:val="32"/>
    </w:rPr>
  </w:style>
  <w:style w:type="character" w:customStyle="1" w:styleId="35">
    <w:name w:val="标题 3 Char"/>
    <w:basedOn w:val="24"/>
    <w:qFormat/>
    <w:uiPriority w:val="0"/>
    <w:rPr>
      <w:rFonts w:ascii="Times New Roman" w:hAnsi="Times New Roman" w:eastAsia="宋体" w:cs="Times New Roman"/>
      <w:b/>
      <w:bCs/>
      <w:sz w:val="32"/>
      <w:szCs w:val="32"/>
    </w:rPr>
  </w:style>
  <w:style w:type="character" w:customStyle="1" w:styleId="36">
    <w:name w:val="标题 4 Char"/>
    <w:basedOn w:val="24"/>
    <w:link w:val="6"/>
    <w:qFormat/>
    <w:uiPriority w:val="0"/>
    <w:rPr>
      <w:rFonts w:ascii="Times New Roman" w:hAnsi="Times New Roman" w:eastAsia="宋体" w:cs="Times New Roman"/>
      <w:szCs w:val="20"/>
    </w:rPr>
  </w:style>
  <w:style w:type="character" w:customStyle="1" w:styleId="37">
    <w:name w:val="标题 5 Char"/>
    <w:basedOn w:val="24"/>
    <w:link w:val="7"/>
    <w:qFormat/>
    <w:uiPriority w:val="0"/>
    <w:rPr>
      <w:rFonts w:ascii="Times New Roman" w:hAnsi="Times New Roman" w:eastAsia="宋体" w:cs="Times New Roman"/>
      <w:szCs w:val="20"/>
    </w:rPr>
  </w:style>
  <w:style w:type="character" w:customStyle="1" w:styleId="38">
    <w:name w:val="标题 6 Char"/>
    <w:basedOn w:val="24"/>
    <w:link w:val="8"/>
    <w:qFormat/>
    <w:uiPriority w:val="0"/>
    <w:rPr>
      <w:rFonts w:ascii="Times New Roman" w:hAnsi="Times New Roman" w:eastAsia="宋体" w:cs="Times New Roman"/>
      <w:szCs w:val="20"/>
    </w:rPr>
  </w:style>
  <w:style w:type="character" w:customStyle="1" w:styleId="39">
    <w:name w:val="标题 7 Char"/>
    <w:basedOn w:val="24"/>
    <w:link w:val="9"/>
    <w:qFormat/>
    <w:uiPriority w:val="0"/>
    <w:rPr>
      <w:rFonts w:ascii="Times New Roman" w:hAnsi="Times New Roman" w:eastAsia="宋体" w:cs="Times New Roman"/>
      <w:szCs w:val="20"/>
    </w:rPr>
  </w:style>
  <w:style w:type="character" w:customStyle="1" w:styleId="40">
    <w:name w:val="标题 8 Char"/>
    <w:basedOn w:val="24"/>
    <w:link w:val="10"/>
    <w:qFormat/>
    <w:uiPriority w:val="0"/>
    <w:rPr>
      <w:rFonts w:ascii="Times New Roman" w:hAnsi="Times New Roman" w:eastAsia="宋体" w:cs="Times New Roman"/>
      <w:szCs w:val="20"/>
    </w:rPr>
  </w:style>
  <w:style w:type="character" w:customStyle="1" w:styleId="41">
    <w:name w:val="标题 9 Char"/>
    <w:basedOn w:val="24"/>
    <w:link w:val="11"/>
    <w:qFormat/>
    <w:uiPriority w:val="0"/>
    <w:rPr>
      <w:rFonts w:ascii="Times New Roman" w:hAnsi="Times New Roman" w:eastAsia="宋体" w:cs="Times New Roman"/>
      <w:szCs w:val="20"/>
    </w:rPr>
  </w:style>
  <w:style w:type="character" w:customStyle="1" w:styleId="42">
    <w:name w:val="标题 2 Char1"/>
    <w:basedOn w:val="24"/>
    <w:link w:val="4"/>
    <w:qFormat/>
    <w:uiPriority w:val="0"/>
    <w:rPr>
      <w:rFonts w:ascii="Times New Roman" w:hAnsi="Times New Roman" w:eastAsia="宋体" w:cs="Times New Roman"/>
      <w:szCs w:val="20"/>
    </w:rPr>
  </w:style>
  <w:style w:type="character" w:customStyle="1" w:styleId="43">
    <w:name w:val="标题 3 Char1"/>
    <w:basedOn w:val="24"/>
    <w:link w:val="5"/>
    <w:qFormat/>
    <w:uiPriority w:val="0"/>
    <w:rPr>
      <w:rFonts w:ascii="Times New Roman" w:hAnsi="Times New Roman" w:eastAsia="宋体" w:cs="Times New Roman"/>
      <w:szCs w:val="20"/>
    </w:rPr>
  </w:style>
  <w:style w:type="character" w:customStyle="1" w:styleId="44">
    <w:name w:val="正文文本 Char"/>
    <w:basedOn w:val="24"/>
    <w:link w:val="16"/>
    <w:semiHidden/>
    <w:qFormat/>
    <w:uiPriority w:val="99"/>
    <w:rPr>
      <w:rFonts w:ascii="Times New Roman" w:hAnsi="Times New Roman" w:eastAsia="宋体" w:cs="Times New Roman"/>
      <w:szCs w:val="20"/>
    </w:rPr>
  </w:style>
  <w:style w:type="character" w:customStyle="1" w:styleId="45">
    <w:name w:val="正文首行缩进 Char"/>
    <w:basedOn w:val="44"/>
    <w:link w:val="2"/>
    <w:qFormat/>
    <w:uiPriority w:val="0"/>
    <w:rPr>
      <w:rFonts w:ascii="Times New Roman" w:hAnsi="Times New Roman" w:eastAsia="宋体" w:cs="Times New Roman"/>
      <w:szCs w:val="20"/>
    </w:rPr>
  </w:style>
  <w:style w:type="paragraph" w:customStyle="1" w:styleId="46">
    <w:name w:val="[Normal]"/>
    <w:next w:val="1"/>
    <w:qFormat/>
    <w:uiPriority w:val="0"/>
    <w:pPr>
      <w:widowControl w:val="0"/>
      <w:autoSpaceDE w:val="0"/>
      <w:autoSpaceDN w:val="0"/>
      <w:adjustRightInd w:val="0"/>
    </w:pPr>
    <w:rPr>
      <w:rFonts w:ascii="Tahoma" w:hAnsi="Tahoma" w:eastAsia="宋体" w:cs="Tahoma"/>
      <w:kern w:val="0"/>
      <w:sz w:val="24"/>
      <w:szCs w:val="24"/>
      <w:u w:color="000000"/>
      <w:lang w:val="de-DE" w:eastAsia="zh-CN" w:bidi="ar-SA"/>
    </w:rPr>
  </w:style>
  <w:style w:type="character" w:customStyle="1" w:styleId="47">
    <w:name w:val="批注框文本 Char"/>
    <w:basedOn w:val="24"/>
    <w:link w:val="20"/>
    <w:semiHidden/>
    <w:qFormat/>
    <w:uiPriority w:val="99"/>
    <w:rPr>
      <w:rFonts w:ascii="Times New Roman" w:hAnsi="Times New Roman" w:eastAsia="宋体" w:cs="Times New Roman"/>
      <w:sz w:val="18"/>
      <w:szCs w:val="18"/>
    </w:rPr>
  </w:style>
  <w:style w:type="character" w:customStyle="1" w:styleId="48">
    <w:name w:val="p121"/>
    <w:basedOn w:val="24"/>
    <w:qFormat/>
    <w:uiPriority w:val="0"/>
  </w:style>
  <w:style w:type="paragraph" w:styleId="49">
    <w:name w:val="List Paragraph"/>
    <w:basedOn w:val="1"/>
    <w:qFormat/>
    <w:uiPriority w:val="34"/>
    <w:pPr>
      <w:adjustRightInd w:val="0"/>
      <w:spacing w:line="360" w:lineRule="atLeast"/>
      <w:ind w:firstLine="420" w:firstLineChars="200"/>
      <w:jc w:val="left"/>
      <w:textAlignment w:val="baseline"/>
    </w:pPr>
    <w:rPr>
      <w:rFonts w:ascii="楷体"/>
      <w:kern w:val="0"/>
      <w:sz w:val="28"/>
    </w:rPr>
  </w:style>
  <w:style w:type="paragraph" w:customStyle="1" w:styleId="50">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2">
    <w:name w:val="日期 Char"/>
    <w:basedOn w:val="24"/>
    <w:link w:val="18"/>
    <w:semiHidden/>
    <w:qFormat/>
    <w:uiPriority w:val="99"/>
    <w:rPr>
      <w:rFonts w:ascii="Times New Roman" w:hAnsi="Times New Roman" w:eastAsia="宋体" w:cs="Times New Roman"/>
      <w:szCs w:val="20"/>
    </w:rPr>
  </w:style>
  <w:style w:type="character" w:customStyle="1" w:styleId="53">
    <w:name w:val="正文缩进 Char"/>
    <w:link w:val="14"/>
    <w:qFormat/>
    <w:uiPriority w:val="99"/>
    <w:rPr>
      <w:rFonts w:ascii="Times New Roman" w:hAnsi="Times New Roman" w:eastAsia="宋体" w:cs="Times New Roman"/>
      <w:szCs w:val="20"/>
    </w:rPr>
  </w:style>
  <w:style w:type="character" w:customStyle="1" w:styleId="54">
    <w:name w:val="正文（首行缩进两字） Char1"/>
    <w:qFormat/>
    <w:uiPriority w:val="0"/>
    <w:rPr>
      <w:rFonts w:ascii="宋体" w:hAnsi="宋体" w:eastAsia="宋体" w:cs="宋体"/>
      <w:kern w:val="0"/>
      <w:sz w:val="24"/>
      <w:szCs w:val="24"/>
    </w:rPr>
  </w:style>
  <w:style w:type="paragraph" w:customStyle="1" w:styleId="55">
    <w:name w:val="列出段落2"/>
    <w:basedOn w:val="1"/>
    <w:link w:val="56"/>
    <w:qFormat/>
    <w:uiPriority w:val="34"/>
    <w:pPr>
      <w:ind w:firstLine="420" w:firstLineChars="200"/>
    </w:pPr>
    <w:rPr>
      <w:rFonts w:ascii="Calibri" w:hAnsi="Calibri"/>
      <w:szCs w:val="22"/>
    </w:rPr>
  </w:style>
  <w:style w:type="character" w:customStyle="1" w:styleId="56">
    <w:name w:val="列出段落 Char"/>
    <w:link w:val="55"/>
    <w:qFormat/>
    <w:uiPriority w:val="34"/>
    <w:rPr>
      <w:rFonts w:ascii="Calibri" w:hAnsi="Calibri" w:eastAsia="宋体" w:cs="Times New Roman"/>
    </w:rPr>
  </w:style>
  <w:style w:type="paragraph" w:customStyle="1" w:styleId="57">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58">
    <w:name w:val="defaul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9">
    <w:name w:val="文档结构图 Char"/>
    <w:basedOn w:val="24"/>
    <w:link w:val="15"/>
    <w:semiHidden/>
    <w:qFormat/>
    <w:uiPriority w:val="99"/>
    <w:rPr>
      <w:rFonts w:ascii="宋体" w:hAnsi="Times New Roman" w:eastAsia="宋体" w:cs="Times New Roman"/>
      <w:sz w:val="18"/>
      <w:szCs w:val="18"/>
    </w:rPr>
  </w:style>
  <w:style w:type="character" w:customStyle="1" w:styleId="60">
    <w:name w:val="批注文字 Char"/>
    <w:basedOn w:val="24"/>
    <w:link w:val="13"/>
    <w:qFormat/>
    <w:uiPriority w:val="99"/>
    <w:rPr>
      <w:rFonts w:ascii="Times New Roman" w:hAnsi="Times New Roman" w:eastAsia="宋体" w:cs="Times New Roman"/>
      <w:szCs w:val="20"/>
    </w:rPr>
  </w:style>
  <w:style w:type="character" w:customStyle="1" w:styleId="61">
    <w:name w:val="正文（首行缩进两字） Char Char Char Char Char Char Char"/>
    <w:basedOn w:val="24"/>
    <w:qFormat/>
    <w:uiPriority w:val="0"/>
    <w:rPr>
      <w:rFonts w:ascii="Times New Roman" w:hAnsi="Times New Roman" w:eastAsia="宋体" w:cs="Times New Roman"/>
      <w:szCs w:val="20"/>
    </w:rPr>
  </w:style>
  <w:style w:type="character" w:customStyle="1" w:styleId="62">
    <w:name w:val="我的正文 Char"/>
    <w:link w:val="63"/>
    <w:qFormat/>
    <w:locked/>
    <w:uiPriority w:val="0"/>
    <w:rPr>
      <w:rFonts w:ascii="仿宋_GB2312" w:eastAsia="仿宋_GB2312" w:cs="宋体"/>
      <w:sz w:val="24"/>
    </w:rPr>
  </w:style>
  <w:style w:type="paragraph" w:customStyle="1" w:styleId="63">
    <w:name w:val="我的正文"/>
    <w:basedOn w:val="1"/>
    <w:link w:val="62"/>
    <w:qFormat/>
    <w:uiPriority w:val="0"/>
    <w:pPr>
      <w:spacing w:line="480" w:lineRule="exact"/>
      <w:ind w:firstLine="200" w:firstLineChars="200"/>
    </w:pPr>
    <w:rPr>
      <w:rFonts w:ascii="仿宋_GB2312" w:eastAsia="仿宋_GB2312" w:cs="宋体" w:hAnsiTheme="minorHAnsi"/>
      <w:sz w:val="24"/>
      <w:szCs w:val="22"/>
    </w:rPr>
  </w:style>
  <w:style w:type="paragraph" w:customStyle="1" w:styleId="64">
    <w:name w:val="注1："/>
    <w:basedOn w:val="17"/>
    <w:qFormat/>
    <w:uiPriority w:val="0"/>
    <w:pPr>
      <w:numPr>
        <w:ilvl w:val="0"/>
        <w:numId w:val="2"/>
      </w:numPr>
      <w:tabs>
        <w:tab w:val="left" w:pos="840"/>
      </w:tabs>
      <w:spacing w:line="360" w:lineRule="exact"/>
      <w:ind w:left="0" w:leftChars="0"/>
    </w:pPr>
    <w:rPr>
      <w:sz w:val="18"/>
    </w:rPr>
  </w:style>
  <w:style w:type="character" w:customStyle="1" w:styleId="65">
    <w:name w:val="正文文本缩进 Char"/>
    <w:basedOn w:val="24"/>
    <w:link w:val="17"/>
    <w:semiHidden/>
    <w:qFormat/>
    <w:uiPriority w:val="99"/>
    <w:rPr>
      <w:rFonts w:ascii="Times New Roman" w:hAnsi="Times New Roman" w:eastAsia="宋体" w:cs="Times New Roman"/>
      <w:szCs w:val="20"/>
    </w:rPr>
  </w:style>
  <w:style w:type="character" w:customStyle="1" w:styleId="66">
    <w:name w:val="批注主题 Char"/>
    <w:basedOn w:val="60"/>
    <w:link w:val="12"/>
    <w:semiHidden/>
    <w:qFormat/>
    <w:uiPriority w:val="99"/>
    <w:rPr>
      <w:rFonts w:ascii="Times New Roman" w:hAnsi="Times New Roman" w:eastAsia="宋体" w:cs="Times New Roman"/>
      <w:b/>
      <w:bCs/>
      <w:szCs w:val="20"/>
    </w:rPr>
  </w:style>
  <w:style w:type="paragraph" w:customStyle="1" w:styleId="67">
    <w:name w:val="二級標題"/>
    <w:qFormat/>
    <w:uiPriority w:val="0"/>
    <w:pPr>
      <w:numPr>
        <w:ilvl w:val="1"/>
        <w:numId w:val="3"/>
      </w:numPr>
      <w:tabs>
        <w:tab w:val="left" w:pos="567"/>
      </w:tabs>
      <w:spacing w:beforeLines="50"/>
      <w:outlineLvl w:val="1"/>
    </w:pPr>
    <w:rPr>
      <w:rFonts w:ascii="Times New Roman" w:hAnsi="Times New Roman" w:eastAsia="宋体" w:cs="Times New Roman"/>
      <w:b/>
      <w:kern w:val="2"/>
      <w:sz w:val="28"/>
      <w:szCs w:val="28"/>
      <w:lang w:val="en-US" w:eastAsia="zh-CN" w:bidi="ar-SA"/>
    </w:rPr>
  </w:style>
  <w:style w:type="paragraph" w:customStyle="1" w:styleId="68">
    <w:name w:val="一級標題"/>
    <w:basedOn w:val="3"/>
    <w:qFormat/>
    <w:uiPriority w:val="0"/>
    <w:pPr>
      <w:keepNext/>
      <w:keepLines/>
      <w:numPr>
        <w:numId w:val="3"/>
      </w:numPr>
      <w:spacing w:beforeLines="150" w:afterLines="50"/>
      <w:jc w:val="both"/>
    </w:pPr>
    <w:rPr>
      <w:rFonts w:ascii="黑体" w:hAnsi="黑体"/>
      <w:b w:val="0"/>
      <w:bCs/>
      <w:sz w:val="32"/>
      <w:szCs w:val="32"/>
    </w:rPr>
  </w:style>
  <w:style w:type="paragraph" w:customStyle="1" w:styleId="69">
    <w:name w:val="Table Paragraph"/>
    <w:basedOn w:val="1"/>
    <w:qFormat/>
    <w:uiPriority w:val="1"/>
    <w:pPr>
      <w:autoSpaceDE w:val="0"/>
      <w:autoSpaceDN w:val="0"/>
      <w:jc w:val="left"/>
    </w:pPr>
    <w:rPr>
      <w:rFonts w:ascii="微软雅黑" w:hAnsi="微软雅黑" w:eastAsia="微软雅黑" w:cs="微软雅黑"/>
      <w:kern w:val="0"/>
      <w:sz w:val="22"/>
      <w:szCs w:val="22"/>
      <w:lang w:eastAsia="en-US"/>
    </w:rPr>
  </w:style>
  <w:style w:type="character" w:customStyle="1" w:styleId="70">
    <w:name w:val="正文文本缩进 2 Char"/>
    <w:basedOn w:val="24"/>
    <w:link w:val="19"/>
    <w:semiHidden/>
    <w:qFormat/>
    <w:uiPriority w:val="99"/>
    <w:rPr>
      <w:rFonts w:ascii="Times New Roman" w:hAnsi="Times New Roman" w:eastAsia="宋体" w:cs="Times New Roman"/>
      <w:szCs w:val="20"/>
    </w:rPr>
  </w:style>
  <w:style w:type="character" w:customStyle="1" w:styleId="71">
    <w:name w:val="s样式 Char"/>
    <w:link w:val="72"/>
    <w:qFormat/>
    <w:locked/>
    <w:uiPriority w:val="0"/>
    <w:rPr>
      <w:rFonts w:ascii="Calibri" w:hAnsi="Calibri" w:cs="Arial"/>
      <w:sz w:val="24"/>
      <w:szCs w:val="24"/>
    </w:rPr>
  </w:style>
  <w:style w:type="paragraph" w:customStyle="1" w:styleId="72">
    <w:name w:val="s样式"/>
    <w:basedOn w:val="1"/>
    <w:link w:val="71"/>
    <w:qFormat/>
    <w:uiPriority w:val="0"/>
    <w:pPr>
      <w:spacing w:line="360" w:lineRule="auto"/>
      <w:ind w:firstLine="200" w:firstLineChars="200"/>
    </w:pPr>
    <w:rPr>
      <w:rFonts w:ascii="Calibri" w:hAnsi="Calibri" w:cs="Arial" w:eastAsiaTheme="minor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A53D9-5C7A-4BDE-A016-4AD4F47A11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1744</Words>
  <Characters>9946</Characters>
  <Lines>82</Lines>
  <Paragraphs>23</Paragraphs>
  <TotalTime>3</TotalTime>
  <ScaleCrop>false</ScaleCrop>
  <LinksUpToDate>false</LinksUpToDate>
  <CharactersWithSpaces>11667</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2024-04-16T02:56:00Z</dcterms:created>
  <dc:creator>张洪芬</dc:creator>
  <cp:lastModifiedBy>80581</cp:lastModifiedBy>
  <cp:lastPrinted>2024-03-12T04:15:00Z</cp:lastPrinted>
  <dcterms:modified xsi:type="dcterms:W3CDTF">2026-04-16T02:15:24Z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