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40C5">
      <w:pPr>
        <w:pStyle w:val="4"/>
        <w:spacing w:after="200"/>
        <w:jc w:val="center"/>
      </w:pPr>
      <w:r>
        <w:t>机器人统一管控平台（软件）投标分析报告</w:t>
      </w:r>
    </w:p>
    <w:p w14:paraId="65AD23AB">
      <w:pPr>
        <w:pStyle w:val="5"/>
        <w:spacing w:after="200"/>
        <w:jc w:val="left"/>
      </w:pPr>
    </w:p>
    <w:p w14:paraId="45B20BAD">
      <w:pPr>
        <w:pStyle w:val="5"/>
        <w:spacing w:after="200"/>
        <w:jc w:val="left"/>
      </w:pPr>
      <w:r>
        <w:t>一、项目核心需求速览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089"/>
        <w:gridCol w:w="6177"/>
      </w:tblGrid>
      <w:tr w14:paraId="3D56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p w14:paraId="0CC0B742">
            <w:pPr>
              <w:jc w:val="left"/>
            </w:pPr>
            <w:r>
              <w:rPr>
                <w:b/>
                <w:bCs/>
              </w:rPr>
              <w:t>模块</w:t>
            </w:r>
          </w:p>
        </w:tc>
        <w:tc>
          <w:p w14:paraId="4541C273">
            <w:pPr>
              <w:jc w:val="left"/>
            </w:pPr>
            <w:r>
              <w:rPr>
                <w:b/>
                <w:bCs/>
              </w:rPr>
              <w:t>核心要求</w:t>
            </w:r>
          </w:p>
        </w:tc>
      </w:tr>
      <w:tr w14:paraId="66610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290AA235">
            <w:pPr>
              <w:jc w:val="left"/>
            </w:pPr>
            <w:r>
              <w:t>平台架构</w:t>
            </w:r>
          </w:p>
        </w:tc>
        <w:tc>
          <w:p w14:paraId="5D128796">
            <w:pPr>
              <w:jc w:val="left"/>
            </w:pPr>
            <w:r>
              <w:t>分层解耦、统一接入、集中调度、安全可控</w:t>
            </w:r>
          </w:p>
        </w:tc>
      </w:tr>
      <w:tr w14:paraId="6449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1C2C9E2F">
            <w:pPr>
              <w:jc w:val="left"/>
            </w:pPr>
            <w:r>
              <w:t>设备纳管</w:t>
            </w:r>
          </w:p>
        </w:tc>
        <w:tc>
          <w:p w14:paraId="29B8A05E">
            <w:pPr>
              <w:jc w:val="left"/>
            </w:pPr>
            <w:r>
              <w:t>4类机器人统一管理、实时状态监控、远程控制</w:t>
            </w:r>
          </w:p>
        </w:tc>
      </w:tr>
      <w:tr w14:paraId="3AF9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0EBBF2C9">
            <w:pPr>
              <w:jc w:val="left"/>
            </w:pPr>
            <w:r>
              <w:t>智能调度</w:t>
            </w:r>
          </w:p>
        </w:tc>
        <w:tc>
          <w:p w14:paraId="19FE93DC">
            <w:pPr>
              <w:jc w:val="left"/>
            </w:pPr>
            <w:r>
              <w:t>5级权限、4种调度模式、≥10台并发</w:t>
            </w:r>
          </w:p>
        </w:tc>
      </w:tr>
      <w:tr w14:paraId="4845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625374C5">
            <w:pPr>
              <w:jc w:val="left"/>
            </w:pPr>
            <w:r>
              <w:t>数据可视化</w:t>
            </w:r>
          </w:p>
        </w:tc>
        <w:tc>
          <w:p w14:paraId="37461BF5">
            <w:pPr>
              <w:jc w:val="left"/>
            </w:pPr>
            <w:r>
              <w:t>多维统计分析、实时刷新、Excel导出</w:t>
            </w:r>
          </w:p>
        </w:tc>
      </w:tr>
      <w:tr w14:paraId="42B0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66E3036C">
            <w:pPr>
              <w:jc w:val="left"/>
            </w:pPr>
            <w:r>
              <w:t>安全运维</w:t>
            </w:r>
          </w:p>
        </w:tc>
        <w:tc>
          <w:p w14:paraId="5893FF4E">
            <w:pPr>
              <w:jc w:val="left"/>
            </w:pPr>
            <w:r>
              <w:t>AES-256/SM4加密、操作审计、故障预警≥95%</w:t>
            </w:r>
          </w:p>
        </w:tc>
      </w:tr>
      <w:tr w14:paraId="2A39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640BE148">
            <w:pPr>
              <w:jc w:val="left"/>
            </w:pPr>
            <w:r>
              <w:t>接口适配</w:t>
            </w:r>
          </w:p>
        </w:tc>
        <w:tc>
          <w:p w14:paraId="25220319">
            <w:pPr>
              <w:jc w:val="left"/>
            </w:pPr>
            <w:r>
              <w:t>大模型对接、人员库对接、RESTful扩展接口</w:t>
            </w:r>
          </w:p>
        </w:tc>
      </w:tr>
      <w:tr w14:paraId="5458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41108803">
            <w:pPr>
              <w:jc w:val="left"/>
            </w:pPr>
            <w:r>
              <w:t>部署要求</w:t>
            </w:r>
          </w:p>
        </w:tc>
        <w:tc>
          <w:p w14:paraId="06B31794">
            <w:pPr>
              <w:jc w:val="left"/>
            </w:pPr>
            <w:r>
              <w:t>信创兼容、Docker容器化、本地化存储</w:t>
            </w:r>
          </w:p>
        </w:tc>
      </w:tr>
    </w:tbl>
    <w:p w14:paraId="0D386773">
      <w:pPr>
        <w:spacing w:after="200"/>
      </w:pPr>
      <w:r>
        <w:t xml:space="preserve"> </w:t>
      </w:r>
      <w:bookmarkStart w:id="0" w:name="_GoBack"/>
      <w:bookmarkEnd w:id="0"/>
    </w:p>
    <w:p w14:paraId="15DDC548">
      <w:pPr>
        <w:pStyle w:val="5"/>
        <w:spacing w:after="200"/>
        <w:jc w:val="left"/>
      </w:pPr>
      <w:r>
        <w:t>二、可控标点</w:t>
      </w:r>
    </w:p>
    <w:p w14:paraId="69116EAA">
      <w:pPr>
        <w:pStyle w:val="7"/>
        <w:spacing w:after="200"/>
        <w:jc w:val="left"/>
      </w:pPr>
      <w:r>
        <w:t>控标点1：同一厂商全品类机器人统一接入</w:t>
      </w:r>
    </w:p>
    <w:p w14:paraId="6C67DF68">
      <w:pPr>
        <w:bidi w:val="0"/>
      </w:pPr>
      <w:r>
        <w:rPr>
          <w:b/>
          <w:bCs/>
        </w:rPr>
        <w:t>原文依据：</w:t>
      </w:r>
      <w:r>
        <w:t>"本次项目接入的所有设备均应来自同一厂商，提供完整统一接入的说明文档"</w:t>
      </w:r>
    </w:p>
    <w:p w14:paraId="614736C3">
      <w:pPr>
        <w:spacing w:after="120"/>
        <w:jc w:val="left"/>
      </w:pPr>
      <w:r>
        <w:rPr>
          <w:b/>
          <w:bCs/>
        </w:rPr>
        <w:t>控标逻辑：</w:t>
      </w:r>
    </w:p>
    <w:p w14:paraId="3D227402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要求所有机器人（问答/运送/安防巡护/清洁巡护）来自同一厂商，且平台须统一管控</w:t>
      </w:r>
    </w:p>
    <w:p w14:paraId="20EA2272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若我司同时具备机器人硬件+管控平台软件能力，可形成</w:t>
      </w:r>
      <w:r>
        <w:rPr>
          <w:b/>
          <w:bCs/>
        </w:rPr>
        <w:t>软硬件一体化闭环</w:t>
      </w:r>
      <w:r>
        <w:t>，竞争对手纯软件厂商无法满足</w:t>
      </w:r>
    </w:p>
    <w:p w14:paraId="3FF2883A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可在技术方案中重点展示：</w:t>
      </w:r>
      <w:r>
        <w:rPr>
          <w:b/>
          <w:bCs/>
        </w:rPr>
        <w:t>统一协议栈设计文档 + 四类机器人接入适配截图证明</w:t>
      </w:r>
    </w:p>
    <w:p w14:paraId="0FF460C1">
      <w:pPr>
        <w:spacing w:after="200"/>
      </w:pPr>
      <w:r>
        <w:t xml:space="preserve"> </w:t>
      </w:r>
    </w:p>
    <w:p w14:paraId="79FE9F7E">
      <w:pPr>
        <w:pStyle w:val="7"/>
        <w:spacing w:after="200"/>
        <w:jc w:val="left"/>
      </w:pPr>
      <w:r>
        <w:t>控标点2：信创生态全栈适配能力</w:t>
      </w:r>
    </w:p>
    <w:p w14:paraId="285B9F94">
      <w:pPr>
        <w:bidi w:val="0"/>
      </w:pPr>
      <w:r>
        <w:rPr>
          <w:b/>
          <w:bCs/>
        </w:rPr>
        <w:t>原文依据：</w:t>
      </w:r>
      <w:r>
        <w:t>"支持主流信创系统服务器全量本地化部署，适配国产操作系统（麒麟、统信）、国产服务器架构（国产x86、国产ARM）"</w:t>
      </w:r>
    </w:p>
    <w:p w14:paraId="0D08268A">
      <w:pPr>
        <w:spacing w:after="120"/>
        <w:jc w:val="left"/>
      </w:pPr>
      <w:r>
        <w:rPr>
          <w:b/>
          <w:bCs/>
        </w:rPr>
        <w:t>控标逻辑：</w:t>
      </w:r>
    </w:p>
    <w:p w14:paraId="6482A3AD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信创适配是高门槛技术壁垒，需要实际测试验证，非短期可伪造</w:t>
      </w:r>
    </w:p>
    <w:p w14:paraId="118607F7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可要求投标方提供</w:t>
      </w:r>
      <w:r>
        <w:rPr>
          <w:b/>
          <w:bCs/>
        </w:rPr>
        <w:t>麒麟/统信操作系统上的实际运行截图或测试报告</w:t>
      </w:r>
    </w:p>
    <w:p w14:paraId="0572148E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若我司已有信创适配经验，可在评分中形成显著优势</w:t>
      </w:r>
    </w:p>
    <w:p w14:paraId="036A172E">
      <w:pPr>
        <w:pStyle w:val="16"/>
        <w:numPr>
          <w:numId w:val="0"/>
        </w:numPr>
        <w:spacing w:after="100"/>
        <w:ind w:left="60" w:leftChars="0"/>
        <w:jc w:val="left"/>
      </w:pPr>
      <w:r>
        <w:t xml:space="preserve"> </w:t>
      </w:r>
    </w:p>
    <w:p w14:paraId="0886029A">
      <w:pPr>
        <w:pStyle w:val="7"/>
        <w:spacing w:after="200"/>
        <w:jc w:val="left"/>
      </w:pPr>
      <w:r>
        <w:t>控标点3：本地化大模型接口对接能力</w:t>
      </w:r>
    </w:p>
    <w:p w14:paraId="072857AC">
      <w:pPr>
        <w:bidi w:val="0"/>
      </w:pPr>
      <w:r>
        <w:rPr>
          <w:b/>
          <w:bCs/>
        </w:rPr>
        <w:t>原文依据：</w:t>
      </w:r>
      <w:r>
        <w:t>"平台需支持与本地部署的指定大模型对接……智能问答机器人可调用大模型实现与访客的自主语音交互"</w:t>
      </w:r>
    </w:p>
    <w:p w14:paraId="1B6DD53A">
      <w:pPr>
        <w:spacing w:after="120"/>
        <w:jc w:val="left"/>
      </w:pPr>
      <w:r>
        <w:rPr>
          <w:b/>
          <w:bCs/>
        </w:rPr>
        <w:t>控标逻辑：</w:t>
      </w:r>
    </w:p>
    <w:p w14:paraId="0C7123E1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本地化大模型（非公有云API）对接是当前行业稀缺能力</w:t>
      </w:r>
    </w:p>
    <w:p w14:paraId="0EF4D3CA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需具备私有化部署的LLM接入经验（如Qwen、</w:t>
      </w:r>
      <w:r>
        <w:rPr>
          <w:rFonts w:hint="default"/>
          <w:lang w:val="en-US"/>
        </w:rPr>
        <w:t>DeepSeek</w:t>
      </w:r>
      <w:r>
        <w:t>等国产大模型本地化部署）</w:t>
      </w:r>
    </w:p>
    <w:p w14:paraId="37DEA6E9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可展示</w:t>
      </w:r>
      <w:r>
        <w:rPr>
          <w:b/>
          <w:bCs/>
        </w:rPr>
        <w:t>大模型API网关设计 + 交互日志实时展示功能截图</w:t>
      </w:r>
    </w:p>
    <w:p w14:paraId="5A46CB25">
      <w:pPr>
        <w:spacing w:after="200"/>
      </w:pPr>
      <w:r>
        <w:t xml:space="preserve"> </w:t>
      </w:r>
    </w:p>
    <w:p w14:paraId="1CB135DA">
      <w:pPr>
        <w:pStyle w:val="7"/>
        <w:spacing w:after="200"/>
        <w:jc w:val="left"/>
        <w:rPr>
          <w:color w:val="FF0000"/>
        </w:rPr>
      </w:pPr>
      <w:r>
        <w:rPr>
          <w:color w:val="FF0000"/>
        </w:rPr>
        <w:t>控标点4：CNAS检测报告</w:t>
      </w:r>
    </w:p>
    <w:p w14:paraId="6888CF01">
      <w:pPr>
        <w:bidi w:val="0"/>
      </w:pPr>
      <w:r>
        <w:rPr>
          <w:b/>
          <w:bCs/>
        </w:rPr>
        <w:t>原文依据：</w:t>
      </w:r>
      <w:r>
        <w:t>"中标方需提供由CNAS机构出具的有关所有技术参数的检测报告"</w:t>
      </w:r>
    </w:p>
    <w:p w14:paraId="1A62851A">
      <w:pPr>
        <w:spacing w:after="120"/>
        <w:jc w:val="left"/>
      </w:pPr>
      <w:r>
        <w:rPr>
          <w:b/>
          <w:bCs/>
        </w:rPr>
        <w:t>控标逻辑：</w:t>
      </w:r>
    </w:p>
    <w:p w14:paraId="481DC5D7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CNAS报告需提前申请，周期长（通常3-6个月），临时无法补办</w:t>
      </w:r>
    </w:p>
    <w:p w14:paraId="124B38AE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若我司已持有相关CNAS检测报告，可直接形成</w:t>
      </w:r>
      <w:r>
        <w:rPr>
          <w:b/>
          <w:bCs/>
        </w:rPr>
        <w:t>资质壁垒</w:t>
      </w:r>
      <w:r>
        <w:t>，将未持有报告的竞争对手排除</w:t>
      </w:r>
    </w:p>
    <w:p w14:paraId="15F58BDB">
      <w:pPr>
        <w:spacing w:after="200"/>
      </w:pPr>
      <w:r>
        <w:t xml:space="preserve"> </w:t>
      </w:r>
    </w:p>
    <w:p w14:paraId="1BDDF898">
      <w:pPr>
        <w:pStyle w:val="7"/>
        <w:spacing w:after="200"/>
        <w:jc w:val="left"/>
      </w:pPr>
      <w:r>
        <w:t>控标点6：故障预警准确率≥95%（机器学习算法）</w:t>
      </w:r>
    </w:p>
    <w:p w14:paraId="2C8193CF">
      <w:pPr>
        <w:bidi w:val="0"/>
      </w:pPr>
      <w:r>
        <w:rPr>
          <w:b/>
          <w:bCs/>
        </w:rPr>
        <w:t>原文依据：</w:t>
      </w:r>
      <w:r>
        <w:t>"采用机器学习算法（如决策树、神经网络）对故障数据进行分析预测，预警准确率≥95%"</w:t>
      </w:r>
    </w:p>
    <w:p w14:paraId="31F71861">
      <w:pPr>
        <w:spacing w:after="120"/>
        <w:jc w:val="left"/>
      </w:pPr>
      <w:r>
        <w:rPr>
          <w:b/>
          <w:bCs/>
        </w:rPr>
        <w:t>控标逻辑：</w:t>
      </w:r>
    </w:p>
    <w:p w14:paraId="5881FF03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明确要求ML算法，且验收时需证明该指标</w:t>
      </w:r>
    </w:p>
    <w:p w14:paraId="4F10E0A7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可在方案中详细描述算法选型（如随机森林+LSTM组合）、训练数据来源、验证方法</w:t>
      </w:r>
    </w:p>
    <w:p w14:paraId="54DF8D60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建议提供</w:t>
      </w:r>
      <w:r>
        <w:rPr>
          <w:b/>
          <w:bCs/>
        </w:rPr>
        <w:t>历史项目中的预警准确率统计数据</w:t>
      </w:r>
      <w:r>
        <w:t>作为佐证</w:t>
      </w:r>
    </w:p>
    <w:p w14:paraId="49D42491">
      <w:pPr>
        <w:spacing w:after="200"/>
      </w:pPr>
      <w:r>
        <w:t xml:space="preserve"> </w:t>
      </w:r>
    </w:p>
    <w:p w14:paraId="328E7D3A">
      <w:pPr>
        <w:pStyle w:val="7"/>
        <w:spacing w:after="200"/>
        <w:jc w:val="left"/>
      </w:pPr>
      <w:r>
        <w:t>控标点7：多网络环境适配 + 5G专网优化</w:t>
      </w:r>
    </w:p>
    <w:p w14:paraId="604E397E">
      <w:pPr>
        <w:bidi w:val="0"/>
      </w:pPr>
      <w:r>
        <w:rPr>
          <w:b/>
          <w:bCs/>
        </w:rPr>
        <w:t>原文依据：</w:t>
      </w:r>
      <w:r>
        <w:t>"支持专用5G网络、局域网、专网、隔离网……具备网关穿透技术"</w:t>
      </w:r>
    </w:p>
    <w:p w14:paraId="4279D46E">
      <w:pPr>
        <w:spacing w:after="120"/>
        <w:jc w:val="left"/>
      </w:pPr>
      <w:r>
        <w:rPr>
          <w:b/>
          <w:bCs/>
        </w:rPr>
        <w:t>控标逻辑：</w:t>
      </w:r>
    </w:p>
    <w:p w14:paraId="3A64DD56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5G专网+物理隔离内网的组合部署，需要专业的网络架构设计能力</w:t>
      </w:r>
    </w:p>
    <w:p w14:paraId="4A8EAD05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可展示</w:t>
      </w:r>
      <w:r>
        <w:rPr>
          <w:b/>
          <w:bCs/>
        </w:rPr>
        <w:t>网络拓扑方案图 + 私网穿透技术实现说明</w:t>
      </w:r>
    </w:p>
    <w:p w14:paraId="4BD85EAA">
      <w:pPr>
        <w:spacing w:after="200"/>
      </w:pPr>
      <w:r>
        <w:t xml:space="preserve">  </w:t>
      </w:r>
    </w:p>
    <w:p w14:paraId="1BC36348">
      <w:pPr>
        <w:pStyle w:val="6"/>
        <w:spacing w:after="200"/>
        <w:jc w:val="left"/>
      </w:pPr>
      <w:r>
        <w:t>🟡 加分控标点（服务与资质层面）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2356"/>
        <w:gridCol w:w="2670"/>
        <w:gridCol w:w="4240"/>
      </w:tblGrid>
      <w:tr w14:paraId="69E6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p w14:paraId="7AD4F869">
            <w:pPr>
              <w:jc w:val="left"/>
            </w:pPr>
            <w:r>
              <w:rPr>
                <w:b/>
                <w:bCs/>
              </w:rPr>
              <w:t>控标点</w:t>
            </w:r>
          </w:p>
        </w:tc>
        <w:tc>
          <w:p w14:paraId="67CDEBD5">
            <w:pPr>
              <w:jc w:val="left"/>
            </w:pPr>
            <w:r>
              <w:rPr>
                <w:b/>
                <w:bCs/>
              </w:rPr>
              <w:t>具体内容</w:t>
            </w:r>
          </w:p>
        </w:tc>
        <w:tc>
          <w:p w14:paraId="50B1446D">
            <w:pPr>
              <w:jc w:val="left"/>
            </w:pPr>
            <w:r>
              <w:rPr>
                <w:b/>
                <w:bCs/>
              </w:rPr>
              <w:t>建议呈现</w:t>
            </w:r>
          </w:p>
        </w:tc>
      </w:tr>
      <w:tr w14:paraId="63D4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7A20FD8D">
            <w:pPr>
              <w:jc w:val="left"/>
            </w:pPr>
            <w:r>
              <w:rPr>
                <w:b/>
                <w:bCs/>
              </w:rPr>
              <w:t>成功案例</w:t>
            </w:r>
          </w:p>
        </w:tc>
        <w:tc>
          <w:p w14:paraId="4211A116">
            <w:pPr>
              <w:jc w:val="left"/>
            </w:pPr>
            <w:r>
              <w:t>同类项目实施经验</w:t>
            </w:r>
          </w:p>
        </w:tc>
        <w:tc>
          <w:p w14:paraId="3B032266">
            <w:pPr>
              <w:jc w:val="left"/>
            </w:pPr>
            <w:r>
              <w:t>提供≥3个机器人管控平台案例，含合同/验收证明</w:t>
            </w:r>
          </w:p>
        </w:tc>
      </w:tr>
      <w:tr w14:paraId="21DA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47DD4B1C">
            <w:pPr>
              <w:jc w:val="left"/>
            </w:pPr>
            <w:r>
              <w:rPr>
                <w:b/>
                <w:bCs/>
              </w:rPr>
              <w:t>36个月质保</w:t>
            </w:r>
          </w:p>
        </w:tc>
        <w:tc>
          <w:p w14:paraId="1A3B5DE2">
            <w:pPr>
              <w:jc w:val="left"/>
            </w:pPr>
            <w:r>
              <w:t>质保期承诺</w:t>
            </w:r>
          </w:p>
        </w:tc>
        <w:tc>
          <w:p w14:paraId="3423441B">
            <w:pPr>
              <w:jc w:val="left"/>
            </w:pPr>
            <w:r>
              <w:t>明确承诺并细化服务SLA（30分钟响应/4小时到场）</w:t>
            </w:r>
          </w:p>
        </w:tc>
      </w:tr>
      <w:tr w14:paraId="01FB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29121992">
            <w:pPr>
              <w:jc w:val="left"/>
            </w:pPr>
            <w:r>
              <w:rPr>
                <w:b/>
                <w:bCs/>
              </w:rPr>
              <w:t>软著证书</w:t>
            </w:r>
          </w:p>
        </w:tc>
        <w:tc>
          <w:p w14:paraId="040B177B">
            <w:pPr>
              <w:jc w:val="left"/>
            </w:pPr>
            <w:r>
              <w:t>自主知识产权</w:t>
            </w:r>
          </w:p>
        </w:tc>
        <w:tc>
          <w:p w14:paraId="45790B3D">
            <w:pPr>
              <w:jc w:val="left"/>
            </w:pPr>
            <w:r>
              <w:t>提供平台软件著作权证书</w:t>
            </w:r>
          </w:p>
        </w:tc>
      </w:tr>
      <w:tr w14:paraId="0936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3F1FDF18">
            <w:pPr>
              <w:jc w:val="left"/>
            </w:pPr>
            <w:r>
              <w:rPr>
                <w:b/>
                <w:bCs/>
              </w:rPr>
              <w:t>培训体系</w:t>
            </w:r>
          </w:p>
        </w:tc>
        <w:tc>
          <w:p w14:paraId="2119850B">
            <w:pPr>
              <w:jc w:val="left"/>
            </w:pPr>
            <w:r>
              <w:t>驻场培训+视频教材</w:t>
            </w:r>
          </w:p>
        </w:tc>
        <w:tc>
          <w:p w14:paraId="608770AE">
            <w:pPr>
              <w:jc w:val="left"/>
            </w:pPr>
            <w:r>
              <w:t>提供完整培训方案+样例教材</w:t>
            </w:r>
          </w:p>
        </w:tc>
      </w:tr>
      <w:tr w14:paraId="428D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4DE496B3">
            <w:pPr>
              <w:jc w:val="left"/>
            </w:pPr>
            <w:r>
              <w:rPr>
                <w:b/>
                <w:bCs/>
              </w:rPr>
              <w:t>非外资</w:t>
            </w:r>
          </w:p>
        </w:tc>
        <w:tc>
          <w:p w14:paraId="6AFE88A2">
            <w:pPr>
              <w:jc w:val="left"/>
            </w:pPr>
            <w:r>
              <w:t>资质要求</w:t>
            </w:r>
          </w:p>
        </w:tc>
        <w:tc>
          <w:p w14:paraId="2B5D16D0">
            <w:pPr>
              <w:jc w:val="left"/>
            </w:pPr>
            <w:r>
              <w:t>提供企业股权结构证明</w:t>
            </w:r>
          </w:p>
        </w:tc>
      </w:tr>
    </w:tbl>
    <w:p w14:paraId="6245ECD8">
      <w:pPr>
        <w:spacing w:after="200"/>
      </w:pPr>
      <w:r>
        <w:t xml:space="preserve">  </w:t>
      </w:r>
    </w:p>
    <w:p w14:paraId="0CA4ED4B">
      <w:pPr>
        <w:pStyle w:val="5"/>
        <w:spacing w:after="200"/>
        <w:jc w:val="left"/>
      </w:pPr>
      <w:r>
        <w:t>三、技术难点与风险说明</w:t>
      </w:r>
    </w:p>
    <w:p w14:paraId="0E71378D">
      <w:pPr>
        <w:pBdr>
          <w:bottom w:val="single" w:color="auto" w:sz="6" w:space="1"/>
        </w:pBdr>
        <w:spacing w:after="120"/>
      </w:pPr>
    </w:p>
    <w:p w14:paraId="19863CB9">
      <w:pPr>
        <w:spacing w:after="200"/>
      </w:pPr>
      <w:r>
        <w:t xml:space="preserve"> </w:t>
      </w:r>
    </w:p>
    <w:p w14:paraId="7DDA42CB">
      <w:pPr>
        <w:pStyle w:val="6"/>
        <w:spacing w:after="200"/>
        <w:jc w:val="left"/>
      </w:pPr>
      <w:r>
        <w:t>⚠️难点1：多类型机器人异构协议统一接入</w:t>
      </w:r>
    </w:p>
    <w:p w14:paraId="675AC691">
      <w:pPr>
        <w:spacing w:after="120"/>
        <w:jc w:val="left"/>
      </w:pPr>
      <w:r>
        <w:rPr>
          <w:b/>
          <w:bCs/>
        </w:rPr>
        <w:t>难点描述：</w:t>
      </w:r>
    </w:p>
    <w:p w14:paraId="2E6E4389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问答、运送、安防、清洁四类机器人底层通信协议差异大（ROS、私有TCP、MQTT等）</w:t>
      </w:r>
    </w:p>
    <w:p w14:paraId="59BD44B1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需设计统一的数据模型，屏蔽底层差异，实现状态数据标准化</w:t>
      </w:r>
    </w:p>
    <w:p w14:paraId="39A153B9">
      <w:pPr>
        <w:spacing w:after="120"/>
        <w:jc w:val="left"/>
      </w:pPr>
      <w:r>
        <w:rPr>
          <w:b/>
          <w:bCs/>
        </w:rPr>
        <w:t>风险等级：</w:t>
      </w:r>
      <w:r>
        <w:t xml:space="preserve"> 高</w:t>
      </w:r>
    </w:p>
    <w:p w14:paraId="227C3CFA">
      <w:pPr>
        <w:spacing w:after="120"/>
        <w:jc w:val="left"/>
      </w:pPr>
      <w:r>
        <w:rPr>
          <w:b/>
          <w:bCs/>
        </w:rPr>
        <w:t>风险说明：</w:t>
      </w:r>
    </w:p>
    <w:p w14:paraId="7C0B3D72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若机器人厂商协议文档不完整或存在版本迭代，适配工作量将大幅增加</w:t>
      </w:r>
    </w:p>
    <w:p w14:paraId="672A9C99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状态同步频率要求≤30秒，高并发下可能出现数据堆积、延迟超标</w:t>
      </w:r>
    </w:p>
    <w:p w14:paraId="6DA01CCC">
      <w:pPr>
        <w:spacing w:after="200"/>
      </w:pPr>
      <w:r>
        <w:t xml:space="preserve"> </w:t>
      </w:r>
    </w:p>
    <w:p w14:paraId="602C185D">
      <w:pPr>
        <w:pStyle w:val="6"/>
        <w:spacing w:after="200"/>
        <w:jc w:val="left"/>
      </w:pPr>
      <w:r>
        <w:t>⚠️难点3：本地化大模型集成与性能保障</w:t>
      </w:r>
    </w:p>
    <w:p w14:paraId="68700A8B">
      <w:pPr>
        <w:spacing w:after="120"/>
        <w:jc w:val="left"/>
      </w:pPr>
      <w:r>
        <w:rPr>
          <w:b/>
          <w:bCs/>
        </w:rPr>
        <w:t>难点描述：</w:t>
      </w:r>
    </w:p>
    <w:p w14:paraId="2B1E8D00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本地部署大模型对服务器GPU资源要求高，与平台其他服务存在资源竞争</w:t>
      </w:r>
    </w:p>
    <w:p w14:paraId="13CABF16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语音转文字+大模型推理+文字转语音的全链路延迟需控制在用户可接受范围内</w:t>
      </w:r>
    </w:p>
    <w:p w14:paraId="7E290029">
      <w:pPr>
        <w:spacing w:after="120"/>
        <w:jc w:val="left"/>
      </w:pPr>
      <w:r>
        <w:rPr>
          <w:b/>
          <w:bCs/>
        </w:rPr>
        <w:t>风险等级：</w:t>
      </w:r>
      <w:r>
        <w:t xml:space="preserve"> 🟠 中高</w:t>
      </w:r>
    </w:p>
    <w:p w14:paraId="340DE173">
      <w:pPr>
        <w:spacing w:after="120"/>
        <w:jc w:val="left"/>
      </w:pPr>
      <w:r>
        <w:rPr>
          <w:b/>
          <w:bCs/>
        </w:rPr>
        <w:t>风险说明：</w:t>
      </w:r>
    </w:p>
    <w:p w14:paraId="784D6899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招标方"指定大模型"型号未明确，若临时变更模型，接口适配工作量不可控</w:t>
      </w:r>
    </w:p>
    <w:p w14:paraId="4117254A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本地大模型推理延迟可能导致交互体验差，影响验收评分</w:t>
      </w:r>
    </w:p>
    <w:p w14:paraId="67FB03B5">
      <w:pPr>
        <w:spacing w:after="200"/>
      </w:pPr>
      <w:r>
        <w:t xml:space="preserve"> </w:t>
      </w:r>
    </w:p>
    <w:p w14:paraId="5EBB4541">
      <w:pPr>
        <w:pStyle w:val="6"/>
        <w:spacing w:after="200"/>
        <w:jc w:val="left"/>
      </w:pPr>
      <w:r>
        <w:t>⚠️难点4：实时性指标的系统性保障</w:t>
      </w:r>
    </w:p>
    <w:p w14:paraId="09DA62BB">
      <w:pPr>
        <w:spacing w:after="120"/>
        <w:jc w:val="left"/>
      </w:pPr>
      <w:r>
        <w:rPr>
          <w:b/>
          <w:bCs/>
        </w:rPr>
        <w:t>难点描述：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3223"/>
        <w:gridCol w:w="2015"/>
        <w:gridCol w:w="4028"/>
      </w:tblGrid>
      <w:tr w14:paraId="6DE9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p w14:paraId="33C2D720">
            <w:pPr>
              <w:jc w:val="left"/>
            </w:pPr>
            <w:r>
              <w:rPr>
                <w:b/>
                <w:bCs/>
              </w:rPr>
              <w:t>指标</w:t>
            </w:r>
          </w:p>
        </w:tc>
        <w:tc>
          <w:p w14:paraId="37354B5F">
            <w:pPr>
              <w:jc w:val="left"/>
            </w:pPr>
            <w:r>
              <w:rPr>
                <w:b/>
                <w:bCs/>
              </w:rPr>
              <w:t>要求值</w:t>
            </w:r>
          </w:p>
        </w:tc>
        <w:tc>
          <w:p w14:paraId="4A661E57">
            <w:pPr>
              <w:jc w:val="left"/>
            </w:pPr>
            <w:r>
              <w:rPr>
                <w:b/>
                <w:bCs/>
              </w:rPr>
              <w:t>技术挑战</w:t>
            </w:r>
          </w:p>
        </w:tc>
      </w:tr>
      <w:tr w14:paraId="487D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477F4382">
            <w:pPr>
              <w:jc w:val="left"/>
            </w:pPr>
            <w:r>
              <w:t>平台调度指令响应</w:t>
            </w:r>
          </w:p>
        </w:tc>
        <w:tc>
          <w:p w14:paraId="275E5786">
            <w:pPr>
              <w:jc w:val="left"/>
            </w:pPr>
            <w:r>
              <w:t>≤2秒</w:t>
            </w:r>
          </w:p>
        </w:tc>
        <w:tc>
          <w:p w14:paraId="3D54F52F">
            <w:pPr>
              <w:jc w:val="left"/>
            </w:pPr>
            <w:r>
              <w:t>网络抖动+处理延迟叠加</w:t>
            </w:r>
          </w:p>
        </w:tc>
      </w:tr>
      <w:tr w14:paraId="1AFC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6F3223DA"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路径动态调整响应</w:t>
            </w:r>
          </w:p>
        </w:tc>
        <w:tc>
          <w:p w14:paraId="740C76AF"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≤1秒</w:t>
            </w:r>
          </w:p>
        </w:tc>
        <w:tc>
          <w:p w14:paraId="7CE20DC5"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SLAM重规划计算量大</w:t>
            </w:r>
          </w:p>
        </w:tc>
      </w:tr>
      <w:tr w14:paraId="0FF4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1324DD92">
            <w:pPr>
              <w:jc w:val="left"/>
            </w:pPr>
            <w:r>
              <w:t>越界报警响应</w:t>
            </w:r>
          </w:p>
        </w:tc>
        <w:tc>
          <w:p w14:paraId="6949AC9D">
            <w:pPr>
              <w:jc w:val="left"/>
            </w:pPr>
            <w:r>
              <w:t>&lt;0.3秒</w:t>
            </w:r>
          </w:p>
        </w:tc>
        <w:tc>
          <w:p w14:paraId="1ABA6165">
            <w:pPr>
              <w:jc w:val="left"/>
            </w:pPr>
            <w:r>
              <w:t>图像识别+网络传输链路长</w:t>
            </w:r>
          </w:p>
        </w:tc>
      </w:tr>
      <w:tr w14:paraId="2A10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p w14:paraId="5676F500">
            <w:pPr>
              <w:jc w:val="left"/>
            </w:pPr>
            <w:r>
              <w:t>状态更新频率</w:t>
            </w:r>
          </w:p>
        </w:tc>
        <w:tc>
          <w:p w14:paraId="5F0F6424">
            <w:pPr>
              <w:jc w:val="left"/>
            </w:pPr>
            <w:r>
              <w:t>≤30秒</w:t>
            </w:r>
          </w:p>
        </w:tc>
        <w:tc>
          <w:p w14:paraId="238BBE74">
            <w:pPr>
              <w:jc w:val="left"/>
            </w:pPr>
            <w:r>
              <w:t>多机并发推送压力</w:t>
            </w:r>
          </w:p>
        </w:tc>
      </w:tr>
    </w:tbl>
    <w:p w14:paraId="7FBE2023">
      <w:pPr>
        <w:spacing w:before="240"/>
      </w:pPr>
    </w:p>
    <w:p w14:paraId="04BA6821">
      <w:pPr>
        <w:spacing w:after="120"/>
        <w:jc w:val="left"/>
      </w:pPr>
      <w:r>
        <w:rPr>
          <w:b/>
          <w:bCs/>
        </w:rPr>
        <w:t>风险等级：</w:t>
      </w:r>
      <w:r>
        <w:t xml:space="preserve"> 🟠 中高</w:t>
      </w:r>
    </w:p>
    <w:p w14:paraId="7E89BE65">
      <w:pPr>
        <w:spacing w:after="120"/>
        <w:jc w:val="left"/>
      </w:pPr>
      <w:r>
        <w:rPr>
          <w:b/>
          <w:bCs/>
        </w:rPr>
        <w:t>风险说明：</w:t>
      </w:r>
    </w:p>
    <w:p w14:paraId="1CFB4BFE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在5G专网弱信号区域，网络延迟可能导致实时性指标无法稳定达标</w:t>
      </w:r>
    </w:p>
    <w:p w14:paraId="057C0092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越界报警&lt;0.3秒要求极高，需要边缘计算支持，纯云端处理难以实现</w:t>
      </w:r>
    </w:p>
    <w:p w14:paraId="0DF913F2">
      <w:pPr>
        <w:spacing w:after="200"/>
      </w:pPr>
      <w:r>
        <w:t xml:space="preserve"> </w:t>
      </w:r>
    </w:p>
    <w:p w14:paraId="3D6C5A15">
      <w:pPr>
        <w:pStyle w:val="6"/>
        <w:spacing w:after="200"/>
        <w:jc w:val="left"/>
      </w:pPr>
      <w:r>
        <w:t>⚠️难点5：故障预警ML模型的验收证明</w:t>
      </w:r>
    </w:p>
    <w:p w14:paraId="2D26E7B7">
      <w:pPr>
        <w:spacing w:after="120"/>
        <w:jc w:val="left"/>
      </w:pPr>
      <w:r>
        <w:rPr>
          <w:b/>
          <w:bCs/>
        </w:rPr>
        <w:t>难点描述：</w:t>
      </w:r>
    </w:p>
    <w:p w14:paraId="2937CC12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要求预警准确率≥95%，且验收时需证明该指标</w:t>
      </w:r>
    </w:p>
    <w:p w14:paraId="5069535E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新部署系统缺乏历史故障数据，ML模型冷启动效果难以保证</w:t>
      </w:r>
    </w:p>
    <w:p w14:paraId="5CD3B926">
      <w:pPr>
        <w:spacing w:after="120"/>
        <w:jc w:val="left"/>
      </w:pPr>
      <w:r>
        <w:rPr>
          <w:b/>
          <w:bCs/>
        </w:rPr>
        <w:t>风险等级：</w:t>
      </w:r>
      <w:r>
        <w:t xml:space="preserve"> 🟠 中高</w:t>
      </w:r>
    </w:p>
    <w:p w14:paraId="1C78EA4E">
      <w:pPr>
        <w:spacing w:after="120"/>
        <w:jc w:val="left"/>
      </w:pPr>
      <w:r>
        <w:rPr>
          <w:b/>
          <w:bCs/>
        </w:rPr>
        <w:t>风险说明：</w:t>
      </w:r>
    </w:p>
    <w:p w14:paraId="7EA4BA31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验收时系统运行时间短，故障样本量不足，统计意义有限</w:t>
      </w:r>
    </w:p>
    <w:p w14:paraId="2DB0EC2A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招标方可能对"准确率"的计算口径存在争议</w:t>
      </w:r>
    </w:p>
    <w:p w14:paraId="6C42FB48">
      <w:pPr>
        <w:spacing w:after="200"/>
      </w:pPr>
      <w:r>
        <w:t xml:space="preserve"> </w:t>
      </w:r>
    </w:p>
    <w:p w14:paraId="7062ACAC">
      <w:pPr>
        <w:pStyle w:val="6"/>
        <w:spacing w:after="200"/>
        <w:jc w:val="left"/>
      </w:pPr>
      <w:r>
        <w:t>⚠️难点6：6个月交付周期压力</w:t>
      </w:r>
    </w:p>
    <w:p w14:paraId="2C126A53">
      <w:pPr>
        <w:spacing w:after="120"/>
        <w:jc w:val="left"/>
      </w:pPr>
      <w:r>
        <w:rPr>
          <w:b/>
          <w:bCs/>
        </w:rPr>
        <w:t>难点描述：</w:t>
      </w:r>
    </w:p>
    <w:p w14:paraId="121AA122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平台开发+4类机器人适配+信创部署+调试验收，工作量极大</w:t>
      </w:r>
    </w:p>
    <w:p w14:paraId="34432D32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试运行期3个月计入总周期，实际开发+部署时间仅约3个月</w:t>
      </w:r>
    </w:p>
    <w:p w14:paraId="51D45908">
      <w:pPr>
        <w:spacing w:after="120"/>
        <w:jc w:val="left"/>
      </w:pPr>
      <w:r>
        <w:rPr>
          <w:b/>
          <w:bCs/>
        </w:rPr>
        <w:t>风险等级：</w:t>
      </w:r>
      <w:r>
        <w:t xml:space="preserve"> 🔴 高</w:t>
      </w:r>
    </w:p>
    <w:p w14:paraId="2E811F5F">
      <w:pPr>
        <w:spacing w:after="120"/>
        <w:jc w:val="left"/>
      </w:pPr>
      <w:r>
        <w:rPr>
          <w:b/>
          <w:bCs/>
        </w:rPr>
        <w:t>风险说明：</w:t>
      </w:r>
    </w:p>
    <w:p w14:paraId="02A8ABEB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若机器人硬件交付延迟，将压缩联调时间</w:t>
      </w:r>
    </w:p>
    <w:p w14:paraId="205289F1">
      <w:pPr>
        <w:pStyle w:val="16"/>
        <w:numPr>
          <w:ilvl w:val="0"/>
          <w:numId w:val="1"/>
        </w:numPr>
        <w:spacing w:after="100"/>
        <w:ind w:left="240"/>
        <w:jc w:val="left"/>
      </w:pPr>
      <w:r>
        <w:t>信创适配、大模型集成等高难度模块可能成为关键路径瓶颈</w:t>
      </w:r>
    </w:p>
    <w:p w14:paraId="6930F686">
      <w:pPr>
        <w:spacing w:after="200"/>
      </w:pPr>
      <w:r>
        <w:t xml:space="preserve"> </w:t>
      </w:r>
    </w:p>
    <w:p w14:paraId="137A34C1">
      <w:pPr>
        <w:spacing w:after="120"/>
        <w:jc w:val="left"/>
      </w:pPr>
      <w:r>
        <w:rPr>
          <w:b/>
          <w:bCs/>
        </w:rPr>
        <w:t>应对措施：</w:t>
      </w:r>
    </w:p>
    <w:p w14:paraId="0AE50A8A">
      <w:pPr>
        <w:pBdr>
          <w:left w:val="single" w:color="BFBFBF" w:sz="12" w:space="200"/>
        </w:pBdr>
        <w:spacing w:after="120"/>
        <w:ind w:left="300"/>
        <w:jc w:val="left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F5A4D"/>
    <w:multiLevelType w:val="multilevel"/>
    <w:tmpl w:val="CFEF5A4D"/>
    <w:lvl w:ilvl="0" w:tentative="0">
      <w:start w:val="1"/>
      <w:numFmt w:val="bullet"/>
      <w:suff w:val="space"/>
      <w:lvlText w:val="●"/>
      <w:lvlJc w:val="left"/>
      <w:pPr>
        <w:ind w:left="240" w:hanging="180"/>
      </w:pPr>
    </w:lvl>
    <w:lvl w:ilvl="1" w:tentative="0">
      <w:start w:val="1"/>
      <w:numFmt w:val="bullet"/>
      <w:suff w:val="space"/>
      <w:lvlText w:val="○"/>
      <w:lvlJc w:val="left"/>
      <w:pPr>
        <w:ind w:left="660" w:hanging="180"/>
      </w:pPr>
    </w:lvl>
    <w:lvl w:ilvl="2" w:tentative="0">
      <w:start w:val="1"/>
      <w:numFmt w:val="bullet"/>
      <w:suff w:val="space"/>
      <w:lvlText w:val="■"/>
      <w:lvlJc w:val="left"/>
      <w:pPr>
        <w:ind w:left="1080" w:hanging="180"/>
      </w:pPr>
    </w:lvl>
    <w:lvl w:ilvl="3" w:tentative="0">
      <w:start w:val="1"/>
      <w:numFmt w:val="bullet"/>
      <w:suff w:val="space"/>
      <w:lvlText w:val="●"/>
      <w:lvlJc w:val="left"/>
      <w:pPr>
        <w:ind w:left="1500" w:hanging="180"/>
      </w:pPr>
    </w:lvl>
    <w:lvl w:ilvl="4" w:tentative="0">
      <w:start w:val="1"/>
      <w:numFmt w:val="bullet"/>
      <w:suff w:val="space"/>
      <w:lvlText w:val="○"/>
      <w:lvlJc w:val="left"/>
      <w:pPr>
        <w:ind w:left="1920" w:hanging="180"/>
      </w:pPr>
    </w:lvl>
    <w:lvl w:ilvl="5" w:tentative="0">
      <w:start w:val="1"/>
      <w:numFmt w:val="bullet"/>
      <w:suff w:val="space"/>
      <w:lvlText w:val="■"/>
      <w:lvlJc w:val="left"/>
      <w:pPr>
        <w:ind w:left="2340" w:hanging="180"/>
      </w:pPr>
    </w:lvl>
    <w:lvl w:ilvl="6" w:tentative="0">
      <w:start w:val="1"/>
      <w:numFmt w:val="bullet"/>
      <w:suff w:val="space"/>
      <w:lvlText w:val="●"/>
      <w:lvlJc w:val="left"/>
      <w:pPr>
        <w:ind w:left="2760" w:hanging="180"/>
      </w:pPr>
    </w:lvl>
    <w:lvl w:ilvl="7" w:tentative="0">
      <w:start w:val="1"/>
      <w:numFmt w:val="bullet"/>
      <w:suff w:val="space"/>
      <w:lvlText w:val="○"/>
      <w:lvlJc w:val="left"/>
      <w:pPr>
        <w:ind w:left="3180" w:hanging="180"/>
      </w:pPr>
    </w:lvl>
    <w:lvl w:ilvl="8" w:tentative="0">
      <w:start w:val="1"/>
      <w:numFmt w:val="bullet"/>
      <w:suff w:val="space"/>
      <w:lvlText w:val="■"/>
      <w:lvlJc w:val="left"/>
      <w:pPr>
        <w:ind w:left="360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F69F0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sz w:val="24"/>
      <w:szCs w:val="24"/>
    </w:rPr>
  </w:style>
  <w:style w:type="paragraph" w:styleId="4">
    <w:name w:val="heading 1"/>
    <w:next w:val="1"/>
    <w:qFormat/>
    <w:uiPriority w:val="0"/>
    <w:pPr>
      <w:jc w:val="left"/>
    </w:pPr>
    <w:rPr>
      <w:b/>
      <w:bCs/>
      <w:color w:val="000000"/>
      <w:sz w:val="40"/>
      <w:szCs w:val="40"/>
    </w:rPr>
  </w:style>
  <w:style w:type="paragraph" w:styleId="5">
    <w:name w:val="heading 2"/>
    <w:next w:val="1"/>
    <w:qFormat/>
    <w:uiPriority w:val="0"/>
    <w:pPr>
      <w:jc w:val="left"/>
    </w:pPr>
    <w:rPr>
      <w:b/>
      <w:bCs/>
      <w:color w:val="000000"/>
      <w:sz w:val="36"/>
      <w:szCs w:val="36"/>
    </w:rPr>
  </w:style>
  <w:style w:type="paragraph" w:styleId="6">
    <w:name w:val="heading 3"/>
    <w:next w:val="1"/>
    <w:qFormat/>
    <w:uiPriority w:val="0"/>
    <w:pPr>
      <w:jc w:val="left"/>
    </w:pPr>
    <w:rPr>
      <w:b/>
      <w:bCs/>
      <w:color w:val="000000"/>
      <w:sz w:val="32"/>
      <w:szCs w:val="32"/>
    </w:rPr>
  </w:style>
  <w:style w:type="paragraph" w:styleId="7">
    <w:name w:val="heading 4"/>
    <w:next w:val="1"/>
    <w:qFormat/>
    <w:uiPriority w:val="0"/>
    <w:pPr>
      <w:jc w:val="left"/>
    </w:pPr>
    <w:rPr>
      <w:b/>
      <w:bCs/>
      <w:color w:val="000000"/>
      <w:sz w:val="28"/>
      <w:szCs w:val="28"/>
    </w:rPr>
  </w:style>
  <w:style w:type="paragraph" w:styleId="8">
    <w:name w:val="heading 5"/>
    <w:next w:val="1"/>
    <w:qFormat/>
    <w:uiPriority w:val="0"/>
    <w:pPr>
      <w:jc w:val="left"/>
    </w:pPr>
    <w:rPr>
      <w:b/>
      <w:bCs/>
      <w:color w:val="000000"/>
      <w:sz w:val="24"/>
      <w:szCs w:val="24"/>
    </w:rPr>
  </w:style>
  <w:style w:type="paragraph" w:styleId="9">
    <w:name w:val="heading 6"/>
    <w:next w:val="1"/>
    <w:qFormat/>
    <w:uiPriority w:val="0"/>
    <w:pPr>
      <w:jc w:val="left"/>
    </w:pPr>
    <w:rPr>
      <w:b/>
      <w:bCs/>
      <w:color w:val="000000"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  <w:jc w:val="left"/>
    </w:pPr>
    <w:rPr>
      <w:sz w:val="20"/>
      <w:szCs w:val="20"/>
    </w:rPr>
  </w:style>
  <w:style w:type="paragraph" w:styleId="11">
    <w:name w:val="Title"/>
    <w:qFormat/>
    <w:uiPriority w:val="0"/>
    <w:pPr>
      <w:jc w:val="left"/>
    </w:pPr>
    <w:rPr>
      <w:sz w:val="56"/>
      <w:szCs w:val="56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pPr>
      <w:jc w:val="left"/>
    </w:pPr>
    <w:rPr>
      <w:sz w:val="24"/>
      <w:szCs w:val="24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16</TotalTime>
  <ScaleCrop>false</ScaleCrop>
  <LinksUpToDate>false</LinksUpToDate>
  <Application>WPS Office_12.1.25869.25869_F1E327BC-269C-435d-A152-05C5408002CA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刘松涛</cp:lastModifiedBy>
  <dcterms:modified xsi:type="dcterms:W3CDTF">2026-05-17T17:27:29Z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3BD4C470D552DD71018A096A0ECF1612_42</vt:lpwstr>
  </property>
</Properties>
</file>