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1C87">
      <w:pPr>
        <w:pStyle w:val="5"/>
        <w:spacing w:after="200"/>
        <w:jc w:val="left"/>
        <w:rPr>
          <w:rFonts w:hint="eastAsia" w:eastAsia="宋体"/>
          <w:lang w:val="en-US" w:eastAsia="zh-CN"/>
        </w:rPr>
      </w:pPr>
      <w:r>
        <w:t>第1部分：公司</w:t>
      </w:r>
      <w:r>
        <w:rPr>
          <w:rFonts w:hint="eastAsia"/>
          <w:lang w:val="en-US" w:eastAsia="zh-CN"/>
        </w:rPr>
        <w:t>简介</w:t>
      </w:r>
    </w:p>
    <w:p w14:paraId="7A8699E1">
      <w:pPr>
        <w:spacing w:after="200"/>
        <w:rPr>
          <w:rFonts w:hint="eastAsia"/>
        </w:rPr>
      </w:pPr>
      <w:r>
        <w:rPr>
          <w:rFonts w:hint="eastAsia"/>
        </w:rPr>
        <w:t>成都君锐锋盾科技有限公司成立于2023年，是一家专注于军工及工业领域数字化转型的高新技术企业。公司以</w:t>
      </w:r>
      <w:r>
        <w:rPr>
          <w:rFonts w:hint="eastAsia"/>
          <w:lang w:eastAsia="zh-CN"/>
        </w:rPr>
        <w:t>“</w:t>
      </w:r>
      <w:r>
        <w:rPr>
          <w:rFonts w:hint="eastAsia"/>
        </w:rPr>
        <w:t>智能赋能装备研发，科技驱动国防现代化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为核心理念，深耕军工行业多年，致力于为国防科技工业提供先进的智能化产品与解决方案。</w:t>
      </w:r>
    </w:p>
    <w:p w14:paraId="4E89EAB2">
      <w:pPr>
        <w:spacing w:after="200"/>
        <w:rPr>
          <w:rFonts w:hint="eastAsia"/>
        </w:rPr>
      </w:pPr>
      <w:r>
        <w:rPr>
          <w:rFonts w:hint="eastAsia"/>
        </w:rPr>
        <w:t>公司核心产品聚焦于基于国产大模型的装备软件研发辅助智能体</w:t>
      </w:r>
      <w:r>
        <w:rPr>
          <w:rFonts w:hint="eastAsia"/>
          <w:lang w:eastAsia="zh-CN"/>
        </w:rPr>
        <w:t>的设计</w:t>
      </w:r>
      <w:r>
        <w:rPr>
          <w:rFonts w:hint="eastAsia"/>
        </w:rPr>
        <w:t>与开发，涵盖多模态需求智能提取、军用软件智能生成、软件质量效能智能评估及基于GJB438C文档自动生成等核心功能，构建起完整的智能软件工厂产品体系，大幅提升装备软件研发效率与质量。与此同时，公司具备强大的基础平台设施建设能力，可为客户提供数据治理平台、分布式仿真平台、云平台等全栈式平台解决方案，成功落地装备试验过程检验控制平台、BIM项目管理平台、分布式仿真模型调度系统等多个重点项目。</w:t>
      </w:r>
    </w:p>
    <w:p w14:paraId="13E793A2">
      <w:pPr>
        <w:spacing w:after="200"/>
        <w:rPr>
          <w:rFonts w:hint="eastAsia"/>
        </w:rPr>
      </w:pPr>
      <w:r>
        <w:rPr>
          <w:rFonts w:hint="eastAsia"/>
        </w:rPr>
        <w:t>在技术标准与架构方面，公司深入研究并掌握美军先进开放式架构体系，包括模块化开放系统架构（MOSA）的核心思想与实施方法，以及开放任务系统（OMS）、航空电子环境功能架构（FACE）等关键技术标准，能够将先进的开放式架构理念融入国内装备研发实践，为军工客户提供高互操作性、强可扩展性的系统解决方案。</w:t>
      </w:r>
    </w:p>
    <w:p w14:paraId="573D2CDB">
      <w:pPr>
        <w:spacing w:after="200"/>
        <w:rPr>
          <w:rFonts w:hint="eastAsia"/>
        </w:rPr>
      </w:pPr>
      <w:r>
        <w:rPr>
          <w:rFonts w:hint="eastAsia"/>
        </w:rPr>
        <w:t>公司现有团队规模35人，90%以上为高级工程师，团队成员平均深耕军工行业8年以上，在多个专业领域积累了深厚的技术底蕴与丰富的项目经验。公司已与中国电科x所、中国航空工业x所、信支某部等多家核心客户单位建立了深度合作关系，以专业、可靠、创新的服务赢得了广泛的行业认可。</w:t>
      </w:r>
    </w:p>
    <w:p w14:paraId="1E630D23">
      <w:pPr>
        <w:spacing w:after="200"/>
      </w:pPr>
      <w:r>
        <w:rPr>
          <w:rFonts w:hint="eastAsia"/>
        </w:rPr>
        <w:t>资质层面：公司通过了ISO9001及 GJB9001C质量认证，2026年获批创新型中小企业以及军民融合企业，目前已申报高新技术企业。公司联系人：唐雁斌</w:t>
      </w:r>
      <w:r>
        <w:rPr>
          <w:rFonts w:hint="eastAsia"/>
          <w:lang w:eastAsia="zh-CN"/>
        </w:rPr>
        <w:t>，</w:t>
      </w:r>
      <w:r>
        <w:rPr>
          <w:rFonts w:hint="eastAsia"/>
        </w:rPr>
        <w:t>13438128250</w:t>
      </w:r>
    </w:p>
    <w:p w14:paraId="1BCA26FA">
      <w:pPr>
        <w:pStyle w:val="5"/>
        <w:spacing w:after="200"/>
        <w:jc w:val="left"/>
        <w:rPr>
          <w:rFonts w:hint="default"/>
          <w:lang w:val="en-US" w:eastAsia="zh-CN"/>
        </w:rPr>
      </w:pPr>
      <w:r>
        <w:t>第</w:t>
      </w:r>
      <w:r>
        <w:rPr>
          <w:rFonts w:hint="eastAsia"/>
          <w:lang w:val="en-US" w:eastAsia="zh-CN"/>
        </w:rPr>
        <w:t>2</w:t>
      </w:r>
      <w:r>
        <w:t>部分：核心产品</w:t>
      </w:r>
      <w:r>
        <w:rPr>
          <w:rFonts w:hint="eastAsia"/>
          <w:lang w:eastAsia="zh-CN"/>
        </w:rPr>
        <w:t>－</w:t>
      </w:r>
      <w:r>
        <w:rPr>
          <w:rFonts w:hint="eastAsia"/>
        </w:rPr>
        <w:t>智能软件研发系统</w:t>
      </w:r>
    </w:p>
    <w:p w14:paraId="7EA12AB7">
      <w:pPr>
        <w:spacing w:after="200"/>
        <w:rPr>
          <w:rFonts w:hint="eastAsia" w:eastAsia="宋体"/>
          <w:lang w:eastAsia="zh-CN"/>
        </w:rPr>
      </w:pPr>
      <w:r>
        <w:rPr>
          <w:rFonts w:hint="eastAsia"/>
        </w:rPr>
        <w:t>智能软件研发系统是专为高安全等级科研院所打造的、以 AI Agent 为核心的全生命周期智力底座。产品直面军工软件研发的核心痛点——超过30%的专家精力被GJB438C等严苛军标文档所占据，通过AI全面接管文档撰写、代码重复编写、测试执行等，将</w:t>
      </w:r>
      <w:r>
        <w:rPr>
          <w:rFonts w:hint="eastAsia"/>
          <w:lang w:val="en-US" w:eastAsia="zh-CN"/>
        </w:rPr>
        <w:t>专业人才</w:t>
      </w:r>
      <w:r>
        <w:rPr>
          <w:rFonts w:hint="eastAsia"/>
        </w:rPr>
        <w:t>彻底释放，专注于高维度的业务逻辑与系统架构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该产品包含以下</w:t>
      </w:r>
      <w:r>
        <w:rPr>
          <w:rFonts w:hint="eastAsia"/>
        </w:rPr>
        <w:t>核心功能模块</w:t>
      </w:r>
      <w:r>
        <w:rPr>
          <w:rFonts w:hint="eastAsia"/>
          <w:lang w:eastAsia="zh-CN"/>
        </w:rPr>
        <w:t>：</w:t>
      </w:r>
    </w:p>
    <w:p w14:paraId="61A55480">
      <w:pPr>
        <w:numPr>
          <w:ilvl w:val="0"/>
          <w:numId w:val="1"/>
        </w:numPr>
        <w:spacing w:after="200"/>
        <w:ind w:left="425" w:leftChars="0" w:hanging="425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需求与原型</w:t>
      </w:r>
      <w:r>
        <w:rPr>
          <w:rFonts w:hint="eastAsia"/>
          <w:b/>
          <w:bCs/>
          <w:lang w:val="en-US" w:eastAsia="zh-CN"/>
        </w:rPr>
        <w:t>智能分析功能</w:t>
      </w:r>
    </w:p>
    <w:p w14:paraId="47176904">
      <w:pPr>
        <w:rPr>
          <w:rFonts w:hint="eastAsia"/>
        </w:rPr>
      </w:pPr>
      <w:r>
        <w:rPr>
          <w:rFonts w:hint="eastAsia"/>
          <w:lang w:val="en-US" w:eastAsia="zh-CN"/>
        </w:rPr>
        <w:t>系统内置</w:t>
      </w:r>
      <w:r>
        <w:t>多模态</w:t>
      </w:r>
      <w:r>
        <w:rPr>
          <w:rFonts w:hint="eastAsia"/>
          <w:lang w:val="en-US" w:eastAsia="zh-CN"/>
        </w:rPr>
        <w:t>需求分析</w:t>
      </w:r>
      <w:r>
        <w:t>Agent支持通过</w:t>
      </w:r>
      <w:r>
        <w:rPr>
          <w:rFonts w:hint="eastAsia"/>
          <w:lang w:val="en-US" w:eastAsia="zh-CN"/>
        </w:rPr>
        <w:t>将原始需求</w:t>
      </w:r>
      <w:r>
        <w:t>快速转化为结构化需求，并全面兼容文本、文件、</w:t>
      </w:r>
      <w:r>
        <w:rPr>
          <w:rFonts w:hint="eastAsia"/>
          <w:lang w:val="en-US" w:eastAsia="zh-CN"/>
        </w:rPr>
        <w:t>图像、</w:t>
      </w:r>
      <w:r>
        <w:t>语音等多种输入方式，实现多维度信息的高效整合与统一处理。</w:t>
      </w:r>
      <w:r>
        <w:rPr>
          <w:rFonts w:hint="eastAsia"/>
          <w:lang w:val="en-US" w:eastAsia="zh-CN"/>
        </w:rPr>
        <w:t>该功能</w:t>
      </w:r>
      <w:r>
        <w:t>借助AI技术主动对需求间的依赖关系进行深度剖析，在此基础上自动完成P0至P3四个层级的需求优先级分级。</w:t>
      </w:r>
    </w:p>
    <w:p w14:paraId="322D8587">
      <w:pPr>
        <w:numPr>
          <w:ilvl w:val="0"/>
          <w:numId w:val="1"/>
        </w:numPr>
        <w:spacing w:after="200"/>
        <w:ind w:left="425" w:leftChars="0" w:hanging="425" w:firstLineChars="0"/>
        <w:rPr>
          <w:rFonts w:hint="eastAsia" w:cstheme="minorBidi"/>
          <w:b/>
          <w:bCs/>
        </w:rPr>
      </w:pPr>
      <w:r>
        <w:rPr>
          <w:rFonts w:hint="eastAsia" w:cstheme="minorBidi"/>
          <w:b/>
          <w:bCs/>
        </w:rPr>
        <w:t>智能代码</w:t>
      </w:r>
      <w:r>
        <w:rPr>
          <w:rFonts w:hint="eastAsia" w:cstheme="minorBidi"/>
          <w:b/>
          <w:bCs/>
          <w:lang w:val="en-US" w:eastAsia="zh-CN"/>
        </w:rPr>
        <w:t>生成功能</w:t>
      </w:r>
    </w:p>
    <w:p w14:paraId="6EB18F9A">
      <w:pPr>
        <w:pStyle w:val="2"/>
        <w:rPr>
          <w:rFonts w:hint="default" w:eastAsia="SimSun"/>
          <w:lang w:val="en-US" w:eastAsia="zh-CN"/>
        </w:rPr>
      </w:pPr>
      <w:r>
        <w:rPr>
          <w:rFonts w:hint="eastAsia"/>
        </w:rPr>
        <w:t>系统内置专用Coding Agent，能够自主摄入并深度理解</w:t>
      </w:r>
      <w:r>
        <w:rPr>
          <w:rFonts w:hint="eastAsia"/>
          <w:lang w:val="en-US" w:eastAsia="zh-CN"/>
        </w:rPr>
        <w:t>需求</w:t>
      </w:r>
      <w:r>
        <w:rPr>
          <w:rFonts w:hint="eastAsia"/>
        </w:rPr>
        <w:t>与底层技术栈，在无需人工干预的情况下全自动完成复杂功能模块的编写与重构，支持 C/C++、Java等主流开发语言及嵌入式软件开发场景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支持多种类型项目工程。</w:t>
      </w:r>
    </w:p>
    <w:p w14:paraId="34A07990">
      <w:pPr>
        <w:numPr>
          <w:ilvl w:val="0"/>
          <w:numId w:val="1"/>
        </w:numPr>
        <w:spacing w:after="200"/>
        <w:ind w:left="425" w:leftChars="0" w:hanging="425" w:firstLineChars="0"/>
        <w:rPr>
          <w:rFonts w:hint="eastAsia"/>
          <w:b/>
          <w:bCs/>
        </w:rPr>
      </w:pPr>
      <w:r>
        <w:rPr>
          <w:rFonts w:hint="eastAsia" w:asciiTheme="minorHAnsi" w:hAnsiTheme="minorHAnsi" w:eastAsiaTheme="minorEastAsia" w:cstheme="minorBidi"/>
          <w:b/>
          <w:bCs/>
          <w:lang w:val="en-US" w:eastAsia="zh-CN"/>
        </w:rPr>
        <w:t>GJB文档生成功能</w:t>
      </w:r>
    </w:p>
    <w:p w14:paraId="504E94B7">
      <w:pPr>
        <w:pStyle w:val="2"/>
        <w:rPr>
          <w:rFonts w:hint="eastAsia" w:eastAsia="宋体"/>
          <w:lang w:eastAsia="zh-CN"/>
        </w:rPr>
      </w:pPr>
      <w:r>
        <w:rPr>
          <w:rFonts w:hint="eastAsia"/>
        </w:rPr>
        <w:t>系统内置规则引擎，深度对标GJB 438C、GJB 5000B等军工核心标准，能够基于项目需求、设计说明及代码逻辑，一键自动生成从需求规格说明书、软件设计说明到测试计划的全套合规基线文档，彻底消除格式不规范与内容遗漏风险；通过RAG精准检索增强技术，生成内容具备显式来源支撑</w:t>
      </w:r>
      <w:r>
        <w:rPr>
          <w:rFonts w:hint="eastAsia"/>
          <w:lang w:eastAsia="zh-CN"/>
        </w:rPr>
        <w:t>。</w:t>
      </w:r>
    </w:p>
    <w:p w14:paraId="1C44B565">
      <w:pPr>
        <w:numPr>
          <w:ilvl w:val="0"/>
          <w:numId w:val="1"/>
        </w:numPr>
        <w:spacing w:after="200"/>
        <w:ind w:left="425" w:leftChars="0" w:hanging="425" w:firstLineChars="0"/>
        <w:rPr>
          <w:rFonts w:hint="eastAsia" w:asciiTheme="minorHAnsi" w:hAnsiTheme="minorHAnsi" w:eastAsiaTheme="minorEastAsia" w:cstheme="minorBidi"/>
          <w:b/>
          <w:bCs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lang w:val="en-US" w:eastAsia="zh-CN"/>
        </w:rPr>
        <w:t>自动化测试功能</w:t>
      </w:r>
    </w:p>
    <w:p w14:paraId="1465BE97">
      <w:pPr>
        <w:spacing w:after="200"/>
        <w:rPr>
          <w:rFonts w:hint="eastAsia" w:eastAsia="宋体"/>
          <w:lang w:eastAsia="zh-CN"/>
        </w:rPr>
      </w:pPr>
      <w:r>
        <w:rPr>
          <w:rFonts w:hint="eastAsia"/>
        </w:rPr>
        <w:t>系统</w:t>
      </w:r>
      <w:r>
        <w:rPr>
          <w:rFonts w:hint="eastAsia"/>
          <w:lang w:val="en-US" w:eastAsia="zh-CN"/>
        </w:rPr>
        <w:t>内置的</w:t>
      </w:r>
      <w:r>
        <w:rPr>
          <w:rFonts w:hint="eastAsia"/>
        </w:rPr>
        <w:t>Testing Agent能够解析复杂的系统需求文档，自动生成覆盖关键分支与边界条件的测试计划与用例集，并自主执行并发测试用例，</w:t>
      </w:r>
      <w:r>
        <w:rPr>
          <w:rFonts w:hint="eastAsia"/>
          <w:lang w:val="en-US" w:eastAsia="zh-CN"/>
        </w:rPr>
        <w:t>支持</w:t>
      </w:r>
      <w:r>
        <w:rPr>
          <w:rFonts w:hint="eastAsia"/>
        </w:rPr>
        <w:t>捕获深层逻辑缺陷；测试结果与质量度量指标（缺陷密度、覆盖率等）实时自动采集汇总，支持</w:t>
      </w:r>
      <w:r>
        <w:rPr>
          <w:rFonts w:hint="eastAsia"/>
          <w:lang w:eastAsia="zh-CN"/>
        </w:rPr>
        <w:t>基于</w:t>
      </w:r>
      <w:r>
        <w:rPr>
          <w:rFonts w:hint="eastAsia"/>
        </w:rPr>
        <w:t>GJB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成熟度量化评估</w:t>
      </w:r>
      <w:r>
        <w:rPr>
          <w:rFonts w:hint="eastAsia"/>
          <w:lang w:eastAsia="zh-CN"/>
        </w:rPr>
        <w:t>。</w:t>
      </w:r>
    </w:p>
    <w:p w14:paraId="1385074B">
      <w:pPr>
        <w:pStyle w:val="5"/>
        <w:spacing w:after="200"/>
        <w:jc w:val="left"/>
      </w:pPr>
      <w:r>
        <w:t>第</w:t>
      </w:r>
      <w:r>
        <w:rPr>
          <w:rFonts w:hint="eastAsia"/>
          <w:lang w:eastAsia="zh-CN"/>
        </w:rPr>
        <w:t>3</w:t>
      </w:r>
      <w:r>
        <w:t>部分：典型项目案例</w:t>
      </w:r>
    </w:p>
    <w:p w14:paraId="0D5C83BA">
      <w:pPr>
        <w:spacing w:after="120"/>
        <w:jc w:val="left"/>
      </w:pPr>
      <w:r>
        <w:t>公司已在多个重量级客户单位成功落地项目，充分验证了技术实力与工程交付能力：</w:t>
      </w:r>
    </w:p>
    <w:p w14:paraId="4FB1FC61">
      <w:pPr>
        <w:numPr>
          <w:ilvl w:val="0"/>
          <w:numId w:val="2"/>
        </w:numPr>
        <w:spacing w:after="120"/>
        <w:ind w:left="0" w:leftChars="0" w:firstLine="482" w:firstLineChars="200"/>
        <w:jc w:val="left"/>
      </w:pPr>
      <w:r>
        <w:rPr>
          <w:rFonts w:hint="eastAsia"/>
          <w:b/>
          <w:bCs/>
          <w:lang w:val="en-US" w:eastAsia="zh-CN"/>
        </w:rPr>
        <w:t>WD</w:t>
      </w:r>
      <w:bookmarkStart w:id="0" w:name="_GoBack"/>
      <w:bookmarkEnd w:id="0"/>
      <w:r>
        <w:rPr>
          <w:b/>
          <w:bCs/>
        </w:rPr>
        <w:t>作战综合分析系统</w:t>
      </w:r>
    </w:p>
    <w:p w14:paraId="6EFBA3E3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客户单位</w:t>
      </w:r>
      <w:r>
        <w:t>：中国电子科技集团</w:t>
      </w:r>
      <w:r>
        <w:rPr>
          <w:rFonts w:hint="eastAsia"/>
          <w:lang w:val="en-US" w:eastAsia="zh-CN"/>
        </w:rPr>
        <w:t>XXXX</w:t>
      </w:r>
      <w:r>
        <w:t>研究所</w:t>
      </w:r>
    </w:p>
    <w:p w14:paraId="78C0684D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建设目标</w:t>
      </w:r>
      <w:r>
        <w:t>：构建集成网络战、电子战、信号情报处理能力的一体化军事信息系统，实现</w:t>
      </w:r>
      <w:r>
        <w:rPr>
          <w:rFonts w:hint="eastAsia"/>
          <w:lang w:eastAsia="zh-CN"/>
        </w:rPr>
        <w:t>“侦察—干扰—攻击—防御—评估”</w:t>
      </w:r>
      <w:r>
        <w:t>全流程对抗</w:t>
      </w:r>
    </w:p>
    <w:p w14:paraId="5ABBF5EA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核心子系统</w:t>
      </w:r>
      <w:r>
        <w:t>：</w:t>
      </w:r>
      <w:r>
        <w:rPr>
          <w:b w:val="0"/>
          <w:bCs w:val="0"/>
        </w:rPr>
        <w:t>并行计算分布式调度子系统、作战仿真场景构建子系统、运筹模型构建与管理子系统、网电运筹分析编排子系统，充分体</w:t>
      </w:r>
      <w:r>
        <w:rPr>
          <w:rFonts w:hint="eastAsia"/>
          <w:b w:val="0"/>
          <w:bCs w:val="0"/>
          <w:lang w:eastAsia="zh-CN"/>
        </w:rPr>
        <w:t>现了</w:t>
      </w:r>
      <w:r>
        <w:rPr>
          <w:b w:val="0"/>
          <w:bCs w:val="0"/>
        </w:rPr>
        <w:t>公司在分布式仿真与大规模并行计算领域的深厚积累</w:t>
      </w:r>
    </w:p>
    <w:p w14:paraId="136B2EF1">
      <w:pPr>
        <w:numPr>
          <w:ilvl w:val="0"/>
          <w:numId w:val="2"/>
        </w:numPr>
        <w:spacing w:after="120"/>
        <w:ind w:left="0" w:leftChars="0" w:firstLine="482" w:firstLineChars="200"/>
        <w:jc w:val="left"/>
      </w:pPr>
      <w:r>
        <w:rPr>
          <w:b/>
          <w:bCs/>
        </w:rPr>
        <w:t>试验检验过程控制平台</w:t>
      </w:r>
    </w:p>
    <w:p w14:paraId="6F79B502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客户单位</w:t>
      </w:r>
      <w:r>
        <w:t>：中航工业某有限公司</w:t>
      </w:r>
    </w:p>
    <w:p w14:paraId="4B7E4607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建设目标</w:t>
      </w:r>
      <w:r>
        <w:t>：构建覆盖环境应力筛选试验、验收试验、例行试验的全流程数据管理与业务过程管控平台，提升试验检验的实时管控与信息化能力</w:t>
      </w:r>
    </w:p>
    <w:p w14:paraId="42A6FD90">
      <w:pPr>
        <w:numPr>
          <w:ilvl w:val="0"/>
          <w:numId w:val="2"/>
        </w:numPr>
        <w:spacing w:after="120"/>
        <w:ind w:left="0" w:leftChars="0" w:firstLine="482" w:firstLineChars="200"/>
        <w:jc w:val="left"/>
      </w:pPr>
      <w:r>
        <w:rPr>
          <w:b/>
          <w:bCs/>
        </w:rPr>
        <w:t>装备履历本全生命周期管理系统</w:t>
      </w:r>
    </w:p>
    <w:p w14:paraId="54BF62C1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客户单位</w:t>
      </w:r>
      <w:r>
        <w:t>：中航工业某股份有限公司</w:t>
      </w:r>
    </w:p>
    <w:p w14:paraId="36E1312F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核心亮点</w:t>
      </w:r>
      <w:r>
        <w:t>：引入AI大模型提高履历本质量检验能力，实现自动化检查、自动化校准与自动套打，覆盖产品管理、智能校验、版本对比、印章管理等全流程环节</w:t>
      </w:r>
    </w:p>
    <w:p w14:paraId="66ECAE25">
      <w:pPr>
        <w:numPr>
          <w:ilvl w:val="0"/>
          <w:numId w:val="2"/>
        </w:numPr>
        <w:spacing w:after="120"/>
        <w:ind w:left="0" w:leftChars="0" w:firstLine="482" w:firstLineChars="200"/>
        <w:jc w:val="left"/>
      </w:pPr>
      <w:r>
        <w:rPr>
          <w:rFonts w:cstheme="minorBidi"/>
          <w:b/>
          <w:bCs/>
        </w:rPr>
        <w:t>基于</w:t>
      </w:r>
      <w:r>
        <w:rPr>
          <w:b/>
          <w:bCs/>
        </w:rPr>
        <w:t>BIM系统的工程管理系统</w:t>
      </w:r>
    </w:p>
    <w:p w14:paraId="1371C12F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客户单位</w:t>
      </w:r>
      <w:r>
        <w:t>：PLA信息支援某部</w:t>
      </w:r>
    </w:p>
    <w:p w14:paraId="5ABBFC82">
      <w:pPr>
        <w:pStyle w:val="16"/>
        <w:numPr>
          <w:ilvl w:val="0"/>
          <w:numId w:val="3"/>
        </w:numPr>
        <w:spacing w:after="100"/>
        <w:ind w:left="660" w:leftChars="0"/>
        <w:jc w:val="left"/>
      </w:pPr>
      <w:r>
        <w:rPr>
          <w:b/>
          <w:bCs/>
        </w:rPr>
        <w:t>建设目标</w:t>
      </w:r>
      <w:r>
        <w:t>：构建</w:t>
      </w:r>
      <w:r>
        <w:rPr>
          <w:rFonts w:hint="eastAsia"/>
          <w:lang w:eastAsia="zh-CN"/>
        </w:rPr>
        <w:t>“工程建模—进度编排—项目推演—施工执行—过程监控”</w:t>
      </w:r>
      <w:r>
        <w:t>一体化全周期数字化管理平台</w:t>
      </w:r>
    </w:p>
    <w:p w14:paraId="1BCEA1B8">
      <w:pPr>
        <w:pStyle w:val="16"/>
        <w:numPr>
          <w:ilvl w:val="0"/>
          <w:numId w:val="3"/>
        </w:numPr>
        <w:spacing w:after="100"/>
        <w:ind w:left="660" w:leftChars="0"/>
        <w:jc w:val="left"/>
        <w:rPr>
          <w:b w:val="0"/>
          <w:bCs w:val="0"/>
        </w:rPr>
      </w:pPr>
      <w:r>
        <w:rPr>
          <w:b/>
          <w:bCs/>
        </w:rPr>
        <w:t>核心能力</w:t>
      </w:r>
      <w:r>
        <w:t>：智能进度推演、动态资源管控、深度集成三维可视化系统、风险预警与闭环管理，实现</w:t>
      </w:r>
      <w:r>
        <w:rPr>
          <w:rFonts w:hint="eastAsia"/>
          <w:lang w:eastAsia="zh-CN"/>
        </w:rPr>
        <w:t>“透明工地”</w:t>
      </w:r>
      <w:r>
        <w:t>态势感知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F74E5"/>
    <w:multiLevelType w:val="singleLevel"/>
    <w:tmpl w:val="F6FF74E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FB77AFCB"/>
    <w:multiLevelType w:val="singleLevel"/>
    <w:tmpl w:val="FB77AFC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FF20D1D"/>
    <w:multiLevelType w:val="multilevel"/>
    <w:tmpl w:val="FFF20D1D"/>
    <w:lvl w:ilvl="0" w:tentative="0">
      <w:start w:val="1"/>
      <w:numFmt w:val="bullet"/>
      <w:suff w:val="space"/>
      <w:lvlText w:val="●"/>
      <w:lvlJc w:val="left"/>
      <w:pPr>
        <w:ind w:left="660" w:hanging="180"/>
      </w:pPr>
    </w:lvl>
    <w:lvl w:ilvl="1" w:tentative="0">
      <w:start w:val="1"/>
      <w:numFmt w:val="bullet"/>
      <w:suff w:val="space"/>
      <w:lvlText w:val="○"/>
      <w:lvlJc w:val="left"/>
      <w:pPr>
        <w:ind w:left="1080" w:hanging="180"/>
      </w:pPr>
    </w:lvl>
    <w:lvl w:ilvl="2" w:tentative="0">
      <w:start w:val="1"/>
      <w:numFmt w:val="bullet"/>
      <w:suff w:val="space"/>
      <w:lvlText w:val="■"/>
      <w:lvlJc w:val="left"/>
      <w:pPr>
        <w:ind w:left="1500" w:hanging="180"/>
      </w:pPr>
    </w:lvl>
    <w:lvl w:ilvl="3" w:tentative="0">
      <w:start w:val="1"/>
      <w:numFmt w:val="bullet"/>
      <w:suff w:val="space"/>
      <w:lvlText w:val="●"/>
      <w:lvlJc w:val="left"/>
      <w:pPr>
        <w:ind w:left="1920" w:hanging="180"/>
      </w:pPr>
    </w:lvl>
    <w:lvl w:ilvl="4" w:tentative="0">
      <w:start w:val="1"/>
      <w:numFmt w:val="bullet"/>
      <w:suff w:val="space"/>
      <w:lvlText w:val="○"/>
      <w:lvlJc w:val="left"/>
      <w:pPr>
        <w:ind w:left="2340" w:hanging="180"/>
      </w:pPr>
    </w:lvl>
    <w:lvl w:ilvl="5" w:tentative="0">
      <w:start w:val="1"/>
      <w:numFmt w:val="bullet"/>
      <w:suff w:val="space"/>
      <w:lvlText w:val="■"/>
      <w:lvlJc w:val="left"/>
      <w:pPr>
        <w:ind w:left="2760" w:hanging="180"/>
      </w:pPr>
    </w:lvl>
    <w:lvl w:ilvl="6" w:tentative="0">
      <w:start w:val="1"/>
      <w:numFmt w:val="bullet"/>
      <w:suff w:val="space"/>
      <w:lvlText w:val="●"/>
      <w:lvlJc w:val="left"/>
      <w:pPr>
        <w:ind w:left="3180" w:hanging="180"/>
      </w:pPr>
    </w:lvl>
    <w:lvl w:ilvl="7" w:tentative="0">
      <w:start w:val="1"/>
      <w:numFmt w:val="bullet"/>
      <w:suff w:val="space"/>
      <w:lvlText w:val="○"/>
      <w:lvlJc w:val="left"/>
      <w:pPr>
        <w:ind w:left="3600" w:hanging="180"/>
      </w:pPr>
    </w:lvl>
    <w:lvl w:ilvl="8" w:tentative="0">
      <w:start w:val="1"/>
      <w:numFmt w:val="bullet"/>
      <w:suff w:val="space"/>
      <w:lvlText w:val="■"/>
      <w:lvlJc w:val="left"/>
      <w:pPr>
        <w:ind w:left="40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6CA5580A"/>
    <w:rsid w:val="6FDF854F"/>
    <w:rsid w:val="75C72FE1"/>
    <w:rsid w:val="769DA147"/>
    <w:rsid w:val="7FBF11BC"/>
    <w:rsid w:val="BDDFFF5B"/>
    <w:rsid w:val="BFFBF5C6"/>
    <w:rsid w:val="E5DC4046"/>
    <w:rsid w:val="FFFF4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3" w:firstLineChars="200"/>
      <w:jc w:val="both"/>
    </w:pPr>
    <w:rPr>
      <w:rFonts w:ascii="Calibri" w:hAnsi="Calibri" w:eastAsia="SimSun"/>
      <w:sz w:val="24"/>
      <w:szCs w:val="24"/>
    </w:rPr>
  </w:style>
  <w:style w:type="paragraph" w:styleId="4">
    <w:name w:val="heading 1"/>
    <w:next w:val="1"/>
    <w:qFormat/>
    <w:uiPriority w:val="0"/>
    <w:pPr>
      <w:jc w:val="left"/>
    </w:pPr>
    <w:rPr>
      <w:b/>
      <w:bCs/>
      <w:color w:val="000000"/>
      <w:sz w:val="40"/>
      <w:szCs w:val="40"/>
    </w:rPr>
  </w:style>
  <w:style w:type="paragraph" w:styleId="5">
    <w:name w:val="heading 2"/>
    <w:next w:val="1"/>
    <w:qFormat/>
    <w:uiPriority w:val="0"/>
    <w:pPr>
      <w:jc w:val="left"/>
    </w:pPr>
    <w:rPr>
      <w:b/>
      <w:bCs/>
      <w:color w:val="000000"/>
      <w:sz w:val="36"/>
      <w:szCs w:val="36"/>
    </w:rPr>
  </w:style>
  <w:style w:type="paragraph" w:styleId="6">
    <w:name w:val="heading 3"/>
    <w:next w:val="1"/>
    <w:qFormat/>
    <w:uiPriority w:val="0"/>
    <w:pPr>
      <w:jc w:val="left"/>
    </w:pPr>
    <w:rPr>
      <w:b/>
      <w:bCs/>
      <w:color w:val="000000"/>
      <w:sz w:val="32"/>
      <w:szCs w:val="32"/>
    </w:rPr>
  </w:style>
  <w:style w:type="paragraph" w:styleId="7">
    <w:name w:val="heading 4"/>
    <w:next w:val="1"/>
    <w:qFormat/>
    <w:uiPriority w:val="0"/>
    <w:pPr>
      <w:jc w:val="left"/>
    </w:pPr>
    <w:rPr>
      <w:b/>
      <w:bCs/>
      <w:color w:val="000000"/>
      <w:sz w:val="28"/>
      <w:szCs w:val="28"/>
    </w:rPr>
  </w:style>
  <w:style w:type="paragraph" w:styleId="8">
    <w:name w:val="heading 5"/>
    <w:next w:val="1"/>
    <w:qFormat/>
    <w:uiPriority w:val="0"/>
    <w:pPr>
      <w:jc w:val="left"/>
    </w:pPr>
    <w:rPr>
      <w:b/>
      <w:bCs/>
      <w:color w:val="000000"/>
      <w:sz w:val="24"/>
      <w:szCs w:val="24"/>
    </w:rPr>
  </w:style>
  <w:style w:type="paragraph" w:styleId="9">
    <w:name w:val="heading 6"/>
    <w:next w:val="1"/>
    <w:qFormat/>
    <w:uiPriority w:val="0"/>
    <w:pPr>
      <w:jc w:val="left"/>
    </w:pPr>
    <w:rPr>
      <w:b/>
      <w:bCs/>
      <w:color w:val="00000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  <w:jc w:val="left"/>
    </w:pPr>
    <w:rPr>
      <w:sz w:val="20"/>
      <w:szCs w:val="20"/>
    </w:rPr>
  </w:style>
  <w:style w:type="paragraph" w:styleId="11">
    <w:name w:val="Title"/>
    <w:qFormat/>
    <w:uiPriority w:val="0"/>
    <w:pPr>
      <w:jc w:val="left"/>
    </w:pPr>
    <w:rPr>
      <w:sz w:val="56"/>
      <w:szCs w:val="56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pPr>
      <w:spacing w:line="360" w:lineRule="auto"/>
      <w:jc w:val="left"/>
    </w:pPr>
    <w:rPr>
      <w:rFonts w:ascii="Calibri" w:hAnsi="Calibri" w:eastAsia="SimSun"/>
      <w:sz w:val="24"/>
      <w:szCs w:val="24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22</TotalTime>
  <ScaleCrop>false</ScaleCrop>
  <LinksUpToDate>false</LinksUpToDate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刘松涛</cp:lastModifiedBy>
  <dcterms:modified xsi:type="dcterms:W3CDTF">2026-04-14T18:27:19Z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2F0DADED54FAE6358716DE69C960AE37_43</vt:lpwstr>
  </property>
</Properties>
</file>