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ai方面工作总结文档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概述：总共做了企业微信机器人，文档搜索demo，发票智能体demo 3件事情。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1.企业微信机器人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项目链接：</w:t>
      </w:r>
      <w:r>
        <w:rPr>
          <w:rFonts w:eastAsia="等线" w:ascii="Arial" w:cs="Arial" w:hAnsi="Arial"/>
          <w:sz w:val="22"/>
        </w:rPr>
        <w:t>https://codeup.aliyun.com/67b2f5648911e60eafc22c22/chatbot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状态：已部署至 101.132.193.204 机器，可用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功能：接收企微用户消息，爬取链接的文章内容，将标题、来源等存储到数据库；基于该链接文章进行对话。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自动化功能：与明子涵的文章解析代码串联起来，做法是对ndicsh.crawler项目的mian.py启动定时任务，在windows电脑的该项目文件夹里有说明文档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2.文档搜索demo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项目链接：</w:t>
      </w:r>
      <w:r>
        <w:rPr>
          <w:rFonts w:eastAsia="等线" w:ascii="Arial" w:cs="Arial" w:hAnsi="Arial"/>
          <w:sz w:val="22"/>
        </w:rPr>
        <w:t>https://codeup.aliyun.com/67b2f5648911e60eafc22c22/rag_demo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状态：demo，没有部署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功能：接收用户文字输入，返回标题相关的报告。基于报告的标题，做向量化，使用混合检索和重排。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文档搜索的理想状态架构图：</w:t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257800" cy="3381375"/>
            <wp:docPr id="0" name="Drawing 0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257800" cy="3038475"/>
            <wp:docPr id="1" name="Drawing 1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3.发票智能体demo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扣子空间的demo：</w:t>
      </w:r>
      <w:r>
        <w:rPr>
          <w:rFonts w:eastAsia="等线" w:ascii="Arial" w:cs="Arial" w:hAnsi="Arial"/>
          <w:sz w:val="22"/>
        </w:rPr>
        <w:t>https://www.coze.cn/space/7548724292536811571/bot/7552895405818708002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状态：概念设想阶段和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功能：接收用户的开票订单、公司名、纳税号，将信息发送到飞书群组里。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center"/>
      </w:pPr>
      <w:r>
        <w:drawing>
          <wp:inline distT="0" distR="0" distB="0" distL="0">
            <wp:extent cx="5257800" cy="2971800"/>
            <wp:docPr id="2" name="Drawing 2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7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media/image1.png" Type="http://schemas.openxmlformats.org/officeDocument/2006/relationships/image"/><Relationship Id="rId5" Target="media/image2.png" Type="http://schemas.openxmlformats.org/officeDocument/2006/relationships/image"/><Relationship Id="rId6" Target="media/image3.png" Type="http://schemas.openxmlformats.org/officeDocument/2006/relationships/image"/><Relationship Id="rId7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2026-03-19T02:34:03Z</dcterms:created>
  <dc:creator>Apache POI</dc:creator>
</cp:coreProperties>
</file>