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00B55">
      <w:pPr>
        <w:pStyle w:val="2"/>
        <w:bidi w:val="0"/>
        <w:rPr>
          <w:rFonts w:hint="default"/>
          <w:lang w:val="en-US" w:eastAsia="zh-CN"/>
        </w:rPr>
      </w:pPr>
      <w:r>
        <w:rPr>
          <w:rFonts w:hint="eastAsia"/>
          <w:lang w:val="en-US" w:eastAsia="zh-CN"/>
        </w:rPr>
        <w:t>目标</w:t>
      </w:r>
    </w:p>
    <w:p w14:paraId="376994D3">
      <w:pPr>
        <w:spacing w:after="120"/>
        <w:jc w:val="left"/>
      </w:pPr>
      <w:r>
        <w:rPr>
          <w:rFonts w:hint="eastAsia"/>
          <w:lang w:val="en-US" w:eastAsia="zh-CN"/>
        </w:rPr>
        <w:t>该项目目标是</w:t>
      </w:r>
      <w:r>
        <w:t>构建一个涵盖450通道光纤、高频射频以及90通道AS5643高速总线的综合自动化测试系统。为了满足高精度、全自动化以及深度故障注入的严苛要求，</w:t>
      </w:r>
      <w:r>
        <w:rPr>
          <w:rFonts w:hint="eastAsia"/>
          <w:lang w:val="en-US" w:eastAsia="zh-CN"/>
        </w:rPr>
        <w:t>方案</w:t>
      </w:r>
      <w:r>
        <w:t>将彻底摒弃传统的分立式手工测试手段，转而采用高度集成的模块化仪器架构与智能路由矩阵。</w:t>
      </w:r>
    </w:p>
    <w:p w14:paraId="66AF0EC9">
      <w:pPr>
        <w:pStyle w:val="2"/>
        <w:bidi w:val="0"/>
      </w:pPr>
      <w:r>
        <w:t>总体系统架构与拓扑设计</w:t>
      </w:r>
    </w:p>
    <w:p w14:paraId="6B790058">
      <w:pPr>
        <w:spacing w:after="120"/>
        <w:jc w:val="left"/>
      </w:pPr>
      <w:r>
        <w:t>本系统的核心设计思想是“软硬解耦”与“全矩阵路由”。面对数量庞大且物理特性迥异的被测线缆，系统依托 PXIe 模块化总线与 LXI 分布式仪器集群构建硬件底座。在测试仪器与被测线束之间，植入了一个高密度的智能开关矩阵系统，它扮演着“交通枢纽”的角色，使得上位机软件能够根据测试工步，自动将相应的激励源和测量仪器无缝接入指定的通道。</w:t>
      </w:r>
    </w:p>
    <w:p w14:paraId="0279EF4B">
      <w:pPr>
        <w:spacing w:after="120"/>
        <w:jc w:val="left"/>
      </w:pPr>
      <w:r>
        <w:rPr>
          <w:rFonts w:hint="eastAsia"/>
        </w:rPr>
        <w:t>为了直观展示光纤、射频与总线三大模块如何在一个统一的平台下高效协同，整个系统自上而下划分为“控制层”、“仪器层”、“矩阵层”与“被测件层”四个核心物理层级</w:t>
      </w:r>
      <w:r>
        <w:rPr>
          <w:rFonts w:hint="eastAsia"/>
          <w:lang w:eastAsia="zh-CN"/>
        </w:rPr>
        <w:t>，</w:t>
      </w:r>
      <w:r>
        <w:rPr>
          <w:rFonts w:hint="eastAsia"/>
          <w:lang w:val="en-US" w:eastAsia="zh-CN"/>
        </w:rPr>
        <w:t>硬件架构图如下</w:t>
      </w:r>
      <w:r>
        <w:rPr>
          <w:rFonts w:hint="eastAsia"/>
        </w:rPr>
        <w:t>。</w:t>
      </w:r>
    </w:p>
    <w:p w14:paraId="4564E604">
      <w:pPr>
        <w:keepNext w:val="0"/>
        <w:keepLines w:val="0"/>
        <w:pageBreakBefore w:val="0"/>
        <w:widowControl w:val="0"/>
        <w:kinsoku/>
        <w:wordWrap/>
        <w:overflowPunct/>
        <w:topLinePunct w:val="0"/>
        <w:autoSpaceDE/>
        <w:autoSpaceDN/>
        <w:bidi w:val="0"/>
        <w:adjustRightInd/>
        <w:snapToGrid/>
        <w:spacing w:after="120"/>
        <w:ind w:firstLine="0" w:firstLineChars="0"/>
        <w:jc w:val="center"/>
        <w:textAlignment w:val="auto"/>
      </w:pPr>
      <w:r>
        <w:drawing>
          <wp:inline distT="0" distB="0" distL="0" distR="0">
            <wp:extent cx="5943600" cy="2914650"/>
            <wp:effectExtent l="0" t="0" r="0" b="0"/>
            <wp:docPr id="2" name="mermai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rmaid diagram"/>
                    <pic:cNvPicPr>
                      <a:picLocks noChangeAspect="1" noChangeArrowheads="1"/>
                    </pic:cNvPicPr>
                  </pic:nvPicPr>
                  <pic:blipFill>
                    <a:blip r:embed="rId6"/>
                    <a:srcRect/>
                    <a:stretch>
                      <a:fillRect/>
                    </a:stretch>
                  </pic:blipFill>
                  <pic:spPr>
                    <a:xfrm>
                      <a:off x="0" y="0"/>
                      <a:ext cx="5943600" cy="2914650"/>
                    </a:xfrm>
                    <a:prstGeom prst="rect">
                      <a:avLst/>
                    </a:prstGeom>
                  </pic:spPr>
                </pic:pic>
              </a:graphicData>
            </a:graphic>
          </wp:inline>
        </w:drawing>
      </w:r>
    </w:p>
    <w:p w14:paraId="3A05E876">
      <w:pPr>
        <w:spacing w:after="120"/>
        <w:jc w:val="left"/>
        <w:rPr>
          <w:rFonts w:hint="eastAsia"/>
        </w:rPr>
      </w:pPr>
      <w:r>
        <w:rPr>
          <w:rFonts w:hint="eastAsia"/>
          <w:lang w:val="en-US" w:eastAsia="zh-CN"/>
        </w:rPr>
        <w:t>从上面的架构图可知</w:t>
      </w:r>
      <w:r>
        <w:rPr>
          <w:rFonts w:hint="eastAsia"/>
        </w:rPr>
        <w:t>，位于顶层的工业控制计算机扮演着系统“大脑”的角色。它通过 LAN 或 PCIe 高速总线向核心仪器层下发测试序列，同时通过独立的控制链路精准指挥矩阵层的动作。这种设计确保了软件指令下发与底层硬件响应的绝对同步。</w:t>
      </w:r>
    </w:p>
    <w:p w14:paraId="78941AF1">
      <w:pPr>
        <w:spacing w:after="120"/>
        <w:jc w:val="left"/>
        <w:rPr>
          <w:rFonts w:hint="eastAsia"/>
        </w:rPr>
      </w:pPr>
      <w:r>
        <w:rPr>
          <w:rFonts w:hint="eastAsia"/>
        </w:rPr>
        <w:t>核心仪器层与智能矩阵层构成了系统的“心脏”与“血管”。无论是 VNA 产生的高频微波、OTDR 发射的探测光脉冲，还是 PXIe 机箱输出的 AS5643 协议帧与高压激励，所有信号都不会直接硬连线到被测产品上。相反，它们会被统一汇入智能开关与故障注入矩阵层。这个矩阵层不仅负责将信号无损地路由至指定的被测通道，还能在总线链路中动态串入物理层故障（如电气拉偏或短路），从而实现真正的全自动化闭环测试。</w:t>
      </w:r>
    </w:p>
    <w:p w14:paraId="0E178C84">
      <w:pPr>
        <w:spacing w:after="120"/>
        <w:jc w:val="left"/>
      </w:pPr>
      <w:r>
        <w:rPr>
          <w:rFonts w:hint="eastAsia"/>
        </w:rPr>
        <w:t>这种高度解耦的分层架构设计，不仅最大程度地保护了昂贵的核心仪器免受频繁插拔的物理损耗，也为未来系统通道的平滑扩容或测试协议的升级预留了极大的物理空间。</w:t>
      </w:r>
    </w:p>
    <w:p w14:paraId="21890E2F">
      <w:pPr>
        <w:spacing w:after="120"/>
        <w:jc w:val="left"/>
      </w:pPr>
      <w:r>
        <w:t>下面是该系统的架构拓扑图，直观展示了各模块的物理与逻辑连接关系。</w:t>
      </w:r>
    </w:p>
    <w:p w14:paraId="4897FA8D">
      <w:pPr>
        <w:spacing w:after="200"/>
      </w:pPr>
      <w:r>
        <w:t xml:space="preserve"> </w:t>
      </w:r>
    </w:p>
    <w:p w14:paraId="58B9D40A">
      <w:pPr>
        <w:spacing w:after="160"/>
        <w:jc w:val="center"/>
      </w:pPr>
      <w:r>
        <w:drawing>
          <wp:inline distT="0" distB="0" distL="0" distR="0">
            <wp:extent cx="2508885" cy="3654425"/>
            <wp:effectExtent l="0" t="0" r="5715" b="3175"/>
            <wp:docPr id="1" name="mermai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maid diagram"/>
                    <pic:cNvPicPr>
                      <a:picLocks noChangeAspect="1" noChangeArrowheads="1"/>
                    </pic:cNvPicPr>
                  </pic:nvPicPr>
                  <pic:blipFill>
                    <a:blip r:embed="rId7"/>
                    <a:srcRect/>
                    <a:stretch>
                      <a:fillRect/>
                    </a:stretch>
                  </pic:blipFill>
                  <pic:spPr>
                    <a:xfrm>
                      <a:off x="0" y="0"/>
                      <a:ext cx="2508885" cy="3654425"/>
                    </a:xfrm>
                    <a:prstGeom prst="rect">
                      <a:avLst/>
                    </a:prstGeom>
                  </pic:spPr>
                </pic:pic>
              </a:graphicData>
            </a:graphic>
          </wp:inline>
        </w:drawing>
      </w:r>
    </w:p>
    <w:p w14:paraId="37B37A44">
      <w:pPr>
        <w:pStyle w:val="2"/>
        <w:bidi w:val="0"/>
      </w:pPr>
      <w:r>
        <w:t>光纤测试子系统的流转机制</w:t>
      </w:r>
    </w:p>
    <w:p w14:paraId="0D99C09C">
      <w:pPr>
        <w:pStyle w:val="3"/>
        <w:bidi w:val="0"/>
      </w:pPr>
      <w:r>
        <w:t>大规模通道切换与损耗测量</w:t>
      </w:r>
    </w:p>
    <w:p w14:paraId="6EB7DA79">
      <w:pPr>
        <w:spacing w:after="120"/>
        <w:jc w:val="left"/>
      </w:pPr>
      <w:r>
        <w:t>光纤模块的首要任务是在不引入额外衰减的前提下，完成高达450个通道的自动化遍历。为此，在硬件层采用级联式 MEMS 光开关矩阵。通过将一个主干光开关与多个分支光开关相连，系统能够快速且低损耗地将内部的高稳定度光源和高分辨率插回损测试仪接入任意一条被测光纤，从而精准捕捉插入损耗与回波损耗的微小幅度变化。</w:t>
      </w:r>
    </w:p>
    <w:p w14:paraId="0F57F0D4">
      <w:pPr>
        <w:pStyle w:val="3"/>
        <w:bidi w:val="0"/>
      </w:pPr>
      <w:r>
        <w:t>故障定位与绝缘检测</w:t>
      </w:r>
    </w:p>
    <w:p w14:paraId="28F7203E">
      <w:pPr>
        <w:spacing w:after="120"/>
        <w:jc w:val="left"/>
      </w:pPr>
      <w:r>
        <w:t>当光纤链路出现异常时，系统会无缝切换至光时域反射仪（OTDR）进行深度诊断。OTDR 通过向光纤内部发射探测光脉冲，并实时分析沿途返回的瑞利散射与菲涅尔反射光，能够生成高分辨率的损耗距离图谱，将微弯或断裂点的位置精确锁定。此外，针对光纤电缆内部的金属加强芯或屏蔽层，系统通过高压继电器矩阵引入程控兆欧表，自动完成点对点以及点对壳的绝缘电阻测量，确保物理结构的安全合规。</w:t>
      </w:r>
    </w:p>
    <w:p w14:paraId="3D1909F3">
      <w:pPr>
        <w:pStyle w:val="2"/>
        <w:bidi w:val="0"/>
      </w:pPr>
      <w:r>
        <w:t>射频电缆测试的精准度保障</w:t>
      </w:r>
    </w:p>
    <w:p w14:paraId="78A0C008">
      <w:pPr>
        <w:pStyle w:val="3"/>
        <w:numPr>
          <w:numId w:val="3"/>
        </w:numPr>
        <w:bidi w:val="0"/>
      </w:pPr>
      <w:r>
        <w:t>一致性测量与自动校准</w:t>
      </w:r>
    </w:p>
    <w:p w14:paraId="75D78154">
      <w:pPr>
        <w:spacing w:after="120"/>
        <w:jc w:val="left"/>
      </w:pPr>
      <w:r>
        <w:t>射频信号对传输路径的阻抗变化极为敏感，因此选用具备不少于8个原生测试端口的矢量网络分析仪（VNA）作为核心引擎。多端口 VNA 共享同一套本地振荡器，能够在测量高频馈线的驻波比、插入损耗以及 S 参数时，提供极致的相位一致性与幅度一致性。为了满足电校准需求，系统内部集成了电子校准件（ECal），在每次批量测试前，软件会自动驱动 ECal 完成单端口或全双端口的误差修正，彻底消除系统方向性和匹配误差。</w:t>
      </w:r>
    </w:p>
    <w:p w14:paraId="41BE6548">
      <w:pPr>
        <w:pStyle w:val="3"/>
        <w:numPr>
          <w:numId w:val="3"/>
        </w:numPr>
        <w:bidi w:val="0"/>
      </w:pPr>
      <w:r>
        <w:t>时域阻抗与故障溯源</w:t>
      </w:r>
    </w:p>
    <w:p w14:paraId="18579141">
      <w:pPr>
        <w:spacing w:after="120"/>
        <w:jc w:val="left"/>
      </w:pPr>
      <w:r>
        <w:t>在射频线缆的故障定位方面，系统充分利用了 VNA 的时域分析选件（TDR）。通过在宽带频域内获取 S 参数，并利用内部数字信号处理技术进行快速傅里叶逆变换，系统能够将频域数据直接映射为直观的时域阻抗曲线。任何因接头松动、线缆挤压或断路引起的阻抗不匹配，都会在曲线上形成清晰的波峰或波谷，从而实现毫米级别的故障定位精度。</w:t>
      </w:r>
    </w:p>
    <w:p w14:paraId="66314AD9">
      <w:pPr>
        <w:pStyle w:val="2"/>
        <w:bidi w:val="0"/>
      </w:pPr>
      <w:r>
        <w:t>AS5643总线与深度故障注入</w:t>
      </w:r>
    </w:p>
    <w:p w14:paraId="71D8F6DA">
      <w:pPr>
        <w:pStyle w:val="3"/>
        <w:numPr>
          <w:numId w:val="4"/>
        </w:numPr>
        <w:bidi w:val="0"/>
      </w:pPr>
      <w:r>
        <w:t>并发测试与信号完整性</w:t>
      </w:r>
    </w:p>
    <w:p w14:paraId="70B6B642">
      <w:pPr>
        <w:spacing w:after="120"/>
        <w:jc w:val="left"/>
      </w:pPr>
      <w:r>
        <w:t>针对 AS5643 这种高可靠性的机载传输协议，总线测试模块不仅要验证连通性，更要评估电气传输品质。系统配置了基于 FPGA 架构的 PXIe 协议测试板卡，能够同时对不低于90个通道进行高速并发测试。测试软件会根据预设的总线速率和发送方向，自动计算连接公式并路由通道，随后发送伪随机数据包以统计误码率，结合置信度算法自动判定当前通道的信号完整性是否达标。</w:t>
      </w:r>
    </w:p>
    <w:p w14:paraId="1169DFEC">
      <w:pPr>
        <w:pStyle w:val="3"/>
        <w:numPr>
          <w:numId w:val="4"/>
        </w:numPr>
        <w:bidi w:val="0"/>
      </w:pPr>
      <w:r>
        <w:t>物理与协议双重故障注入</w:t>
      </w:r>
    </w:p>
    <w:p w14:paraId="3E600D46">
      <w:pPr>
        <w:spacing w:after="120"/>
        <w:jc w:val="left"/>
      </w:pPr>
      <w:r>
        <w:t>该模块最具技术含量的部分在于全方位的故障模拟能力。在协议层，FPGA 板卡能够在底层逻辑中动态篡改数据帧，精准注入 CRC 校验错、VPC 校验错、心跳丢失以及时间偏移等逻辑异常。在物理层，定制了专用的故障注入矩阵（FIU）。通过在链路中串并联固态继电器、程控电容网络与精密偏置电源，系统能够瞬间模拟短路、断路、信号容抗突变，甚至对共模和差分正负信号进行电压拉偏，全面检验被测设备在极端恶劣电气环境下的鲁棒性。</w:t>
      </w:r>
    </w:p>
    <w:p w14:paraId="231ACF51">
      <w:pPr>
        <w:pStyle w:val="2"/>
        <w:bidi w:val="0"/>
      </w:pPr>
      <w:r>
        <w:t>核心技术模块总结</w:t>
      </w:r>
    </w:p>
    <w:p w14:paraId="4D98025E">
      <w:pPr>
        <w:spacing w:after="120"/>
        <w:jc w:val="left"/>
      </w:pPr>
      <w:r>
        <w:t>为了更清晰地把握各子系统的技术选型与核心能力，下面对三大测试模块的关键特性进行结构化梳理。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0" w:type="dxa"/>
          <w:bottom w:w="80" w:type="dxa"/>
          <w:right w:w="120" w:type="dxa"/>
        </w:tblCellMar>
      </w:tblPr>
      <w:tblGrid>
        <w:gridCol w:w="1808"/>
        <w:gridCol w:w="2260"/>
        <w:gridCol w:w="2486"/>
        <w:gridCol w:w="2712"/>
      </w:tblGrid>
      <w:tr w14:paraId="6384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tblHeader/>
          <w:jc w:val="center"/>
        </w:trPr>
        <w:tc>
          <w:tcPr>
            <w:tcBorders>
              <w:top w:val="single" w:color="000000" w:sz="12" w:space="0"/>
              <w:left w:val="single" w:color="000000" w:sz="12" w:space="0"/>
              <w:bottom w:val="single" w:color="000000" w:sz="4" w:space="0"/>
              <w:right w:val="single" w:color="000000" w:sz="4" w:space="0"/>
              <w:tl2br w:val="nil"/>
            </w:tcBorders>
            <w:shd w:val="clear" w:color="auto" w:fill="FFFFFF"/>
          </w:tcPr>
          <w:p w14:paraId="06D6BEF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bCs w:val="0"/>
                <w:color w:val="000000"/>
              </w:rPr>
            </w:pPr>
            <w:r>
              <w:rPr>
                <w:b/>
                <w:bCs w:val="0"/>
                <w:color w:val="000000"/>
              </w:rPr>
              <w:t>测试子系统</w:t>
            </w:r>
          </w:p>
        </w:tc>
        <w:tc>
          <w:tcPr>
            <w:tcBorders>
              <w:top w:val="single" w:color="000000" w:sz="12" w:space="0"/>
              <w:left w:val="single" w:color="000000" w:sz="4" w:space="0"/>
              <w:bottom w:val="single" w:color="000000" w:sz="4" w:space="0"/>
              <w:right w:val="single" w:color="000000" w:sz="4" w:space="0"/>
            </w:tcBorders>
            <w:shd w:val="clear" w:color="auto" w:fill="FFFFFF"/>
          </w:tcPr>
          <w:p w14:paraId="3C4BC4C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bCs w:val="0"/>
                <w:color w:val="000000"/>
              </w:rPr>
            </w:pPr>
            <w:r>
              <w:rPr>
                <w:b/>
                <w:bCs w:val="0"/>
                <w:color w:val="000000"/>
              </w:rPr>
              <w:t>核心驱动仪器</w:t>
            </w:r>
          </w:p>
        </w:tc>
        <w:tc>
          <w:tcPr>
            <w:tcBorders>
              <w:top w:val="single" w:color="000000" w:sz="12" w:space="0"/>
              <w:left w:val="single" w:color="000000" w:sz="4" w:space="0"/>
              <w:bottom w:val="single" w:color="000000" w:sz="4" w:space="0"/>
              <w:right w:val="single" w:color="000000" w:sz="4" w:space="0"/>
            </w:tcBorders>
            <w:shd w:val="clear" w:color="auto" w:fill="FFFFFF"/>
          </w:tcPr>
          <w:p w14:paraId="1A0C6AA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bCs w:val="0"/>
                <w:color w:val="000000"/>
              </w:rPr>
            </w:pPr>
            <w:r>
              <w:rPr>
                <w:b/>
                <w:bCs w:val="0"/>
                <w:color w:val="000000"/>
              </w:rPr>
              <w:t>关键路由与调理硬件</w:t>
            </w:r>
          </w:p>
        </w:tc>
        <w:tc>
          <w:tcPr>
            <w:tcBorders>
              <w:top w:val="single" w:color="000000" w:sz="12" w:space="0"/>
              <w:left w:val="single" w:color="000000" w:sz="4" w:space="0"/>
              <w:bottom w:val="single" w:color="000000" w:sz="4" w:space="0"/>
              <w:right w:val="single" w:color="000000" w:sz="12" w:space="0"/>
            </w:tcBorders>
            <w:shd w:val="clear" w:color="auto" w:fill="FFFFFF"/>
          </w:tcPr>
          <w:p w14:paraId="3A85C5B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bCs w:val="0"/>
                <w:color w:val="000000"/>
              </w:rPr>
            </w:pPr>
            <w:r>
              <w:rPr>
                <w:b/>
                <w:bCs w:val="0"/>
                <w:color w:val="000000"/>
              </w:rPr>
              <w:t>核心突破能力</w:t>
            </w:r>
          </w:p>
        </w:tc>
      </w:tr>
      <w:tr w14:paraId="70C2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jc w:val="center"/>
        </w:trPr>
        <w:tc>
          <w:tcPr>
            <w:tcBorders>
              <w:top w:val="single" w:color="000000" w:sz="4" w:space="0"/>
              <w:left w:val="single" w:color="000000" w:sz="12" w:space="0"/>
              <w:bottom w:val="single" w:color="000000" w:sz="4" w:space="0"/>
              <w:right w:val="single" w:color="000000" w:sz="4" w:space="0"/>
            </w:tcBorders>
            <w:shd w:val="clear" w:color="auto" w:fill="FFFFFF"/>
          </w:tcPr>
          <w:p w14:paraId="2B8C881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bCs w:val="0"/>
                <w:color w:val="000000"/>
              </w:rPr>
            </w:pPr>
            <w:r>
              <w:rPr>
                <w:b/>
                <w:bCs w:val="0"/>
                <w:color w:val="000000"/>
              </w:rPr>
              <w:t>光纤链路测试</w:t>
            </w:r>
          </w:p>
        </w:tc>
        <w:tc>
          <w:tcPr>
            <w:tcBorders>
              <w:top w:val="single" w:color="000000" w:sz="4" w:space="0"/>
              <w:left w:val="single" w:color="000000" w:sz="4" w:space="0"/>
              <w:bottom w:val="single" w:color="000000" w:sz="4" w:space="0"/>
              <w:right w:val="single" w:color="000000" w:sz="4" w:space="0"/>
            </w:tcBorders>
            <w:shd w:val="clear" w:color="auto" w:fill="FFFFFF"/>
          </w:tcPr>
          <w:p w14:paraId="3C75E7F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OTDR 与 高精度插回损仪</w:t>
            </w:r>
          </w:p>
        </w:tc>
        <w:tc>
          <w:tcPr>
            <w:tcBorders>
              <w:top w:val="single" w:color="000000" w:sz="4" w:space="0"/>
              <w:left w:val="single" w:color="000000" w:sz="4" w:space="0"/>
              <w:bottom w:val="single" w:color="000000" w:sz="4" w:space="0"/>
              <w:right w:val="single" w:color="000000" w:sz="4" w:space="0"/>
            </w:tcBorders>
            <w:shd w:val="clear" w:color="auto" w:fill="FFFFFF"/>
          </w:tcPr>
          <w:p w14:paraId="65EB25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级联式 MEMS 光开关矩阵</w:t>
            </w:r>
          </w:p>
        </w:tc>
        <w:tc>
          <w:tcPr>
            <w:tcBorders>
              <w:top w:val="single" w:color="000000" w:sz="4" w:space="0"/>
              <w:left w:val="single" w:color="000000" w:sz="4" w:space="0"/>
              <w:bottom w:val="single" w:color="000000" w:sz="4" w:space="0"/>
              <w:right w:val="single" w:color="000000" w:sz="12" w:space="0"/>
            </w:tcBorders>
            <w:shd w:val="clear" w:color="auto" w:fill="FFFFFF"/>
          </w:tcPr>
          <w:p w14:paraId="65727F3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450通道无缝切换与高分辨率断点测距</w:t>
            </w:r>
          </w:p>
        </w:tc>
      </w:tr>
      <w:tr w14:paraId="5C1A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jc w:val="center"/>
        </w:trPr>
        <w:tc>
          <w:tcPr>
            <w:tcBorders>
              <w:top w:val="single" w:color="000000" w:sz="4" w:space="0"/>
              <w:left w:val="single" w:color="000000" w:sz="12" w:space="0"/>
              <w:bottom w:val="single" w:color="000000" w:sz="4" w:space="0"/>
              <w:right w:val="single" w:color="000000" w:sz="4" w:space="0"/>
            </w:tcBorders>
            <w:shd w:val="clear" w:color="auto" w:fill="FFFFFF"/>
          </w:tcPr>
          <w:p w14:paraId="354186C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bCs w:val="0"/>
                <w:color w:val="000000"/>
              </w:rPr>
            </w:pPr>
            <w:r>
              <w:rPr>
                <w:b/>
                <w:bCs w:val="0"/>
                <w:color w:val="000000"/>
              </w:rPr>
              <w:t>射频微波测试</w:t>
            </w:r>
          </w:p>
        </w:tc>
        <w:tc>
          <w:tcPr>
            <w:tcBorders>
              <w:top w:val="single" w:color="000000" w:sz="4" w:space="0"/>
              <w:left w:val="single" w:color="000000" w:sz="4" w:space="0"/>
              <w:bottom w:val="single" w:color="000000" w:sz="4" w:space="0"/>
              <w:right w:val="single" w:color="000000" w:sz="4" w:space="0"/>
            </w:tcBorders>
            <w:shd w:val="clear" w:color="auto" w:fill="FFFFFF"/>
          </w:tcPr>
          <w:p w14:paraId="08AE541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8端口及以上 VNA 与 ECal</w:t>
            </w:r>
          </w:p>
        </w:tc>
        <w:tc>
          <w:tcPr>
            <w:tcBorders>
              <w:top w:val="single" w:color="000000" w:sz="4" w:space="0"/>
              <w:left w:val="single" w:color="000000" w:sz="4" w:space="0"/>
              <w:bottom w:val="single" w:color="000000" w:sz="4" w:space="0"/>
              <w:right w:val="single" w:color="000000" w:sz="4" w:space="0"/>
            </w:tcBorders>
            <w:shd w:val="clear" w:color="auto" w:fill="FFFFFF"/>
          </w:tcPr>
          <w:p w14:paraId="249537F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宽带低损耗微波固态开关</w:t>
            </w:r>
          </w:p>
        </w:tc>
        <w:tc>
          <w:tcPr>
            <w:tcBorders>
              <w:top w:val="single" w:color="000000" w:sz="4" w:space="0"/>
              <w:left w:val="single" w:color="000000" w:sz="4" w:space="0"/>
              <w:bottom w:val="single" w:color="000000" w:sz="4" w:space="0"/>
              <w:right w:val="single" w:color="000000" w:sz="12" w:space="0"/>
            </w:tcBorders>
            <w:shd w:val="clear" w:color="auto" w:fill="FFFFFF"/>
          </w:tcPr>
          <w:p w14:paraId="19B4C2A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相位/幅度一致性保障与 TDR 时域定位</w:t>
            </w:r>
          </w:p>
        </w:tc>
      </w:tr>
      <w:tr w14:paraId="6D8F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rPr>
          <w:jc w:val="center"/>
        </w:trPr>
        <w:tc>
          <w:tcPr>
            <w:tcBorders>
              <w:top w:val="single" w:color="000000" w:sz="4" w:space="0"/>
              <w:left w:val="single" w:color="000000" w:sz="12" w:space="0"/>
              <w:bottom w:val="single" w:color="000000" w:sz="12" w:space="0"/>
              <w:right w:val="single" w:color="000000" w:sz="4" w:space="0"/>
            </w:tcBorders>
            <w:shd w:val="clear" w:color="auto" w:fill="FFFFFF"/>
          </w:tcPr>
          <w:p w14:paraId="01F21B2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bCs w:val="0"/>
                <w:color w:val="000000"/>
              </w:rPr>
            </w:pPr>
            <w:r>
              <w:rPr>
                <w:b/>
                <w:bCs w:val="0"/>
                <w:color w:val="000000"/>
              </w:rPr>
              <w:t>AS5643 总线</w:t>
            </w:r>
          </w:p>
        </w:tc>
        <w:tc>
          <w:tcPr>
            <w:tcBorders>
              <w:top w:val="single" w:color="000000" w:sz="4" w:space="0"/>
              <w:left w:val="single" w:color="000000" w:sz="4" w:space="0"/>
              <w:bottom w:val="single" w:color="000000" w:sz="12" w:space="0"/>
              <w:right w:val="single" w:color="000000" w:sz="4" w:space="0"/>
            </w:tcBorders>
            <w:shd w:val="clear" w:color="auto" w:fill="FFFFFF"/>
          </w:tcPr>
          <w:p w14:paraId="7750874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FPGA 协议测试板卡</w:t>
            </w:r>
          </w:p>
        </w:tc>
        <w:tc>
          <w:tcPr>
            <w:tcBorders>
              <w:top w:val="single" w:color="000000" w:sz="4" w:space="0"/>
              <w:left w:val="single" w:color="000000" w:sz="4" w:space="0"/>
              <w:bottom w:val="single" w:color="000000" w:sz="12" w:space="0"/>
              <w:right w:val="single" w:color="000000" w:sz="4" w:space="0"/>
            </w:tcBorders>
            <w:shd w:val="clear" w:color="auto" w:fill="FFFFFF"/>
          </w:tcPr>
          <w:p w14:paraId="2DBDA37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定制物理层故障注入矩阵 (FIU)</w:t>
            </w:r>
          </w:p>
        </w:tc>
        <w:tc>
          <w:tcPr>
            <w:tcBorders>
              <w:top w:val="single" w:color="000000" w:sz="4" w:space="0"/>
              <w:left w:val="single" w:color="000000" w:sz="4" w:space="0"/>
              <w:bottom w:val="single" w:color="000000" w:sz="12" w:space="0"/>
              <w:right w:val="single" w:color="000000" w:sz="12" w:space="0"/>
            </w:tcBorders>
            <w:shd w:val="clear" w:color="auto" w:fill="FFFFFF"/>
          </w:tcPr>
          <w:p w14:paraId="79651F3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color w:val="000000"/>
              </w:rPr>
            </w:pPr>
            <w:r>
              <w:rPr>
                <w:b w:val="0"/>
                <w:color w:val="000000"/>
              </w:rPr>
              <w:t>90通道并发误码率检测与深度电气拉偏</w:t>
            </w:r>
          </w:p>
        </w:tc>
      </w:tr>
    </w:tbl>
    <w:p w14:paraId="31DE7366">
      <w:pPr>
        <w:spacing w:after="120"/>
        <w:ind w:left="0" w:leftChars="0" w:firstLine="0" w:firstLineChars="0"/>
        <w:jc w:val="left"/>
      </w:pPr>
      <w:bookmarkStart w:id="0" w:name="_GoBack"/>
      <w:bookmarkEnd w:id="0"/>
    </w:p>
    <w:sectPr>
      <w:pgSz w:w="11906" w:h="16838"/>
      <w:pgMar w:top="1440" w:right="1440" w:bottom="1440" w:left="144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B461"/>
    <w:multiLevelType w:val="singleLevel"/>
    <w:tmpl w:val="8ABCB461"/>
    <w:lvl w:ilvl="0" w:tentative="0">
      <w:start w:val="1"/>
      <w:numFmt w:val="decimal"/>
      <w:pStyle w:val="3"/>
      <w:lvlText w:val="(%1)"/>
      <w:lvlJc w:val="left"/>
      <w:pPr>
        <w:ind w:left="425" w:hanging="425"/>
      </w:pPr>
      <w:rPr>
        <w:rFonts w:hint="default"/>
      </w:rPr>
    </w:lvl>
  </w:abstractNum>
  <w:abstractNum w:abstractNumId="1">
    <w:nsid w:val="42236BC7"/>
    <w:multiLevelType w:val="singleLevel"/>
    <w:tmpl w:val="42236BC7"/>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footnotePr>
    <w:footnote w:id="0"/>
    <w:footnote w:id="1"/>
  </w:footnotePr>
  <w:endnotePr>
    <w:endnote w:id="0"/>
    <w:endnote w:id="1"/>
  </w:endnotePr>
  <w:compat>
    <w:useFELayout/>
    <w:compatSetting w:name="compatibilityMode" w:uri="http://schemas.microsoft.com/office/word" w:val="15"/>
  </w:compat>
  <w:rsids>
    <w:rsidRoot w:val="00000000"/>
    <w:rsid w:val="02A43233"/>
    <w:rsid w:val="1F4145DE"/>
    <w:rsid w:val="3EA04339"/>
    <w:rsid w:val="510663A4"/>
    <w:rsid w:val="797D10DD"/>
    <w:rsid w:val="7A5C5D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03" w:firstLineChars="200"/>
      <w:jc w:val="both"/>
    </w:pPr>
    <w:rPr>
      <w:rFonts w:ascii="Calibri" w:hAnsi="Calibri" w:eastAsia="宋体"/>
      <w:sz w:val="24"/>
      <w:szCs w:val="24"/>
    </w:rPr>
  </w:style>
  <w:style w:type="paragraph" w:styleId="2">
    <w:name w:val="heading 1"/>
    <w:next w:val="1"/>
    <w:qFormat/>
    <w:uiPriority w:val="0"/>
    <w:pPr>
      <w:numPr>
        <w:ilvl w:val="0"/>
        <w:numId w:val="1"/>
      </w:numPr>
      <w:ind w:firstLine="0"/>
      <w:jc w:val="left"/>
      <w:outlineLvl w:val="0"/>
    </w:pPr>
    <w:rPr>
      <w:rFonts w:ascii="Calibri" w:hAnsi="Calibri" w:eastAsia="黑体"/>
      <w:bCs/>
      <w:color w:val="000000"/>
      <w:sz w:val="28"/>
      <w:szCs w:val="40"/>
    </w:rPr>
  </w:style>
  <w:style w:type="paragraph" w:styleId="3">
    <w:name w:val="heading 2"/>
    <w:next w:val="1"/>
    <w:qFormat/>
    <w:uiPriority w:val="0"/>
    <w:pPr>
      <w:numPr>
        <w:ilvl w:val="0"/>
        <w:numId w:val="2"/>
      </w:numPr>
      <w:jc w:val="left"/>
      <w:outlineLvl w:val="1"/>
    </w:pPr>
    <w:rPr>
      <w:rFonts w:ascii="Calibri" w:hAnsi="Calibri" w:eastAsia="黑体"/>
      <w:bCs/>
      <w:color w:val="000000"/>
      <w:sz w:val="28"/>
      <w:szCs w:val="36"/>
    </w:rPr>
  </w:style>
  <w:style w:type="paragraph" w:styleId="4">
    <w:name w:val="heading 3"/>
    <w:next w:val="1"/>
    <w:qFormat/>
    <w:uiPriority w:val="0"/>
    <w:pPr>
      <w:jc w:val="left"/>
      <w:outlineLvl w:val="2"/>
    </w:pPr>
    <w:rPr>
      <w:rFonts w:ascii="Calibri" w:hAnsi="Calibri" w:eastAsia="黑体"/>
      <w:bCs/>
      <w:color w:val="000000"/>
      <w:sz w:val="28"/>
      <w:szCs w:val="32"/>
    </w:rPr>
  </w:style>
  <w:style w:type="paragraph" w:styleId="5">
    <w:name w:val="heading 4"/>
    <w:next w:val="1"/>
    <w:qFormat/>
    <w:uiPriority w:val="0"/>
    <w:pPr>
      <w:jc w:val="left"/>
    </w:pPr>
    <w:rPr>
      <w:b/>
      <w:bCs/>
      <w:color w:val="000000"/>
      <w:sz w:val="28"/>
      <w:szCs w:val="28"/>
    </w:rPr>
  </w:style>
  <w:style w:type="paragraph" w:styleId="6">
    <w:name w:val="heading 5"/>
    <w:next w:val="1"/>
    <w:qFormat/>
    <w:uiPriority w:val="0"/>
    <w:pPr>
      <w:jc w:val="left"/>
    </w:pPr>
    <w:rPr>
      <w:b/>
      <w:bCs/>
      <w:color w:val="000000"/>
      <w:sz w:val="24"/>
      <w:szCs w:val="24"/>
    </w:rPr>
  </w:style>
  <w:style w:type="paragraph" w:styleId="7">
    <w:name w:val="heading 6"/>
    <w:next w:val="1"/>
    <w:qFormat/>
    <w:uiPriority w:val="0"/>
    <w:pPr>
      <w:jc w:val="left"/>
    </w:pPr>
    <w:rPr>
      <w:b/>
      <w:bCs/>
      <w:color w:val="000000"/>
      <w:sz w:val="20"/>
      <w:szCs w:val="2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jc w:val="left"/>
    </w:pPr>
    <w:rPr>
      <w:sz w:val="20"/>
      <w:szCs w:val="20"/>
    </w:rPr>
  </w:style>
  <w:style w:type="paragraph" w:styleId="9">
    <w:name w:val="Title"/>
    <w:qFormat/>
    <w:uiPriority w:val="0"/>
    <w:pPr>
      <w:jc w:val="left"/>
    </w:pPr>
    <w:rPr>
      <w:sz w:val="56"/>
      <w:szCs w:val="56"/>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pPr>
      <w:jc w:val="left"/>
    </w:pPr>
    <w:rPr>
      <w:sz w:val="24"/>
      <w:szCs w:val="24"/>
    </w:rPr>
  </w:style>
  <w:style w:type="character" w:customStyle="1" w:styleId="15">
    <w:name w:val="Foot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1834</Words>
  <Characters>1934</Characters>
  <TotalTime>3</TotalTime>
  <ScaleCrop>false</ScaleCrop>
  <LinksUpToDate>false</LinksUpToDate>
  <CharactersWithSpaces>1995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2026-04-20T02:18:00Z</dcterms:created>
  <dc:creator>Un-named</dc:creator>
  <cp:lastModifiedBy>断水流大师兄</cp:lastModifiedBy>
  <dcterms:modified xsi:type="dcterms:W3CDTF">2026-04-20T02:43:19Z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eyJoZGlkIjoiMjNmYjE3OTY1ODBhMzI4MjFiMGRjZjQ3OTkyMjE5NDYiLCJ1c2VySWQiOiIyNTUxODg2MzMifQ==</vt:lpwstr>
  </property>
  <property fmtid="{D5CDD505-2E9C-101B-9397-08002B2CF9AE}" pid="3" name="KSOProductBuildVer">
    <vt:lpwstr>2052-12.1.0.25865</vt:lpwstr>
  </property>
  <property fmtid="{D5CDD505-2E9C-101B-9397-08002B2CF9AE}" pid="4" name="ICV">
    <vt:lpwstr>422E916520B04845B4E281A24F8CF7A3_13</vt:lpwstr>
  </property>
</Properties>
</file>