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48013">
      <w:pPr>
        <w:pStyle w:val="4"/>
        <w:rPr>
          <w:rFonts w:hint="eastAsia"/>
          <w:lang w:val="en-US" w:eastAsia="zh-Hans"/>
        </w:rPr>
      </w:pPr>
      <w:r>
        <w:br w:type="textWrapping"/>
      </w:r>
    </w:p>
    <w:p w14:paraId="68A4AF29">
      <w:pPr>
        <w:pStyle w:val="4"/>
        <w:outlineLvl w:val="0"/>
      </w:pPr>
      <w:r>
        <w:rPr>
          <w:b/>
          <w:sz w:val="48"/>
        </w:rPr>
        <w:t>电子化公开招标文件（2.0版）</w:t>
      </w:r>
    </w:p>
    <w:p w14:paraId="3F326F11">
      <w:pPr>
        <w:pStyle w:val="4"/>
        <w:jc w:val="center"/>
        <w:outlineLvl w:val="0"/>
      </w:pPr>
      <w:r>
        <w:rPr>
          <w:b/>
          <w:sz w:val="48"/>
        </w:rPr>
        <w:t>通用文件</w:t>
      </w:r>
    </w:p>
    <w:p w14:paraId="1B54E27C">
      <w:pPr>
        <w:pStyle w:val="4"/>
        <w:jc w:val="center"/>
        <w:outlineLvl w:val="1"/>
      </w:pPr>
      <w:r>
        <w:rPr>
          <w:b/>
          <w:sz w:val="36"/>
        </w:rPr>
        <w:t>（试行）</w:t>
      </w:r>
    </w:p>
    <w:p w14:paraId="18A5EE9B">
      <w:pPr>
        <w:pStyle w:val="4"/>
      </w:pPr>
      <w:r>
        <w:t xml:space="preserve"> </w:t>
      </w:r>
    </w:p>
    <w:p w14:paraId="74DB3C44">
      <w:pPr>
        <w:pStyle w:val="4"/>
        <w:jc w:val="center"/>
        <w:outlineLvl w:val="1"/>
      </w:pPr>
      <w:r>
        <w:rPr>
          <w:b/>
          <w:sz w:val="36"/>
        </w:rPr>
        <w:t>五、开标与评标</w:t>
      </w:r>
    </w:p>
    <w:p w14:paraId="634B3DF5">
      <w:pPr>
        <w:pStyle w:val="4"/>
        <w:jc w:val="left"/>
        <w:outlineLvl w:val="2"/>
      </w:pPr>
      <w:r>
        <w:rPr>
          <w:b/>
          <w:sz w:val="28"/>
        </w:rPr>
        <w:t>22.开标</w:t>
      </w:r>
    </w:p>
    <w:p w14:paraId="7EF18AE8">
      <w:pPr>
        <w:pStyle w:val="4"/>
        <w:jc w:val="both"/>
      </w:pPr>
      <w:r>
        <w:t>22.1成功提交投标文件的投标供应商不足3家的，一般不得组织开标，满足第22.6条情形的除外。采购机构按【投标供应商须知前附表】明确的时间、地点组织开标，投标供应商和有关方面代表参加。评审委员会成员不得参加开标大会。</w:t>
      </w:r>
    </w:p>
    <w:p w14:paraId="7669B671">
      <w:pPr>
        <w:pStyle w:val="4"/>
        <w:jc w:val="both"/>
      </w:pPr>
      <w:r>
        <w:t>22.2开标方式</w:t>
      </w:r>
    </w:p>
    <w:p w14:paraId="0AC9AC64">
      <w:pPr>
        <w:pStyle w:val="4"/>
        <w:jc w:val="both"/>
      </w:pPr>
      <w:r>
        <w:t>采购机构按【投标供应商须知前附表】规定的方式开标。</w:t>
      </w:r>
    </w:p>
    <w:p w14:paraId="7651D223">
      <w:pPr>
        <w:pStyle w:val="4"/>
        <w:jc w:val="both"/>
      </w:pPr>
      <w:r>
        <w:t>（1）不到场开标：采购机构按开标流程组织投标供应商进行远程解密、开标。投标供应商法定代表人或其授权代表在开标前登录物资服务招投标系统，进入开标大厅，在采购机构规定的时间内，使用加密该投标文件的同一数字证书或口令密码完成投标文件解密，参加开标过程并确认开标结果。投标供应商未参加开标的，视为认同开标结果。</w:t>
      </w:r>
    </w:p>
    <w:p w14:paraId="7588146F">
      <w:pPr>
        <w:pStyle w:val="4"/>
        <w:jc w:val="both"/>
      </w:pPr>
      <w:r>
        <w:t>（2）到现场开标：开标时，投标供应商法定代表人或其投标授权代表应当使用加密该投标文件的同一数字证书或口令密码参加开标解密。投标供应商未携带数字证书或忘记口令密码或其他原因导致未解密投标文件的，采购机构应当启用备用文件中的非加密电子投标文件，系统对非加密电子投标文件内容与加密电子投标文件进行匹配，内容一致的，可将该投标供应商非加密电子投标文件作正式投标文件，否则视为无效投标。</w:t>
      </w:r>
    </w:p>
    <w:p w14:paraId="1766968A">
      <w:pPr>
        <w:pStyle w:val="4"/>
        <w:jc w:val="both"/>
      </w:pPr>
      <w:r>
        <w:t>22.3采用不到场开标方式的，各投标供应商在参加开标前须自行对使用电脑的网络环境、驱动安装以及数字证书的有效性等进行检测，确保可以正常使用。</w:t>
      </w:r>
    </w:p>
    <w:p w14:paraId="050603E1">
      <w:pPr>
        <w:pStyle w:val="4"/>
        <w:jc w:val="both"/>
      </w:pPr>
      <w:r>
        <w:t>22.4采用质量优先法评审的，投标截止时间后，对“开标一览表（不含价格）”进行开标，在商务、技术评审后，对招标文件中规定的合格分或规定名次的投标供应商，并对其“开标一览表（含价格）”进行开标，公布投标报价。</w:t>
      </w:r>
    </w:p>
    <w:p w14:paraId="2AA77422">
      <w:pPr>
        <w:pStyle w:val="4"/>
        <w:jc w:val="both"/>
      </w:pPr>
      <w:r>
        <w:t>22.5开标结果确认。投标供应商对开标过程有异议的，应当在开标当场提出，采购机构当场答复。开标最后环节，系统自动生成《开标记录表》，发放给投标供应商签字确认：</w:t>
      </w:r>
    </w:p>
    <w:p w14:paraId="2406B35C">
      <w:pPr>
        <w:pStyle w:val="4"/>
        <w:jc w:val="both"/>
      </w:pPr>
      <w:r>
        <w:t>（1）不到场开标的，采购机构设置核对确认时限，由投标供应商远程核对确认，核对无误后，在规定时限内签章确认。投标供应商未在要求时限内签章确认的，视为认同开标结果。</w:t>
      </w:r>
    </w:p>
    <w:p w14:paraId="39A4C046">
      <w:pPr>
        <w:pStyle w:val="4"/>
        <w:jc w:val="both"/>
      </w:pPr>
      <w:r>
        <w:t>（2）到现场开标的，由采购机构打印《开标记录表》发放所有投标供应商代表进行核对，核对无误后所有投标供应商代表签字确认，将扫描件上传系统。</w:t>
      </w:r>
    </w:p>
    <w:p w14:paraId="36C6B386">
      <w:pPr>
        <w:pStyle w:val="4"/>
        <w:jc w:val="both"/>
      </w:pPr>
      <w:r>
        <w:t>22.6投标供应商或通过资格性、符合性审查的投标供应商只有2家且预算金额在500万元以下项目，或重新组织采购仍只有2家投标供应商响应的项目，采购机构应当组织评审委员会成员对招标文件进行论证，并根据论证情况按照以下方式处理：</w:t>
      </w:r>
    </w:p>
    <w:p w14:paraId="6C14C93A">
      <w:pPr>
        <w:pStyle w:val="4"/>
        <w:jc w:val="both"/>
      </w:pPr>
      <w:r>
        <w:t>（1）评审委员会认为招标文件无倾向性或排他性条款，供应商选择程序合规的，采购机构可以重新招标，也可以由采购机构报上级采购管理部门批准，并经采购单位同意后，在不变更投标供应商资格条件和采购需求的前提下，改为比照竞争性谈判方式组织。采购机构应当在评审报告中注明采购方式变更及后续评审情况。评审委员会或采购机构认为存在价格虚高风险的，可以提出审价方式定价结算。</w:t>
      </w:r>
    </w:p>
    <w:p w14:paraId="2505C5AE">
      <w:pPr>
        <w:pStyle w:val="4"/>
        <w:jc w:val="both"/>
      </w:pPr>
      <w:r>
        <w:t>（2）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78ED24C0">
      <w:pPr>
        <w:pStyle w:val="4"/>
        <w:jc w:val="left"/>
        <w:outlineLvl w:val="2"/>
      </w:pPr>
      <w:r>
        <w:rPr>
          <w:b/>
          <w:sz w:val="28"/>
        </w:rPr>
        <w:t>23.评审原则与方法</w:t>
      </w:r>
    </w:p>
    <w:p w14:paraId="42A2377D">
      <w:pPr>
        <w:pStyle w:val="4"/>
        <w:jc w:val="both"/>
      </w:pPr>
      <w:r>
        <w:t>23.1评审原则</w:t>
      </w:r>
    </w:p>
    <w:p w14:paraId="0E4241DB">
      <w:pPr>
        <w:pStyle w:val="4"/>
        <w:jc w:val="both"/>
      </w:pPr>
      <w:r>
        <w:t>（1）评审活动遵循公平、公正、科学和择优的原则。</w:t>
      </w:r>
    </w:p>
    <w:p w14:paraId="396B054D">
      <w:pPr>
        <w:pStyle w:val="4"/>
        <w:jc w:val="both"/>
      </w:pPr>
      <w:r>
        <w:t>（2）严格依据招标文件规定的评审方法、程序和标准评审。不得以投票表决等形式修改招标文件规定的评审方法、程序和标准；招标文件没有规定的评审方法、程序和标准，不得作为评审依据。</w:t>
      </w:r>
    </w:p>
    <w:p w14:paraId="1AA07223">
      <w:pPr>
        <w:pStyle w:val="4"/>
        <w:jc w:val="both"/>
      </w:pPr>
      <w:r>
        <w:t>（3）对所有投标文件的评审依据和评审尺度保持一致。</w:t>
      </w:r>
    </w:p>
    <w:p w14:paraId="76926CCE">
      <w:pPr>
        <w:pStyle w:val="4"/>
        <w:jc w:val="both"/>
      </w:pPr>
      <w:r>
        <w:t>（4）对招标文件和投标文件的解释澄清，在不改变文件原义的前提下，应当以有利于投标供应商为原则。</w:t>
      </w:r>
    </w:p>
    <w:p w14:paraId="3C58BE96">
      <w:pPr>
        <w:pStyle w:val="4"/>
        <w:jc w:val="both"/>
      </w:pPr>
      <w:r>
        <w:t>23.2评审方法</w:t>
      </w:r>
    </w:p>
    <w:p w14:paraId="3AD24A01">
      <w:pPr>
        <w:pStyle w:val="4"/>
        <w:jc w:val="both"/>
      </w:pPr>
      <w:r>
        <w:t>采购机构在【投标供应商须知前附表】中明确采用下列一种评审方法：</w:t>
      </w:r>
    </w:p>
    <w:p w14:paraId="02976BBB">
      <w:pPr>
        <w:pStyle w:val="4"/>
        <w:jc w:val="both"/>
      </w:pPr>
      <w:r>
        <w:t>（1）综合评分法，是指投标文件满足招标文件资格性和符合性要求，将按照评审标准综合评审得分最高的投标供应商，作为预中标供应商的评审方法。采用百分制评分。</w:t>
      </w:r>
    </w:p>
    <w:p w14:paraId="178861FA">
      <w:pPr>
        <w:pStyle w:val="4"/>
        <w:jc w:val="both"/>
      </w:pPr>
      <w:r>
        <w:t>（2）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1DF90D6F">
      <w:pPr>
        <w:pStyle w:val="4"/>
        <w:jc w:val="both"/>
      </w:pPr>
      <w:r>
        <w:t>（3）经评审的最低价法，是指投标文件满足招标文件资格性和符合性要求，将报价最低的投标供应商，作为预中标供应商的评审方法。</w:t>
      </w:r>
    </w:p>
    <w:p w14:paraId="15BD1E82">
      <w:pPr>
        <w:pStyle w:val="4"/>
        <w:jc w:val="left"/>
        <w:outlineLvl w:val="2"/>
      </w:pPr>
      <w:r>
        <w:rPr>
          <w:b/>
          <w:sz w:val="28"/>
        </w:rPr>
        <w:t>24.评审标准</w:t>
      </w:r>
    </w:p>
    <w:p w14:paraId="41EC7254">
      <w:pPr>
        <w:pStyle w:val="4"/>
        <w:jc w:val="both"/>
      </w:pPr>
      <w:r>
        <w:t>24.1资格性审查标准，见【投标供应商须知前附表】。</w:t>
      </w:r>
    </w:p>
    <w:p w14:paraId="42B727AF">
      <w:pPr>
        <w:pStyle w:val="4"/>
        <w:jc w:val="both"/>
      </w:pPr>
      <w:r>
        <w:t>24.2符合性审查标准，见【投标供应商须知前附表】。</w:t>
      </w:r>
    </w:p>
    <w:p w14:paraId="1409C4D7">
      <w:pPr>
        <w:pStyle w:val="4"/>
        <w:jc w:val="both"/>
      </w:pPr>
      <w:r>
        <w:t>24.3采用综合评分法/质量优先法评审：</w:t>
      </w:r>
    </w:p>
    <w:p w14:paraId="05314E35">
      <w:pPr>
        <w:pStyle w:val="4"/>
        <w:jc w:val="both"/>
      </w:pPr>
      <w:r>
        <w:t>（1）商务评审标准，见【投标供应商须知前附表】。</w:t>
      </w:r>
    </w:p>
    <w:p w14:paraId="589DAD5B">
      <w:pPr>
        <w:pStyle w:val="4"/>
        <w:jc w:val="both"/>
      </w:pPr>
      <w:r>
        <w:t>（2）技术评审标准，见【投标供应商须知前附表】。</w:t>
      </w:r>
    </w:p>
    <w:p w14:paraId="1DD95F89">
      <w:pPr>
        <w:pStyle w:val="4"/>
        <w:jc w:val="both"/>
      </w:pPr>
      <w:r>
        <w:t>（3）价格评审标准，见【投标供应商须知前附表】。</w:t>
      </w:r>
    </w:p>
    <w:p w14:paraId="3D2FFB69">
      <w:pPr>
        <w:pStyle w:val="4"/>
        <w:jc w:val="left"/>
        <w:outlineLvl w:val="2"/>
      </w:pPr>
      <w:r>
        <w:rPr>
          <w:b/>
          <w:sz w:val="28"/>
        </w:rPr>
        <w:t>25.评审程序</w:t>
      </w:r>
    </w:p>
    <w:p w14:paraId="4F8C134C">
      <w:pPr>
        <w:pStyle w:val="4"/>
        <w:jc w:val="both"/>
      </w:pPr>
      <w:r>
        <w:t>25.1评审按照资格性审查、召开评审预备会、审阅招标文件、符合性审查、商务技术评审、价格评审、复核评审结果、出具评审报告、宣布评审结果、公示评审结果的基本程序组织实施。</w:t>
      </w:r>
    </w:p>
    <w:p w14:paraId="6B9853EE">
      <w:pPr>
        <w:pStyle w:val="4"/>
        <w:jc w:val="both"/>
      </w:pPr>
      <w:r>
        <w:t>25.2本项目进入开标环节后，因不可抗力导致无法线上评审的，采购机构报经采购管理部门批准后，开启投标供应商提交的PDF版电子投标文件，按照招标文件规定的评审程序、评审标准和评审方法组织线下评审。评审结果有效。</w:t>
      </w:r>
    </w:p>
    <w:p w14:paraId="73CE4705">
      <w:pPr>
        <w:pStyle w:val="4"/>
        <w:jc w:val="both"/>
      </w:pPr>
      <w:r>
        <w:t>25.3因投标供应商制作投标文件时，未正确标定响应位置可能造成的风险，由投标供应商自行承担。</w:t>
      </w:r>
    </w:p>
    <w:p w14:paraId="74AD7173">
      <w:pPr>
        <w:pStyle w:val="4"/>
        <w:jc w:val="left"/>
        <w:outlineLvl w:val="2"/>
      </w:pPr>
      <w:r>
        <w:rPr>
          <w:b/>
          <w:sz w:val="28"/>
        </w:rPr>
        <w:t>26.资格性审查</w:t>
      </w:r>
    </w:p>
    <w:p w14:paraId="0D0B8509">
      <w:pPr>
        <w:pStyle w:val="4"/>
        <w:jc w:val="both"/>
      </w:pPr>
      <w:r>
        <w:t>26.1开标后，采购机构依据招标文件规定的资格性审查标准，对投标供应商的资格进行审查。</w:t>
      </w:r>
    </w:p>
    <w:p w14:paraId="6754AD23">
      <w:pPr>
        <w:pStyle w:val="4"/>
        <w:jc w:val="both"/>
      </w:pPr>
      <w:r>
        <w:t>（1）通过资格性审查的投标供应商进入后续评审；未通过资格性审查的投标供应商不得进入后续评审。</w:t>
      </w:r>
    </w:p>
    <w:p w14:paraId="3F697BBB">
      <w:pPr>
        <w:pStyle w:val="4"/>
        <w:jc w:val="both"/>
      </w:pPr>
      <w:r>
        <w:t>（2）审查人员应当对资格性审查结果签字或签章确认，并提交评审委员会。</w:t>
      </w:r>
    </w:p>
    <w:p w14:paraId="09F36405">
      <w:pPr>
        <w:pStyle w:val="4"/>
        <w:jc w:val="both"/>
      </w:pPr>
      <w:r>
        <w:t>（3）审查人员应当当场向未通过资格性审查的投标供应商告知审查结果和未通过原因，投标供应商签字或签章确认；拒绝签字或签章确认的，不影响资格性审查结果，审查人员如实记录并存入采购档案。投标供应商有疑义的，审查人员应当当场解答。</w:t>
      </w:r>
    </w:p>
    <w:p w14:paraId="33601FCE">
      <w:pPr>
        <w:pStyle w:val="4"/>
        <w:jc w:val="both"/>
      </w:pPr>
      <w:r>
        <w:t>26.2招标过程中，供应商发生合并、分立或破产等重大变化时，应当及时书面告知采购机构。</w:t>
      </w:r>
    </w:p>
    <w:p w14:paraId="1346C2D8">
      <w:pPr>
        <w:pStyle w:val="4"/>
        <w:jc w:val="left"/>
        <w:outlineLvl w:val="2"/>
      </w:pPr>
      <w:r>
        <w:rPr>
          <w:b/>
          <w:sz w:val="28"/>
        </w:rPr>
        <w:t>27.召开评审预备会</w:t>
      </w:r>
    </w:p>
    <w:p w14:paraId="3C672464">
      <w:pPr>
        <w:pStyle w:val="4"/>
        <w:jc w:val="both"/>
      </w:pPr>
      <w:r>
        <w:t>27.1采购机构组织评审委员会召开评审预备会。采购单位或采购机构介绍采购项目情况，采购机构重点说明评审标准和评审程序，并介绍招标文件主要内容和质疑答复情况。评审委员会全体成员按照少数服从多数的原则，实名投票推选评审委员会组长。</w:t>
      </w:r>
    </w:p>
    <w:p w14:paraId="7813E7DC">
      <w:pPr>
        <w:pStyle w:val="4"/>
        <w:jc w:val="left"/>
        <w:outlineLvl w:val="2"/>
      </w:pPr>
      <w:r>
        <w:rPr>
          <w:b/>
          <w:sz w:val="28"/>
        </w:rPr>
        <w:t>28.审阅招标文件</w:t>
      </w:r>
    </w:p>
    <w:p w14:paraId="1CBB265E">
      <w:pPr>
        <w:pStyle w:val="4"/>
        <w:jc w:val="both"/>
      </w:pPr>
      <w:r>
        <w:t>28.1评审委员会在评审开始前审阅招标文件，重点熟悉理解招标文件符合性审查要求、无效投标条款和评审标准等内容。</w:t>
      </w:r>
    </w:p>
    <w:p w14:paraId="27E199E3">
      <w:pPr>
        <w:pStyle w:val="4"/>
        <w:jc w:val="both"/>
      </w:pPr>
      <w:r>
        <w:t>28.2评审委员会成员对招标文件相关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073FE24C">
      <w:pPr>
        <w:pStyle w:val="4"/>
        <w:jc w:val="left"/>
        <w:outlineLvl w:val="2"/>
      </w:pPr>
      <w:r>
        <w:rPr>
          <w:b/>
          <w:sz w:val="28"/>
        </w:rPr>
        <w:t>29.符合性审查</w:t>
      </w:r>
    </w:p>
    <w:p w14:paraId="517DE4BF">
      <w:pPr>
        <w:pStyle w:val="4"/>
        <w:jc w:val="both"/>
      </w:pPr>
      <w:r>
        <w:t>29.1投标文件的偏离与实质性响应：</w:t>
      </w:r>
    </w:p>
    <w:p w14:paraId="29F4AE3A">
      <w:pPr>
        <w:pStyle w:val="4"/>
        <w:jc w:val="both"/>
      </w:pPr>
      <w:r>
        <w:t>（1）招标文件中用“★”号标明的条款不允许负偏离，投标供应商应当作出实质性响应，未作实质性响应的视为无效投标。</w:t>
      </w:r>
    </w:p>
    <w:p w14:paraId="71E910B7">
      <w:pPr>
        <w:pStyle w:val="4"/>
        <w:jc w:val="both"/>
      </w:pPr>
      <w:r>
        <w:t>（2）投标文件中非“★”号标明的条款负偏离的项数应当符合【投标供应商须知前附表】明确的要求，否则视为无效投标。</w:t>
      </w:r>
    </w:p>
    <w:p w14:paraId="34E4D057">
      <w:pPr>
        <w:pStyle w:val="4"/>
        <w:jc w:val="both"/>
      </w:pPr>
      <w:r>
        <w:t>29.2采购机构资格性审查结束后，评审委员会应当依据招标文件规定的符合性审查标准，对资格性审查合格的投标供应商的投标文件进行符合性审查，确定其是否满足招标文件的实质性要求。</w:t>
      </w:r>
    </w:p>
    <w:p w14:paraId="0B8CBA2A">
      <w:pPr>
        <w:pStyle w:val="4"/>
        <w:jc w:val="both"/>
      </w:pPr>
      <w:r>
        <w:t>（1）不得以招标文件未明确的内容和非实质性条款判定投标供应商投标无效。</w:t>
      </w:r>
    </w:p>
    <w:p w14:paraId="30CAD89E">
      <w:pPr>
        <w:pStyle w:val="4"/>
        <w:jc w:val="both"/>
      </w:pPr>
      <w:r>
        <w:t>（2）符合性审查不合格的，不得进入后续评审。评审委员会组长当场向未通过符合性审查的投标供应商告知审查结果和未通过原因，投标供应商签字或签章确认。投标供应商有疑义的，评审委员会应当当场解答。投标供应商拒绝签字或签章确认的，不影响符合性审查结果，评审委员会如实在评审报告中记录。</w:t>
      </w:r>
    </w:p>
    <w:p w14:paraId="77ABF9A2">
      <w:pPr>
        <w:pStyle w:val="4"/>
        <w:jc w:val="left"/>
        <w:outlineLvl w:val="2"/>
      </w:pPr>
      <w:r>
        <w:rPr>
          <w:b/>
          <w:sz w:val="28"/>
        </w:rPr>
        <w:t>30.解释与澄清</w:t>
      </w:r>
    </w:p>
    <w:p w14:paraId="11E8E506">
      <w:pPr>
        <w:pStyle w:val="4"/>
        <w:jc w:val="both"/>
      </w:pPr>
      <w:r>
        <w:t>30.1对于投标文件中含义不明确、同类问题表述不一致或有明显文字、计算错误的内容，评审委员会应当要求投标供应商作出书面澄清、说明或补正，并给予其必要的反馈时间。</w:t>
      </w:r>
    </w:p>
    <w:p w14:paraId="408D4939">
      <w:pPr>
        <w:pStyle w:val="4"/>
        <w:jc w:val="both"/>
      </w:pPr>
      <w:r>
        <w:t>30.2投标供应商的澄清、说明或补正应当由法定代表人或授权代表签字。未签字的，澄清、说明或补正内容无效。</w:t>
      </w:r>
    </w:p>
    <w:p w14:paraId="66270796">
      <w:pPr>
        <w:pStyle w:val="4"/>
        <w:jc w:val="both"/>
      </w:pPr>
      <w:r>
        <w:t>30.3有效的书面澄清材料，是投标文件的补充材料，成为投标文件的组成部分。</w:t>
      </w:r>
    </w:p>
    <w:p w14:paraId="069E2B34">
      <w:pPr>
        <w:pStyle w:val="4"/>
        <w:jc w:val="both"/>
      </w:pPr>
      <w:r>
        <w:t>30.4投标文件出现下列情形，不需要投标供应商澄清，按照下列规定进行算术修正：</w:t>
      </w:r>
    </w:p>
    <w:p w14:paraId="79221FD5">
      <w:pPr>
        <w:pStyle w:val="4"/>
        <w:jc w:val="both"/>
      </w:pPr>
      <w:r>
        <w:t>（1）投标文件中开标一览表内容与投标文件中相应内容不一致的，以开标一览表为准。</w:t>
      </w:r>
    </w:p>
    <w:p w14:paraId="02F71305">
      <w:pPr>
        <w:pStyle w:val="4"/>
        <w:jc w:val="both"/>
      </w:pPr>
      <w:r>
        <w:t>（2）投标文件的大写金额和小写金额不一致的，以大写金额为准，但大写金额出现文字错误，导致金额无法判断的，以小写金额为准。</w:t>
      </w:r>
    </w:p>
    <w:p w14:paraId="44CEACC4">
      <w:pPr>
        <w:pStyle w:val="4"/>
        <w:jc w:val="both"/>
      </w:pPr>
      <w:r>
        <w:t>（3）总价金额与按照单价汇总金额不一致的，以单价汇总金额为准，但是单价汇总金额出现计算错误且明显人为工作失误的，以总价金额为准；单价金额小数点有明显错位的，以总价金额为准。</w:t>
      </w:r>
    </w:p>
    <w:p w14:paraId="3A8FE2E3">
      <w:pPr>
        <w:pStyle w:val="4"/>
        <w:jc w:val="both"/>
      </w:pPr>
      <w:r>
        <w:t>（4）不同语言文本投标文件的解释有异议的，以中文文本为准。</w:t>
      </w:r>
    </w:p>
    <w:p w14:paraId="25FF3412">
      <w:pPr>
        <w:pStyle w:val="4"/>
        <w:jc w:val="both"/>
      </w:pPr>
      <w:r>
        <w:t>同时出现本条第（2）（3）项情形的，按照第（2）项规定修正。修正后的内容经投标供应商确认后继续评审，投标供应商不确认的，其投标无效。</w:t>
      </w:r>
    </w:p>
    <w:p w14:paraId="681115FA">
      <w:pPr>
        <w:pStyle w:val="4"/>
        <w:jc w:val="both"/>
      </w:pPr>
      <w:r>
        <w:t>30.5评审委员会组织澄清时不得出现下列情形：</w:t>
      </w:r>
    </w:p>
    <w:p w14:paraId="7C85BED1">
      <w:pPr>
        <w:pStyle w:val="4"/>
        <w:jc w:val="both"/>
      </w:pPr>
      <w:r>
        <w:t>（1）拒绝接受采购机构或采购单位对招标文件的解释、说明；</w:t>
      </w:r>
    </w:p>
    <w:p w14:paraId="00C4B2F7">
      <w:pPr>
        <w:pStyle w:val="4"/>
        <w:jc w:val="both"/>
      </w:pPr>
      <w:r>
        <w:t>（2）要求或接受投标供应商作出超出投标文件的范围、与投标文件原义不同，或改变投标文件实质性内容的澄清、说明、补正；</w:t>
      </w:r>
    </w:p>
    <w:p w14:paraId="3B61E0C7">
      <w:pPr>
        <w:pStyle w:val="4"/>
        <w:jc w:val="both"/>
      </w:pPr>
      <w:r>
        <w:t>（3）暗示或诱导投标供应商作出澄清、说明、补正；</w:t>
      </w:r>
    </w:p>
    <w:p w14:paraId="71929467">
      <w:pPr>
        <w:pStyle w:val="4"/>
        <w:jc w:val="both"/>
      </w:pPr>
      <w:r>
        <w:t>（4）接受投标供应商主动提出的澄清、说明、补正。</w:t>
      </w:r>
    </w:p>
    <w:p w14:paraId="22E43703">
      <w:pPr>
        <w:pStyle w:val="4"/>
        <w:jc w:val="both"/>
      </w:pPr>
      <w:r>
        <w:t>30.6评审委员会不得要求投标供应商澄清下列内容：</w:t>
      </w:r>
    </w:p>
    <w:p w14:paraId="1452DFBA">
      <w:pPr>
        <w:pStyle w:val="4"/>
        <w:jc w:val="both"/>
      </w:pPr>
      <w:r>
        <w:t>（1）开标时未宣读的投标价格、价格折扣、招标文件允许提供的备选投标方案等实质性内容；</w:t>
      </w:r>
    </w:p>
    <w:p w14:paraId="27D4D8CB">
      <w:pPr>
        <w:pStyle w:val="4"/>
        <w:jc w:val="both"/>
      </w:pPr>
      <w:r>
        <w:t>（2）投标文件中不响应招标文件规定的技术参数指标和商务要求；</w:t>
      </w:r>
    </w:p>
    <w:p w14:paraId="31331CCD">
      <w:pPr>
        <w:pStyle w:val="4"/>
        <w:jc w:val="both"/>
      </w:pPr>
      <w:r>
        <w:t>（3）投标文件中未提供的资格性、符合性审查要求的证明材料。</w:t>
      </w:r>
    </w:p>
    <w:p w14:paraId="6DD13C8C">
      <w:pPr>
        <w:pStyle w:val="4"/>
        <w:jc w:val="left"/>
        <w:outlineLvl w:val="2"/>
      </w:pPr>
      <w:r>
        <w:rPr>
          <w:b/>
          <w:sz w:val="28"/>
        </w:rPr>
        <w:t>31.商务、技术评审</w:t>
      </w:r>
    </w:p>
    <w:p w14:paraId="3E6CC628">
      <w:pPr>
        <w:pStyle w:val="4"/>
        <w:jc w:val="both"/>
      </w:pPr>
      <w:r>
        <w:t>评审委员会按照招标文件中明确的评审方法和标准，对资格性和符合性审查合格的投标供应商提交的投标文件（不含价格文件）进行商务和技术评审。</w:t>
      </w:r>
    </w:p>
    <w:p w14:paraId="31197901">
      <w:pPr>
        <w:pStyle w:val="4"/>
        <w:jc w:val="both"/>
      </w:pPr>
      <w:r>
        <w:t>评审委员会应当按照招标文件要求，依据投标文件对投标供应商填写的内容进行审核确认。其中，商务评委按照商务评审标准作商务评审，技术评委按照技术评审标准进行技术评审。系统依据评审委员会成员线上评审情况生成评审工作底稿，详细记录评分情况，以及形成过程、计算依据和投标供应商排序情况，由成员签字确认。评审委员会成员不得集体商议、沟通、协调，商务、技术评审方面存有歧义的除外。</w:t>
      </w:r>
    </w:p>
    <w:p w14:paraId="2A461C79">
      <w:pPr>
        <w:pStyle w:val="4"/>
        <w:jc w:val="both"/>
      </w:pPr>
      <w:r>
        <w:t>31.1采用综合评分法/质量优先法评审时：</w:t>
      </w:r>
    </w:p>
    <w:p w14:paraId="293F14F7">
      <w:pPr>
        <w:pStyle w:val="4"/>
        <w:jc w:val="both"/>
      </w:pPr>
      <w:r>
        <w:t>商务、技术评分项响应评审。评审委员会按招标文件规定的评审标准，对商务、技术评分项计算得分。</w:t>
      </w:r>
    </w:p>
    <w:p w14:paraId="02F6111C">
      <w:pPr>
        <w:pStyle w:val="4"/>
        <w:jc w:val="both"/>
      </w:pPr>
      <w:r>
        <w:t>评审委员会成员对同一投标供应商的商务或技术的评分，偏离评审委员会全体成员的评分均值20%以上的，以其他评委的评分均值作为该成员的评分；评审委员会所有成员的评分均偏离20%以上的，以全体成员的评分均值计算。</w:t>
      </w:r>
    </w:p>
    <w:p w14:paraId="359A53D6">
      <w:pPr>
        <w:pStyle w:val="4"/>
        <w:jc w:val="both"/>
      </w:pPr>
      <w:r>
        <w:t>采用质量优先法的具体评审流程：先不考虑价格因素，对通过资格性和符合性审查的投标供应商，依据商务、技术评审标准进行评审后，现场宣布商务、技术得分和技术排名，并公布按照【投标供应商须知前附表】明确的合格分或规定名次淘汰的技术评审未达到合格分或得分排名靠后的投标供应商，第二次开标后，按照价格评审标准进行评审。</w:t>
      </w:r>
    </w:p>
    <w:p w14:paraId="69F4AD70">
      <w:pPr>
        <w:pStyle w:val="4"/>
        <w:jc w:val="both"/>
      </w:pPr>
      <w:r>
        <w:t>31.2采用经评审的最低价法评审时：</w:t>
      </w:r>
    </w:p>
    <w:p w14:paraId="5AC1A20A">
      <w:pPr>
        <w:pStyle w:val="4"/>
        <w:jc w:val="both"/>
      </w:pPr>
      <w:r>
        <w:t>评审委员会按招标文件规定的评审标准，对商务、技术指标是否实质性响应进行判定；必要时，对技术指标优劣进行排序。</w:t>
      </w:r>
    </w:p>
    <w:p w14:paraId="643566A3">
      <w:pPr>
        <w:pStyle w:val="4"/>
        <w:jc w:val="both"/>
      </w:pPr>
      <w:r>
        <w:t>31.3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158EE60A">
      <w:pPr>
        <w:pStyle w:val="4"/>
        <w:jc w:val="left"/>
        <w:outlineLvl w:val="2"/>
      </w:pPr>
      <w:r>
        <w:rPr>
          <w:b/>
          <w:sz w:val="28"/>
        </w:rPr>
        <w:t>32.价格评审</w:t>
      </w:r>
    </w:p>
    <w:p w14:paraId="7DAD6C48">
      <w:pPr>
        <w:pStyle w:val="4"/>
        <w:jc w:val="both"/>
      </w:pPr>
      <w:r>
        <w:t>商务、技术评审结束后，系统将“价格文件”提交评审委员会。评审委员会组织价格评审，核对报价内容是否准确、合理。</w:t>
      </w:r>
    </w:p>
    <w:p w14:paraId="1387110E">
      <w:pPr>
        <w:pStyle w:val="4"/>
        <w:jc w:val="both"/>
      </w:pPr>
      <w:r>
        <w:t>32.1综合评分法和质量优先法的价格分的计算方法，采用低价优先法或基准价法。</w:t>
      </w:r>
    </w:p>
    <w:p w14:paraId="3BE5B981">
      <w:pPr>
        <w:pStyle w:val="4"/>
        <w:jc w:val="both"/>
      </w:pPr>
      <w:r>
        <w:t>（1）低价优先法。以满足招标文件实质性要求的投标供应商最低报价为评审基准价，其价格分为满分（标准分值）。其他投标供应商的价格分按照下列公式计算：</w:t>
      </w:r>
    </w:p>
    <w:p w14:paraId="0A4F30DA">
      <w:pPr>
        <w:pStyle w:val="4"/>
        <w:jc w:val="both"/>
      </w:pPr>
      <w:r>
        <w:t>价格得分=（评审基准价/报价）×标准分值</w:t>
      </w:r>
    </w:p>
    <w:p w14:paraId="49CBC596">
      <w:pPr>
        <w:pStyle w:val="4"/>
        <w:jc w:val="both"/>
      </w:pPr>
      <w:r>
        <w:t>（2）基准价法。以满足招标文件实质性要求所有投标供应商有效报价的算术平均值为评审基准价，投标供应商报价等于评审基准价的为满分，其他报价按照与评审基准价的偏离度计算得分。不得去掉有效报价的最高报价和最低报价。评审基准价的偏离度和分差设置，在专用文件中明确。</w:t>
      </w:r>
    </w:p>
    <w:p w14:paraId="591EC048">
      <w:pPr>
        <w:pStyle w:val="4"/>
        <w:jc w:val="both"/>
      </w:pPr>
      <w:r>
        <w:t>如有第30.4条出现的算术修正，以算术修正后的价格计算评审基准价和投标报价。</w:t>
      </w:r>
    </w:p>
    <w:p w14:paraId="3C201498">
      <w:pPr>
        <w:pStyle w:val="4"/>
        <w:jc w:val="both"/>
      </w:pPr>
      <w:r>
        <w:t>32.2经评审的最低价法的价格评审，按照投标报价由低到高顺序排列。</w:t>
      </w:r>
    </w:p>
    <w:p w14:paraId="257BD631">
      <w:pPr>
        <w:pStyle w:val="4"/>
        <w:jc w:val="both"/>
      </w:pPr>
      <w:r>
        <w:t>32.3评审委员会认为投标供应商报价低于其他所有通过资格性、符合性审查的投标供应商平均报价40%，有可能影响服务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6CD601B8">
      <w:pPr>
        <w:pStyle w:val="4"/>
        <w:jc w:val="both"/>
      </w:pPr>
      <w:r>
        <w:t>32.4投标供应商投标报价超过预算的，按照下列方式处理：</w:t>
      </w:r>
    </w:p>
    <w:p w14:paraId="242011F1">
      <w:pPr>
        <w:pStyle w:val="4"/>
        <w:jc w:val="both"/>
      </w:pPr>
      <w:r>
        <w:t>（1）投标供应商投标报价均超预算的，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369A689C">
      <w:pPr>
        <w:pStyle w:val="4"/>
        <w:jc w:val="both"/>
      </w:pPr>
      <w:r>
        <w:t>（2）部分投标供应商投标报价超预算的，应当继续评审。评审后，预中标供应商报价未超预算的，评审结果有效。预中标供应商报价超预算，经采购单位书面确认能够追加的，评审结果有效；不能追加的，采购单位可以按照评审排名结果依次递补确定中标供应商，但剩余有效投标供应商数量应当达到需要递补投标供应商数量的2倍，否则由采购机构重新组织采购。</w:t>
      </w:r>
    </w:p>
    <w:p w14:paraId="05EE1158">
      <w:pPr>
        <w:pStyle w:val="4"/>
        <w:jc w:val="both"/>
      </w:pPr>
      <w:r>
        <w:t>（3）同一采购项目中的部分服务单价或金额超预算，但中标总金额未超预算的，视为采购项目未超预算。</w:t>
      </w:r>
    </w:p>
    <w:p w14:paraId="0B7B0705">
      <w:pPr>
        <w:pStyle w:val="4"/>
        <w:jc w:val="left"/>
        <w:outlineLvl w:val="2"/>
      </w:pPr>
      <w:r>
        <w:rPr>
          <w:b/>
          <w:sz w:val="28"/>
        </w:rPr>
        <w:t>33.汇总得分</w:t>
      </w:r>
    </w:p>
    <w:p w14:paraId="66657A6E">
      <w:pPr>
        <w:pStyle w:val="4"/>
        <w:jc w:val="both"/>
      </w:pPr>
      <w:r>
        <w:t>33.1投标供应商评审总得分为投标报价、商务、技术评分项得分之和。评分分值计算保留小数点后两位，小数点后第三位“四舍五入”。</w:t>
      </w:r>
    </w:p>
    <w:p w14:paraId="30054404">
      <w:pPr>
        <w:pStyle w:val="4"/>
        <w:jc w:val="left"/>
        <w:outlineLvl w:val="2"/>
      </w:pPr>
      <w:r>
        <w:rPr>
          <w:b/>
          <w:sz w:val="28"/>
        </w:rPr>
        <w:t>34.复核评审结果</w:t>
      </w:r>
    </w:p>
    <w:p w14:paraId="0479380C">
      <w:pPr>
        <w:pStyle w:val="4"/>
        <w:jc w:val="both"/>
      </w:pPr>
      <w:r>
        <w:t>34.1评审委员会对评审评分情况核对，重点核对客观分值评分错误、分值汇总计算错误、报价较高且预中标或报价较低且未中标等情形，并在评审报告中说明原因。</w:t>
      </w:r>
    </w:p>
    <w:p w14:paraId="1393EFC8">
      <w:pPr>
        <w:pStyle w:val="4"/>
        <w:jc w:val="both"/>
      </w:pPr>
      <w:r>
        <w:t>34.2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066EBE2B">
      <w:pPr>
        <w:pStyle w:val="4"/>
        <w:jc w:val="left"/>
        <w:outlineLvl w:val="2"/>
      </w:pPr>
      <w:r>
        <w:rPr>
          <w:b/>
          <w:sz w:val="28"/>
        </w:rPr>
        <w:t>35.推荐预中标供应商</w:t>
      </w:r>
    </w:p>
    <w:p w14:paraId="1F44C31A">
      <w:pPr>
        <w:pStyle w:val="4"/>
        <w:jc w:val="both"/>
      </w:pPr>
      <w:r>
        <w:t>评审委员会依据经过复核的评审结果，对投标供应商进行排序并推荐预中标供应商。</w:t>
      </w:r>
    </w:p>
    <w:p w14:paraId="735D23D9">
      <w:pPr>
        <w:pStyle w:val="4"/>
        <w:jc w:val="both"/>
      </w:pPr>
      <w:r>
        <w:t>35.1采用综合评分法、质量优先法评审时，评审委员会按照商务、技术和价格评审总得分由高到低顺序排列，得分最高的投标供应商作为预中标供应商；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2266C495">
      <w:pPr>
        <w:pStyle w:val="4"/>
        <w:jc w:val="both"/>
      </w:pPr>
      <w:r>
        <w:t>采用经评审的最低价法时，评审委员会将有效投标报价由低到高顺序排列。最低报价的投标供应商作为预中标供应商。报价相同的，按照技术指标优劣顺序排序；无法按照技术指标优劣顺序排序的，按照专用文件规定的方式推荐预中标供应商。专用文件未明确的，采取随机抽取方式确定。评审委员会认定为低价恶意竞争的，视为无效投标。</w:t>
      </w:r>
    </w:p>
    <w:p w14:paraId="721AC325">
      <w:pPr>
        <w:pStyle w:val="4"/>
        <w:jc w:val="both"/>
      </w:pPr>
      <w:r>
        <w:t>35.2投标供应商报价高于全体有效投标供应商平均报价40%以上的，不得推荐为预中标供应商。采用综合评分法或质量优先法评审时，投标供应商的商务和技术得分低于所有有效投标供应商商务和技术得分平均值30%以上的投标供应商，不得推荐为预中标供应商。</w:t>
      </w:r>
    </w:p>
    <w:p w14:paraId="07FC28F8">
      <w:pPr>
        <w:pStyle w:val="4"/>
        <w:jc w:val="both"/>
      </w:pPr>
      <w:r>
        <w:t>35.3中标供应商数量、价格</w:t>
      </w:r>
    </w:p>
    <w:p w14:paraId="3860925E">
      <w:pPr>
        <w:pStyle w:val="4"/>
        <w:jc w:val="both"/>
      </w:pPr>
      <w:r>
        <w:t>同一类型服务项目通常不得分包，但采购数量金额大或保障范围广，且1家供应商履约能力无法满足要求的，可以一包选取2家以上中标供应商，依据排名依次递减的原则确定承担任务数量或范围；也可以分成多包，每包确定1家供应商。采购机构应当在招标文件中载明中标供应商数量、承担任务的数量或范围。具体要求见招标公告。</w:t>
      </w:r>
    </w:p>
    <w:p w14:paraId="18F9BEED">
      <w:pPr>
        <w:pStyle w:val="4"/>
        <w:jc w:val="both"/>
      </w:pPr>
      <w:r>
        <w:t>确定多家供应商中标的，投标供应商数量通常为中标数量的3倍以上；不足3倍但达到2倍的，按照本章第22.6条规定执行；不足2倍的，重新组织采购。经评审符合要求的投标供应商数量通常为中标数量的2倍以上；不足2倍但达到1.5倍的，采购机构可以商采购单位相应减少中标数量，经采购单位书面确认后继续组织评审，否则重新组织采购。</w:t>
      </w:r>
    </w:p>
    <w:p w14:paraId="754031F7">
      <w:pPr>
        <w:pStyle w:val="4"/>
        <w:jc w:val="both"/>
      </w:pPr>
      <w:r>
        <w:t>中标供应商可以执行各自报价，或按照下列方式处理：</w:t>
      </w:r>
    </w:p>
    <w:p w14:paraId="4EE1A940">
      <w:pPr>
        <w:pStyle w:val="4"/>
        <w:jc w:val="both"/>
      </w:pPr>
      <w:r>
        <w:t>（1）报价高于或等于第一名预中标供应商的，中标价格执行第一名预中标供应商报价，报价低于第一名中标供应商的，执行各自报价；</w:t>
      </w:r>
    </w:p>
    <w:p w14:paraId="39089856">
      <w:pPr>
        <w:pStyle w:val="4"/>
        <w:jc w:val="both"/>
      </w:pPr>
      <w:r>
        <w:t>（2）预中标供应商不接受第一名预中标供应商报价的，视为放弃中标资格，其放弃的数量，按照评审排名，从第一名开始，依次商投标供应商承担。</w:t>
      </w:r>
    </w:p>
    <w:p w14:paraId="61B13F26">
      <w:pPr>
        <w:pStyle w:val="4"/>
        <w:jc w:val="both"/>
      </w:pPr>
      <w:r>
        <w:t>多家投标供应商中标价格确定方式应当唯一，具体方式见招标文件专用文件。</w:t>
      </w:r>
    </w:p>
    <w:p w14:paraId="3D7DA60D">
      <w:pPr>
        <w:pStyle w:val="4"/>
        <w:jc w:val="left"/>
        <w:outlineLvl w:val="2"/>
      </w:pPr>
      <w:r>
        <w:rPr>
          <w:b/>
          <w:sz w:val="28"/>
        </w:rPr>
        <w:t>36.出具评审报告</w:t>
      </w:r>
    </w:p>
    <w:p w14:paraId="0A579FCC">
      <w:pPr>
        <w:pStyle w:val="4"/>
        <w:jc w:val="both"/>
      </w:pPr>
      <w:r>
        <w:t>36.1评审委员会根据全体成员签字的原始评标记录和评审结果编写评审报告。评审报告主要内容由评审委员会全体成员逐页签字或签章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096F94BF">
      <w:pPr>
        <w:pStyle w:val="4"/>
        <w:jc w:val="left"/>
        <w:outlineLvl w:val="2"/>
      </w:pPr>
      <w:r>
        <w:rPr>
          <w:b/>
          <w:sz w:val="28"/>
        </w:rPr>
        <w:t>37.宣布评审结果</w:t>
      </w:r>
    </w:p>
    <w:p w14:paraId="49DC41F6">
      <w:pPr>
        <w:pStyle w:val="4"/>
        <w:jc w:val="both"/>
      </w:pPr>
      <w:r>
        <w:t>37.1评审委员会组长应当当场向所有投标供应商宣布评审结果，包括投标供应商评审排名和报价，无效投标供应商名单和原因等。投标供应商有疑义的，评审委员会应当当场予以解答。</w:t>
      </w:r>
    </w:p>
    <w:p w14:paraId="133A0D4C">
      <w:pPr>
        <w:pStyle w:val="4"/>
        <w:jc w:val="left"/>
        <w:outlineLvl w:val="2"/>
      </w:pPr>
      <w:r>
        <w:rPr>
          <w:b/>
          <w:sz w:val="28"/>
        </w:rPr>
        <w:t>38.无效投标</w:t>
      </w:r>
    </w:p>
    <w:p w14:paraId="72324192">
      <w:pPr>
        <w:pStyle w:val="4"/>
        <w:jc w:val="both"/>
      </w:pPr>
      <w:r>
        <w:t>38.1在资格性审查过程中，有下列情形之一者，按照无效投标处理，但符合本文件第39条规定的情形除外：</w:t>
      </w:r>
    </w:p>
    <w:p w14:paraId="2B92AB93">
      <w:pPr>
        <w:pStyle w:val="4"/>
        <w:jc w:val="both"/>
      </w:pPr>
      <w:r>
        <w:t>（1）不具备招标文件中规定的资格性要求的；</w:t>
      </w:r>
    </w:p>
    <w:p w14:paraId="5BDD414E">
      <w:pPr>
        <w:pStyle w:val="4"/>
        <w:jc w:val="both"/>
      </w:pPr>
      <w:r>
        <w:t>（2）法定代表人授权不符合要求的；</w:t>
      </w:r>
    </w:p>
    <w:p w14:paraId="2BB7FC2E">
      <w:pPr>
        <w:pStyle w:val="4"/>
        <w:jc w:val="both"/>
      </w:pPr>
      <w:r>
        <w:t>（3）属于禁止参加投标供应商的；</w:t>
      </w:r>
    </w:p>
    <w:p w14:paraId="3DF84FD3">
      <w:pPr>
        <w:pStyle w:val="4"/>
        <w:jc w:val="both"/>
      </w:pPr>
      <w:r>
        <w:t>（4）未按照规定交纳投标保证金的；</w:t>
      </w:r>
    </w:p>
    <w:p w14:paraId="1784C114">
      <w:pPr>
        <w:pStyle w:val="4"/>
        <w:jc w:val="both"/>
      </w:pPr>
      <w:r>
        <w:t>（5）不符合国家和军队法律法规规定的资格性要求的。</w:t>
      </w:r>
    </w:p>
    <w:p w14:paraId="2CC6FDAA">
      <w:pPr>
        <w:pStyle w:val="4"/>
        <w:jc w:val="both"/>
      </w:pPr>
      <w:r>
        <w:t>38.2在符合性审查过程中，有下列情形之一者，按照无效投标处理，但符合本文件第39条规定的情形除外：</w:t>
      </w:r>
    </w:p>
    <w:p w14:paraId="2F7B27E4">
      <w:pPr>
        <w:pStyle w:val="4"/>
        <w:jc w:val="both"/>
      </w:pPr>
      <w:r>
        <w:t>（1）未按照招标文件要求签署、盖章的；</w:t>
      </w:r>
    </w:p>
    <w:p w14:paraId="600B4A18">
      <w:pPr>
        <w:pStyle w:val="4"/>
        <w:jc w:val="both"/>
      </w:pPr>
      <w:r>
        <w:t>（2）投标有效期不符合招标文件要求的；</w:t>
      </w:r>
    </w:p>
    <w:p w14:paraId="39D86080">
      <w:pPr>
        <w:pStyle w:val="4"/>
        <w:jc w:val="both"/>
      </w:pPr>
      <w:r>
        <w:t>（3）技术和商务的实质性条款不满足招标文件要求的；</w:t>
      </w:r>
    </w:p>
    <w:p w14:paraId="6ACF15F1">
      <w:pPr>
        <w:pStyle w:val="4"/>
        <w:jc w:val="both"/>
      </w:pPr>
      <w:r>
        <w:t>（4）其他不满足招标文件载明的符合性要求的。</w:t>
      </w:r>
    </w:p>
    <w:p w14:paraId="14E1FAF9">
      <w:pPr>
        <w:pStyle w:val="4"/>
        <w:jc w:val="both"/>
      </w:pPr>
      <w:r>
        <w:t>38.3有下列情形之一的，属于投标供应商相互串通投标，按照无效投标处理：</w:t>
      </w:r>
    </w:p>
    <w:p w14:paraId="7549A56E">
      <w:pPr>
        <w:pStyle w:val="4"/>
        <w:jc w:val="both"/>
      </w:pPr>
      <w:r>
        <w:t>（1）投标供应商之间约定中标供应商的；</w:t>
      </w:r>
    </w:p>
    <w:p w14:paraId="0A673A51">
      <w:pPr>
        <w:pStyle w:val="4"/>
        <w:jc w:val="both"/>
      </w:pPr>
      <w:r>
        <w:t>（2）投标供应商之间约定部分放弃投标或中标的；</w:t>
      </w:r>
    </w:p>
    <w:p w14:paraId="3C0A8FAD">
      <w:pPr>
        <w:pStyle w:val="4"/>
        <w:jc w:val="both"/>
      </w:pPr>
      <w:r>
        <w:t>（3）同一集团成员的投标供应商按照该集团要求协同投标的；</w:t>
      </w:r>
    </w:p>
    <w:p w14:paraId="6FD9F3E8">
      <w:pPr>
        <w:pStyle w:val="4"/>
        <w:jc w:val="both"/>
      </w:pPr>
      <w:r>
        <w:t>（4）投标供应商之间为谋取中标或排斥特定投标供应商而采取其他联合行动的；</w:t>
      </w:r>
    </w:p>
    <w:p w14:paraId="5513A047">
      <w:pPr>
        <w:pStyle w:val="4"/>
        <w:jc w:val="both"/>
      </w:pPr>
      <w:r>
        <w:t>（5）国家和军队法律法规规定的其他情形。</w:t>
      </w:r>
    </w:p>
    <w:p w14:paraId="3E7F3019">
      <w:pPr>
        <w:pStyle w:val="4"/>
        <w:jc w:val="both"/>
      </w:pPr>
      <w:r>
        <w:t>38.4有下列情形之一的，视为投标供应商相互串通投标，按照无效投标处理：</w:t>
      </w:r>
    </w:p>
    <w:p w14:paraId="46C607F4">
      <w:pPr>
        <w:pStyle w:val="4"/>
        <w:jc w:val="both"/>
      </w:pPr>
      <w:r>
        <w:t>（1）不同投标供应商的投标文件由同一单位或个人编制的，以及投标使用同一加密锁或具有相同Mac地址的；</w:t>
      </w:r>
    </w:p>
    <w:p w14:paraId="17F453D0">
      <w:pPr>
        <w:pStyle w:val="4"/>
        <w:jc w:val="both"/>
      </w:pPr>
      <w:r>
        <w:t>（2）不同投标供应商委托同一单位或个人办理投标事宜的；</w:t>
      </w:r>
    </w:p>
    <w:p w14:paraId="3FEAEAB5">
      <w:pPr>
        <w:pStyle w:val="4"/>
        <w:jc w:val="both"/>
      </w:pPr>
      <w:r>
        <w:t>（3）不同投标供应商的投标文件载明的项目管理成员为同一人的；</w:t>
      </w:r>
    </w:p>
    <w:p w14:paraId="0A29D082">
      <w:pPr>
        <w:pStyle w:val="4"/>
        <w:jc w:val="both"/>
      </w:pPr>
      <w:r>
        <w:t>（4）不同投标供应商的投标文件异常一致或投标呈规律性差异的；</w:t>
      </w:r>
    </w:p>
    <w:p w14:paraId="5BC7AB7E">
      <w:pPr>
        <w:pStyle w:val="4"/>
        <w:jc w:val="both"/>
      </w:pPr>
      <w:r>
        <w:t>（5）不同投标供应商的投标文件混装、签章混用的；</w:t>
      </w:r>
    </w:p>
    <w:p w14:paraId="25CE50B7">
      <w:pPr>
        <w:pStyle w:val="4"/>
        <w:jc w:val="both"/>
      </w:pPr>
      <w:r>
        <w:t>（6）不同投标供应商的投标保证金从同一单位或个人的账户转出的；</w:t>
      </w:r>
    </w:p>
    <w:p w14:paraId="6EAA9917">
      <w:pPr>
        <w:pStyle w:val="4"/>
        <w:jc w:val="both"/>
      </w:pPr>
      <w:r>
        <w:t>（7）国家和军队法律法规规定的其他情形。</w:t>
      </w:r>
    </w:p>
    <w:p w14:paraId="6C94EA2B">
      <w:pPr>
        <w:pStyle w:val="4"/>
        <w:jc w:val="both"/>
      </w:pPr>
      <w:r>
        <w:t>38.5有下列情形之一的，属于采购机构、采购单位与投标供应商串通投标，按照无效投标处理：</w:t>
      </w:r>
    </w:p>
    <w:p w14:paraId="2F9AF327">
      <w:pPr>
        <w:pStyle w:val="4"/>
        <w:jc w:val="both"/>
      </w:pPr>
      <w:r>
        <w:t>（1）在开标前开启投标文件并将有关信息泄露给其他投标供应商的；</w:t>
      </w:r>
    </w:p>
    <w:p w14:paraId="407A611F">
      <w:pPr>
        <w:pStyle w:val="4"/>
        <w:jc w:val="both"/>
      </w:pPr>
      <w:r>
        <w:t>（2）直接或间接向投标供应商泄露评审委员会成员信息的；</w:t>
      </w:r>
    </w:p>
    <w:p w14:paraId="36DE468C">
      <w:pPr>
        <w:pStyle w:val="4"/>
        <w:jc w:val="both"/>
      </w:pPr>
      <w:r>
        <w:t>（3）明示或暗示投标供应商压低或抬高投标价格的；</w:t>
      </w:r>
    </w:p>
    <w:p w14:paraId="147376DF">
      <w:pPr>
        <w:pStyle w:val="4"/>
        <w:jc w:val="both"/>
      </w:pPr>
      <w:r>
        <w:t>（4）授意投标供应商撤换、修改投标文件的；</w:t>
      </w:r>
    </w:p>
    <w:p w14:paraId="63D9BB8C">
      <w:pPr>
        <w:pStyle w:val="4"/>
        <w:jc w:val="both"/>
      </w:pPr>
      <w:r>
        <w:t>（5）明示或暗示投标供应商为特定投标供应商中标提供方便的；</w:t>
      </w:r>
    </w:p>
    <w:p w14:paraId="20AC5A20">
      <w:pPr>
        <w:pStyle w:val="4"/>
        <w:jc w:val="both"/>
      </w:pPr>
      <w:r>
        <w:t>（6）明示或暗示评审委员会为特定投标供应商中标提供方便的；</w:t>
      </w:r>
    </w:p>
    <w:p w14:paraId="4CA5C7C8">
      <w:pPr>
        <w:pStyle w:val="4"/>
        <w:jc w:val="both"/>
      </w:pPr>
      <w:r>
        <w:t>（7）在开标前与投标供应商就采购项目进行实质性谈判的；</w:t>
      </w:r>
    </w:p>
    <w:p w14:paraId="7AF640B6">
      <w:pPr>
        <w:pStyle w:val="4"/>
        <w:jc w:val="both"/>
      </w:pPr>
      <w:r>
        <w:t>（8）与投标供应商为谋求特定投标供应商中标而采取其他串通行为的；</w:t>
      </w:r>
    </w:p>
    <w:p w14:paraId="7822D291">
      <w:pPr>
        <w:pStyle w:val="4"/>
        <w:jc w:val="both"/>
      </w:pPr>
      <w:r>
        <w:t>（9）国家和军队法律法规规定的其他情形。</w:t>
      </w:r>
    </w:p>
    <w:p w14:paraId="3C62F81E">
      <w:pPr>
        <w:pStyle w:val="4"/>
        <w:jc w:val="both"/>
      </w:pPr>
      <w:r>
        <w:t>38.6有下列情形之一的，属于虚假投标，按照无效投标处理：</w:t>
      </w:r>
    </w:p>
    <w:p w14:paraId="019270FB">
      <w:pPr>
        <w:pStyle w:val="4"/>
        <w:jc w:val="both"/>
      </w:pPr>
      <w:r>
        <w:t>（1）使用通过受让或租借等方式获取资格、资质证书的；</w:t>
      </w:r>
    </w:p>
    <w:p w14:paraId="035C0FEA">
      <w:pPr>
        <w:pStyle w:val="4"/>
        <w:jc w:val="both"/>
      </w:pPr>
      <w:r>
        <w:t>（2）使用伪造证书、证件或印章的；</w:t>
      </w:r>
    </w:p>
    <w:p w14:paraId="5FD6FAFA">
      <w:pPr>
        <w:pStyle w:val="4"/>
        <w:jc w:val="both"/>
      </w:pPr>
      <w:r>
        <w:t>（3）提供虚假财务状况、检测报告、业绩或发票的；</w:t>
      </w:r>
    </w:p>
    <w:p w14:paraId="2CF5E27C">
      <w:pPr>
        <w:pStyle w:val="4"/>
        <w:jc w:val="both"/>
      </w:pPr>
      <w:r>
        <w:t>（4）提供虚假项目负责人或主要技术人员简历、劳动关系证明的；</w:t>
      </w:r>
    </w:p>
    <w:p w14:paraId="1AEC7256">
      <w:pPr>
        <w:pStyle w:val="4"/>
        <w:jc w:val="both"/>
      </w:pPr>
      <w:r>
        <w:t>（5）提供虚假信用状况的；</w:t>
      </w:r>
    </w:p>
    <w:p w14:paraId="7B7BE4F9">
      <w:pPr>
        <w:pStyle w:val="4"/>
        <w:jc w:val="both"/>
      </w:pPr>
      <w:r>
        <w:t>（6）提供虚假样品或借用、冒用其他投标供应商样品的；</w:t>
      </w:r>
    </w:p>
    <w:p w14:paraId="74C4B3C8">
      <w:pPr>
        <w:pStyle w:val="4"/>
        <w:jc w:val="both"/>
      </w:pPr>
      <w:r>
        <w:t>（7）存在其他弄虚作假行为的；</w:t>
      </w:r>
    </w:p>
    <w:p w14:paraId="65369433">
      <w:pPr>
        <w:pStyle w:val="4"/>
        <w:jc w:val="both"/>
      </w:pPr>
      <w:r>
        <w:t>（8）国家和军队法律法规规定的其他情形。</w:t>
      </w:r>
    </w:p>
    <w:p w14:paraId="68CF2D06">
      <w:pPr>
        <w:pStyle w:val="4"/>
        <w:jc w:val="both"/>
      </w:pPr>
      <w:r>
        <w:t>38.7招标文件中明确的其他应当视为无效投标的情形。</w:t>
      </w:r>
    </w:p>
    <w:p w14:paraId="5CD84A27">
      <w:pPr>
        <w:pStyle w:val="4"/>
        <w:jc w:val="left"/>
        <w:outlineLvl w:val="2"/>
      </w:pPr>
      <w:r>
        <w:rPr>
          <w:b/>
          <w:sz w:val="28"/>
        </w:rPr>
        <w:t>39.通过资格性、符合性审查的特殊情形</w:t>
      </w:r>
    </w:p>
    <w:p w14:paraId="10C26259">
      <w:pPr>
        <w:pStyle w:val="4"/>
        <w:jc w:val="both"/>
      </w:pPr>
      <w:r>
        <w:t>39.1投标文件有下列情形，但其他方面符合要求，应当认定通过资格性、符合性审查：</w:t>
      </w:r>
    </w:p>
    <w:p w14:paraId="4EA8A0F4">
      <w:pPr>
        <w:pStyle w:val="4"/>
        <w:jc w:val="both"/>
      </w:pPr>
      <w:r>
        <w:t>（1）密封时未加盖、少加盖公章或密封章，但密封完好、完整标明了投标供应商名称且得到投标供应商现场认可的；</w:t>
      </w:r>
    </w:p>
    <w:p w14:paraId="1B8D9972">
      <w:pPr>
        <w:pStyle w:val="4"/>
        <w:jc w:val="both"/>
      </w:pPr>
      <w:r>
        <w:t>（2）除招标文件规定要求法定代表人或授权代表签字以外，其他未签字的；</w:t>
      </w:r>
    </w:p>
    <w:p w14:paraId="4A054FCB">
      <w:pPr>
        <w:pStyle w:val="4"/>
        <w:jc w:val="both"/>
      </w:pPr>
      <w:r>
        <w:t>（3）除招标文件规定要求加盖投标供应商等公章以外，其他未盖章或加盖相关专用章的；</w:t>
      </w:r>
    </w:p>
    <w:p w14:paraId="475ED00D">
      <w:pPr>
        <w:pStyle w:val="4"/>
        <w:jc w:val="both"/>
      </w:pPr>
      <w:r>
        <w:t>（4）投标文件书写有错误，资格证明文件与投标文件混装的。</w:t>
      </w:r>
    </w:p>
    <w:p w14:paraId="36ED86F6">
      <w:pPr>
        <w:pStyle w:val="4"/>
        <w:jc w:val="both"/>
      </w:pPr>
      <w:r>
        <w:t>评审委员会、采购机构不得将招标文件未明确的内容作为判定供应商无效投标的依据，但违反国家和军队有关法律法规规定的情形除外。</w:t>
      </w:r>
    </w:p>
    <w:p w14:paraId="22710E3D">
      <w:pPr>
        <w:pStyle w:val="4"/>
        <w:jc w:val="left"/>
        <w:outlineLvl w:val="2"/>
      </w:pPr>
      <w:r>
        <w:rPr>
          <w:b/>
          <w:sz w:val="28"/>
        </w:rPr>
        <w:t>40.废标</w:t>
      </w:r>
    </w:p>
    <w:p w14:paraId="0A5CAF8D">
      <w:pPr>
        <w:pStyle w:val="4"/>
        <w:jc w:val="both"/>
      </w:pPr>
      <w:r>
        <w:t>40.1有下列情形之一的，按照废标处理：</w:t>
      </w:r>
    </w:p>
    <w:p w14:paraId="35177D3E">
      <w:pPr>
        <w:pStyle w:val="4"/>
        <w:jc w:val="both"/>
      </w:pPr>
      <w:r>
        <w:t>（1）报名参加或实质性响应投标供应商不足3家的，符合本章第22.6条情形的除外；</w:t>
      </w:r>
    </w:p>
    <w:p w14:paraId="5C017FC2">
      <w:pPr>
        <w:pStyle w:val="4"/>
        <w:jc w:val="both"/>
      </w:pPr>
      <w:r>
        <w:t>（2）出现影响采购公平公正的违法、违规行为的；</w:t>
      </w:r>
    </w:p>
    <w:p w14:paraId="015BF36E">
      <w:pPr>
        <w:pStyle w:val="4"/>
        <w:jc w:val="both"/>
      </w:pPr>
      <w:r>
        <w:t>（3）因重大变故，取消采购任务的。</w:t>
      </w:r>
    </w:p>
    <w:p w14:paraId="20CCA3AC">
      <w:pPr>
        <w:pStyle w:val="4"/>
        <w:jc w:val="left"/>
        <w:outlineLvl w:val="2"/>
      </w:pPr>
      <w:r>
        <w:rPr>
          <w:b/>
          <w:sz w:val="28"/>
        </w:rPr>
        <w:t>41.终止评审</w:t>
      </w:r>
    </w:p>
    <w:p w14:paraId="25DC1811">
      <w:pPr>
        <w:pStyle w:val="4"/>
        <w:jc w:val="both"/>
      </w:pPr>
      <w:r>
        <w:t>41.1在评审过程中，有下列情形之一的，评审委员会应当终止评审，并书面说明情况：</w:t>
      </w:r>
    </w:p>
    <w:p w14:paraId="4926D6CC">
      <w:pPr>
        <w:pStyle w:val="4"/>
        <w:jc w:val="both"/>
      </w:pPr>
      <w:r>
        <w:t>（1）招标文件存在重大歧义、缺陷，导致评审工作无法进行的；</w:t>
      </w:r>
    </w:p>
    <w:p w14:paraId="69906524">
      <w:pPr>
        <w:pStyle w:val="4"/>
        <w:jc w:val="both"/>
      </w:pPr>
      <w:r>
        <w:t>（2）招标文件存在明显的倾向性、排他性或歧视性的；</w:t>
      </w:r>
    </w:p>
    <w:p w14:paraId="5C8A35CC">
      <w:pPr>
        <w:pStyle w:val="4"/>
        <w:jc w:val="both"/>
      </w:pPr>
      <w:r>
        <w:t>（3）招标文件违反国家和军队强制性规定的；</w:t>
      </w:r>
    </w:p>
    <w:p w14:paraId="522A4F91">
      <w:pPr>
        <w:pStyle w:val="4"/>
        <w:jc w:val="both"/>
      </w:pPr>
      <w:r>
        <w:t>（4）参加投标供应商均不符合相关要求的；</w:t>
      </w:r>
    </w:p>
    <w:p w14:paraId="0E6E4F9F">
      <w:pPr>
        <w:pStyle w:val="4"/>
        <w:jc w:val="both"/>
      </w:pPr>
      <w:r>
        <w:t>（5）投标供应商报价均超预算，且采购单位无法追加预算的；</w:t>
      </w:r>
    </w:p>
    <w:p w14:paraId="22F187A1">
      <w:pPr>
        <w:pStyle w:val="4"/>
        <w:jc w:val="both"/>
      </w:pPr>
      <w:r>
        <w:t>（6）有关投标供应商和个人干预评审委员会依法独立评审的；</w:t>
      </w:r>
    </w:p>
    <w:p w14:paraId="7D7A0D62">
      <w:pPr>
        <w:pStyle w:val="4"/>
        <w:jc w:val="both"/>
      </w:pPr>
      <w:r>
        <w:t>（7）采购活动中出现违法、违规情形的；</w:t>
      </w:r>
    </w:p>
    <w:p w14:paraId="2E27BA6A">
      <w:pPr>
        <w:pStyle w:val="4"/>
        <w:jc w:val="both"/>
      </w:pPr>
      <w:r>
        <w:t>（8）国家和军队法律法规规定的其他情形。</w:t>
      </w:r>
    </w:p>
    <w:p w14:paraId="4B3F2F8F">
      <w:pPr>
        <w:pStyle w:val="4"/>
        <w:jc w:val="center"/>
        <w:outlineLvl w:val="1"/>
      </w:pPr>
      <w:r>
        <w:rPr>
          <w:b/>
          <w:sz w:val="36"/>
        </w:rPr>
        <w:t>六、定标</w:t>
      </w:r>
    </w:p>
    <w:p w14:paraId="1B76414B">
      <w:pPr>
        <w:pStyle w:val="4"/>
        <w:jc w:val="left"/>
        <w:outlineLvl w:val="2"/>
      </w:pPr>
      <w:r>
        <w:rPr>
          <w:b/>
          <w:sz w:val="28"/>
        </w:rPr>
        <w:t>42.中标供应商公示</w:t>
      </w:r>
    </w:p>
    <w:p w14:paraId="11670988">
      <w:pPr>
        <w:pStyle w:val="4"/>
        <w:jc w:val="both"/>
      </w:pPr>
      <w:r>
        <w:t>42.1评审结束后2个工作日内，采购机构在军队采购网（www.plap.mil.cn）上公示评审结果，公示期不少于3个工作日。在公示期内无异议的，采购机构将评审结果报采购单位；有异议的，投标供应商可以依据招标文件规定的方式提出质疑。</w:t>
      </w:r>
    </w:p>
    <w:p w14:paraId="42C50455">
      <w:pPr>
        <w:pStyle w:val="4"/>
        <w:jc w:val="both"/>
      </w:pPr>
      <w:r>
        <w:t>42.2中标供应商无正当理由放弃中标的，不予退还投标保证金，由采购管理部门依规处理。</w:t>
      </w:r>
    </w:p>
    <w:p w14:paraId="57AA2D62">
      <w:pPr>
        <w:pStyle w:val="4"/>
        <w:jc w:val="both"/>
      </w:pPr>
      <w:r>
        <w:t>42.3中标供应商出现下列情况之一的，一经查实，将被取消中标资格：</w:t>
      </w:r>
    </w:p>
    <w:p w14:paraId="7ADE81E0">
      <w:pPr>
        <w:pStyle w:val="4"/>
        <w:jc w:val="both"/>
      </w:pPr>
      <w:r>
        <w:t>（1）属于招标文件规定的虚假投标的；</w:t>
      </w:r>
    </w:p>
    <w:p w14:paraId="424325F7">
      <w:pPr>
        <w:pStyle w:val="4"/>
        <w:jc w:val="both"/>
      </w:pPr>
      <w:r>
        <w:t>（2）向采购单位、采购机构、评审委员会成员行贿或进行其他不正当利益输送的；</w:t>
      </w:r>
    </w:p>
    <w:p w14:paraId="0674826A">
      <w:pPr>
        <w:pStyle w:val="4"/>
        <w:jc w:val="both"/>
      </w:pPr>
      <w:r>
        <w:t>（3）属于恶意低价竞争，投标明显低于合理成本且不能证明其报价合理的；</w:t>
      </w:r>
    </w:p>
    <w:p w14:paraId="13310B2A">
      <w:pPr>
        <w:pStyle w:val="4"/>
        <w:jc w:val="both"/>
      </w:pPr>
      <w:r>
        <w:t>（4）属于招标文件规定的无效投标情形，但在评审过程中未被评审委员会发现的；</w:t>
      </w:r>
    </w:p>
    <w:p w14:paraId="4D2163DD">
      <w:pPr>
        <w:pStyle w:val="4"/>
        <w:jc w:val="both"/>
      </w:pPr>
      <w:r>
        <w:t>（5）属于招标文件规定的串通投标的；</w:t>
      </w:r>
    </w:p>
    <w:p w14:paraId="2FD38C58">
      <w:pPr>
        <w:pStyle w:val="4"/>
        <w:jc w:val="both"/>
      </w:pPr>
      <w:r>
        <w:t>（6）出现干扰或影响评审客观公正行为的；</w:t>
      </w:r>
    </w:p>
    <w:p w14:paraId="4EF87977">
      <w:pPr>
        <w:pStyle w:val="4"/>
        <w:jc w:val="both"/>
      </w:pPr>
      <w:r>
        <w:t>（7）存在其他违法违规行为的；</w:t>
      </w:r>
    </w:p>
    <w:p w14:paraId="30864B67">
      <w:pPr>
        <w:pStyle w:val="4"/>
        <w:jc w:val="both"/>
      </w:pPr>
      <w:r>
        <w:t>（8）国家和军队法律法规规定的其他情形。</w:t>
      </w:r>
    </w:p>
    <w:p w14:paraId="7FB603E2">
      <w:pPr>
        <w:pStyle w:val="4"/>
        <w:jc w:val="both"/>
      </w:pPr>
      <w:r>
        <w:t>中标供应商在签订正式合同前，受到禁止参加军队采购活动处罚且本项目在处罚范围内的，取消中标资格。中标供应商被取消或放弃中标资格的，采购单位可以按照评审排名结果依次递补确定中标供应商，但剩余有效投标供应商数量应当达到需要递补投标供应商数量的2倍，否则由采购机构重新组织采购。</w:t>
      </w:r>
    </w:p>
    <w:p w14:paraId="264C0096">
      <w:pPr>
        <w:pStyle w:val="4"/>
        <w:jc w:val="left"/>
        <w:outlineLvl w:val="2"/>
      </w:pPr>
      <w:r>
        <w:rPr>
          <w:b/>
          <w:sz w:val="28"/>
        </w:rPr>
        <w:t>43.中标通知</w:t>
      </w:r>
    </w:p>
    <w:p w14:paraId="6C1B01DB">
      <w:pPr>
        <w:pStyle w:val="4"/>
        <w:jc w:val="both"/>
      </w:pPr>
      <w:r>
        <w:t>43.1评审结果公示无异议后2个工作日内，采购机构通过系统向投标供应商发出中标和未中标通知书，纸质版《中标通知书》可线下领取。</w:t>
      </w:r>
    </w:p>
    <w:p w14:paraId="0AE7EF2E">
      <w:pPr>
        <w:pStyle w:val="4"/>
        <w:jc w:val="center"/>
        <w:outlineLvl w:val="1"/>
      </w:pPr>
      <w:r>
        <w:rPr>
          <w:b/>
          <w:sz w:val="36"/>
        </w:rPr>
        <w:t>七、质疑、投诉和投诉复议</w:t>
      </w:r>
    </w:p>
    <w:p w14:paraId="481EE453">
      <w:pPr>
        <w:pStyle w:val="4"/>
        <w:jc w:val="left"/>
        <w:outlineLvl w:val="2"/>
      </w:pPr>
      <w:r>
        <w:rPr>
          <w:b/>
          <w:sz w:val="28"/>
        </w:rPr>
        <w:t>44.质疑</w:t>
      </w:r>
    </w:p>
    <w:p w14:paraId="42EB228C">
      <w:pPr>
        <w:pStyle w:val="4"/>
        <w:jc w:val="both"/>
      </w:pPr>
      <w:r>
        <w:t>44.1供应商认为招标文件、招标过程、中标结果使自己权益受到损害的，以书面形式向采购机构提出质疑或登录物资服务招投标系统在线提起质疑申请。供应商应当在规定质疑期内一次性提出针对同一采购程序环节的质疑。</w:t>
      </w:r>
    </w:p>
    <w:p w14:paraId="53511494">
      <w:pPr>
        <w:pStyle w:val="4"/>
        <w:jc w:val="both"/>
      </w:pPr>
      <w:r>
        <w:t>（1）领取资格预审文件的供应商，对资格预审文件的质疑应当在提交资格预审申请文件截止时间2日前提出。</w:t>
      </w:r>
    </w:p>
    <w:p w14:paraId="097F166C">
      <w:pPr>
        <w:pStyle w:val="4"/>
        <w:jc w:val="both"/>
      </w:pPr>
      <w:r>
        <w:t>（2）领取招标文件的供应商，对招标文件的质疑应当在投标截止时间10日前提出。</w:t>
      </w:r>
    </w:p>
    <w:p w14:paraId="69A7A36B">
      <w:pPr>
        <w:pStyle w:val="4"/>
        <w:jc w:val="both"/>
      </w:pPr>
      <w:r>
        <w:t>（3）投标供应商对招标过程提出质疑的，应当在各采购程序环节结束之日起3日内提出，但对开标的质疑应当在当场提出，质疑受理单位应当当场作出答复，并如实记录。</w:t>
      </w:r>
    </w:p>
    <w:p w14:paraId="5B07F6F1">
      <w:pPr>
        <w:pStyle w:val="4"/>
        <w:jc w:val="both"/>
      </w:pPr>
      <w:r>
        <w:t>（4）投标供应商对中标结果提出质疑的，应当在中标结果公示期内提出。</w:t>
      </w:r>
    </w:p>
    <w:p w14:paraId="7FF80DA6">
      <w:pPr>
        <w:pStyle w:val="4"/>
        <w:jc w:val="both"/>
      </w:pPr>
      <w:r>
        <w:t>44.2投标供应商应当按照招标文件规定的程序和渠道提出质疑。</w:t>
      </w:r>
    </w:p>
    <w:p w14:paraId="2660625E">
      <w:pPr>
        <w:pStyle w:val="4"/>
        <w:jc w:val="both"/>
      </w:pPr>
      <w:r>
        <w:t>采取线上方式提交质疑的，投标供应商登录物资服务招投标系统提起质疑申请，选取质疑项目及质疑对象，录入质疑事项、质疑请求、事实依据和法律依据等信息，上传法定代表人授权书扫描件，系统生成质疑函并加盖电子签章，由系统推送至被质疑采购机构。</w:t>
      </w:r>
    </w:p>
    <w:p w14:paraId="08AFE6AA">
      <w:pPr>
        <w:pStyle w:val="4"/>
        <w:jc w:val="both"/>
      </w:pPr>
      <w:r>
        <w:t>采取线下方式提交质疑的，质疑函应当由法定代表人或其授权代表签字，并加盖公章。授权代表应当提供由法定代表人签署的授权书，载明被授权人的姓名、职务、授权范围和时间期限，并加盖公章。</w:t>
      </w:r>
    </w:p>
    <w:p w14:paraId="2187794A">
      <w:pPr>
        <w:pStyle w:val="4"/>
        <w:jc w:val="both"/>
      </w:pPr>
      <w:r>
        <w:t>44.3质疑函主要包括下列内容：</w:t>
      </w:r>
    </w:p>
    <w:p w14:paraId="3990D075">
      <w:pPr>
        <w:pStyle w:val="4"/>
        <w:jc w:val="both"/>
      </w:pPr>
      <w:r>
        <w:t>（1）投标供应商名称、通讯地址、联系人及联系电话；</w:t>
      </w:r>
    </w:p>
    <w:p w14:paraId="0F95571A">
      <w:pPr>
        <w:pStyle w:val="4"/>
        <w:jc w:val="both"/>
      </w:pPr>
      <w:r>
        <w:t>（2）质疑采购项目的名称、编号；</w:t>
      </w:r>
    </w:p>
    <w:p w14:paraId="4AE39850">
      <w:pPr>
        <w:pStyle w:val="4"/>
        <w:jc w:val="both"/>
      </w:pPr>
      <w:r>
        <w:t>（3）具体质疑事项和请求；</w:t>
      </w:r>
    </w:p>
    <w:p w14:paraId="6F907047">
      <w:pPr>
        <w:pStyle w:val="4"/>
        <w:jc w:val="both"/>
      </w:pPr>
      <w:r>
        <w:t>（4）事实依据；</w:t>
      </w:r>
    </w:p>
    <w:p w14:paraId="40AA3814">
      <w:pPr>
        <w:pStyle w:val="4"/>
        <w:jc w:val="both"/>
      </w:pPr>
      <w:r>
        <w:t>（5）法律依据；</w:t>
      </w:r>
    </w:p>
    <w:p w14:paraId="42D7FE9A">
      <w:pPr>
        <w:pStyle w:val="4"/>
        <w:jc w:val="both"/>
      </w:pPr>
      <w:r>
        <w:t>（6）提出质疑的日期。</w:t>
      </w:r>
    </w:p>
    <w:p w14:paraId="709890A6">
      <w:pPr>
        <w:pStyle w:val="4"/>
        <w:jc w:val="both"/>
      </w:pPr>
      <w:r>
        <w:t>44.4质疑受理单位及联系方式见【投标供应商须知前附表】。</w:t>
      </w:r>
    </w:p>
    <w:p w14:paraId="4C016FC9">
      <w:pPr>
        <w:pStyle w:val="4"/>
        <w:jc w:val="left"/>
        <w:outlineLvl w:val="2"/>
      </w:pPr>
      <w:r>
        <w:rPr>
          <w:b/>
          <w:sz w:val="28"/>
        </w:rPr>
        <w:t>45.投诉</w:t>
      </w:r>
    </w:p>
    <w:p w14:paraId="148467A8">
      <w:pPr>
        <w:pStyle w:val="4"/>
        <w:jc w:val="both"/>
      </w:pPr>
      <w:r>
        <w:t>45.1质疑受理单位拒收质疑函或未在规定期限内作出答复，以及对质疑答复及处理结果不满意的，质疑供应商可以在质疑答复期满之日起15个工作日内，向投诉受理部门提出书面投诉。</w:t>
      </w:r>
    </w:p>
    <w:p w14:paraId="5E4E749A">
      <w:pPr>
        <w:pStyle w:val="4"/>
        <w:jc w:val="both"/>
      </w:pPr>
      <w:r>
        <w:t>45.2投诉人投诉时，应当提交投诉书正本和必要的证明材料，并按照被投诉人和与投诉事项有关的供应商数量提供投诉书副本。投诉书应当包括下列内容：</w:t>
      </w:r>
    </w:p>
    <w:p w14:paraId="1D7F03AA">
      <w:pPr>
        <w:pStyle w:val="4"/>
        <w:jc w:val="both"/>
      </w:pPr>
      <w:r>
        <w:t>（1）投诉人和被投诉人的名称、通讯地址、邮编、联系人及联系电话；</w:t>
      </w:r>
    </w:p>
    <w:p w14:paraId="475F0411">
      <w:pPr>
        <w:pStyle w:val="4"/>
        <w:jc w:val="both"/>
      </w:pPr>
      <w:r>
        <w:t>（2）质疑和质疑答复情况说明及相关证明材料；</w:t>
      </w:r>
    </w:p>
    <w:p w14:paraId="59D675E3">
      <w:pPr>
        <w:pStyle w:val="4"/>
        <w:jc w:val="both"/>
      </w:pPr>
      <w:r>
        <w:t>（3）具体、明确的投诉事项和与投诉事项相关的投诉请求；</w:t>
      </w:r>
    </w:p>
    <w:p w14:paraId="760DF315">
      <w:pPr>
        <w:pStyle w:val="4"/>
        <w:jc w:val="both"/>
      </w:pPr>
      <w:r>
        <w:t>（4）事实依据；</w:t>
      </w:r>
    </w:p>
    <w:p w14:paraId="0D8AB532">
      <w:pPr>
        <w:pStyle w:val="4"/>
        <w:jc w:val="both"/>
      </w:pPr>
      <w:r>
        <w:t>（5）法律依据；</w:t>
      </w:r>
    </w:p>
    <w:p w14:paraId="6E4E2227">
      <w:pPr>
        <w:pStyle w:val="4"/>
        <w:jc w:val="both"/>
      </w:pPr>
      <w:r>
        <w:t>（6）提起投诉的日期。</w:t>
      </w:r>
    </w:p>
    <w:p w14:paraId="2EFDF9FB">
      <w:pPr>
        <w:pStyle w:val="4"/>
        <w:jc w:val="both"/>
      </w:pPr>
      <w:r>
        <w:t>45.3投诉书应当由法定代表人或其授权代表签字，并加盖公章。法定代表人授权其他人办理采购投诉事宜，应当在正本中签署授权书；授权书应当载明被授权人的姓名、职务、授权范围和时间期限，并加盖公章。</w:t>
      </w:r>
    </w:p>
    <w:p w14:paraId="52B2D596">
      <w:pPr>
        <w:pStyle w:val="4"/>
        <w:jc w:val="both"/>
      </w:pPr>
      <w:r>
        <w:t>45.4受理、处理投诉申请部门及联系方式见【投标供应商须知前附表】。</w:t>
      </w:r>
    </w:p>
    <w:p w14:paraId="4850357E">
      <w:pPr>
        <w:pStyle w:val="4"/>
        <w:jc w:val="left"/>
        <w:outlineLvl w:val="2"/>
      </w:pPr>
      <w:r>
        <w:rPr>
          <w:b/>
          <w:sz w:val="28"/>
        </w:rPr>
        <w:t>46.投诉复议</w:t>
      </w:r>
    </w:p>
    <w:p w14:paraId="6A894028">
      <w:pPr>
        <w:pStyle w:val="4"/>
        <w:jc w:val="both"/>
      </w:pPr>
      <w:r>
        <w:t>46.1投诉人对投诉受理部门的投诉处理决定不服或投诉受理部门逾期未作处理的，可以自收到投诉处理决定书15个工作日内，提出投诉复议申请。</w:t>
      </w:r>
    </w:p>
    <w:p w14:paraId="585325B8">
      <w:pPr>
        <w:pStyle w:val="4"/>
        <w:jc w:val="both"/>
      </w:pPr>
      <w:r>
        <w:t>46.2投诉复议申请人应当提交投诉复议申请书和必要的证明材料，并按照被申请人和与复议事项有关当事人数量提供申请书副本。投诉复议申请书应当包括下列内容：</w:t>
      </w:r>
    </w:p>
    <w:p w14:paraId="252B58EA">
      <w:pPr>
        <w:pStyle w:val="4"/>
        <w:jc w:val="both"/>
      </w:pPr>
      <w:r>
        <w:t>（1）申请人和被申请人名称、通讯地址、联系人、联系电话；</w:t>
      </w:r>
    </w:p>
    <w:p w14:paraId="4459528A">
      <w:pPr>
        <w:pStyle w:val="4"/>
        <w:jc w:val="both"/>
      </w:pPr>
      <w:r>
        <w:t>（2）投诉和投诉处理决定情况说明及相关证明材料；</w:t>
      </w:r>
    </w:p>
    <w:p w14:paraId="3AE6DB58">
      <w:pPr>
        <w:pStyle w:val="4"/>
        <w:jc w:val="both"/>
      </w:pPr>
      <w:r>
        <w:t>（3）具体、明确的复议事项和与复议事项相关的请求；</w:t>
      </w:r>
    </w:p>
    <w:p w14:paraId="3981A316">
      <w:pPr>
        <w:pStyle w:val="4"/>
        <w:jc w:val="both"/>
      </w:pPr>
      <w:r>
        <w:t>（4）事实依据；</w:t>
      </w:r>
    </w:p>
    <w:p w14:paraId="4DEF63F7">
      <w:pPr>
        <w:pStyle w:val="4"/>
        <w:jc w:val="both"/>
      </w:pPr>
      <w:r>
        <w:t>（5）法律依据；</w:t>
      </w:r>
    </w:p>
    <w:p w14:paraId="2DA476FA">
      <w:pPr>
        <w:pStyle w:val="4"/>
        <w:jc w:val="both"/>
      </w:pPr>
      <w:r>
        <w:t>（6）申请投诉复议的日期。</w:t>
      </w:r>
    </w:p>
    <w:p w14:paraId="5AE56972">
      <w:pPr>
        <w:pStyle w:val="4"/>
        <w:jc w:val="both"/>
      </w:pPr>
      <w:r>
        <w:t>46.3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31094758">
      <w:pPr>
        <w:pStyle w:val="4"/>
        <w:jc w:val="both"/>
      </w:pPr>
      <w:r>
        <w:t>46.4受理、处理投诉复议申请部门及联系方式见【投标供应商须知前附表】。</w:t>
      </w:r>
    </w:p>
    <w:p w14:paraId="6C789D03">
      <w:pPr>
        <w:pStyle w:val="4"/>
        <w:jc w:val="center"/>
        <w:outlineLvl w:val="1"/>
      </w:pPr>
      <w:r>
        <w:rPr>
          <w:b/>
          <w:sz w:val="36"/>
        </w:rPr>
        <w:t>八、签订合同</w:t>
      </w:r>
    </w:p>
    <w:p w14:paraId="70FC9C76">
      <w:pPr>
        <w:pStyle w:val="4"/>
        <w:jc w:val="left"/>
        <w:outlineLvl w:val="2"/>
      </w:pPr>
      <w:r>
        <w:rPr>
          <w:b/>
          <w:sz w:val="28"/>
        </w:rPr>
        <w:t>47.签订合同</w:t>
      </w:r>
    </w:p>
    <w:p w14:paraId="1CB159E6">
      <w:pPr>
        <w:pStyle w:val="4"/>
        <w:jc w:val="both"/>
      </w:pPr>
      <w:r>
        <w:t>47.1中标供应商在采购机构通过系统发出《中标通知书》之日起30日内，依据招标文件、中标供应商投标文件和澄清承诺，与采购单位签订采购合同。</w:t>
      </w:r>
    </w:p>
    <w:p w14:paraId="0D3F0D8D">
      <w:pPr>
        <w:pStyle w:val="4"/>
        <w:jc w:val="both"/>
      </w:pPr>
      <w:r>
        <w:t>47.2采购合同不得对招标文件和中标供应商投标文件作实质性修改，采购单位不得向中标供应商提出任何不合理要求，作为签订合同的条件。招标文件、中标供应商投标文件、补充文件、澄清承诺等，均为签订合同的依据。</w:t>
      </w:r>
    </w:p>
    <w:p w14:paraId="08A290E8">
      <w:pPr>
        <w:pStyle w:val="4"/>
        <w:jc w:val="both"/>
      </w:pPr>
      <w:r>
        <w:t>47.3签订合同后，中标供应商不得将中标项目整体转包或将项目拆分后分别向他人转包，不得违反招标文件、投标文件和合同约定，擅自将合同分包，一经查实将按有关规定进行严肃处理。</w:t>
      </w:r>
    </w:p>
    <w:p w14:paraId="572C48F5">
      <w:pPr>
        <w:pStyle w:val="4"/>
        <w:jc w:val="both"/>
      </w:pPr>
      <w:r>
        <w:t>47.4未经甲方允许，乙方不得在合同未生效前履行合同相关义务。</w:t>
      </w:r>
    </w:p>
    <w:p w14:paraId="30FB58F0">
      <w:pPr>
        <w:pStyle w:val="4"/>
        <w:jc w:val="center"/>
        <w:outlineLvl w:val="1"/>
      </w:pPr>
      <w:r>
        <w:rPr>
          <w:b/>
          <w:sz w:val="36"/>
        </w:rPr>
        <w:t>九、解释权限</w:t>
      </w:r>
    </w:p>
    <w:p w14:paraId="28E0C258">
      <w:pPr>
        <w:pStyle w:val="4"/>
        <w:jc w:val="left"/>
        <w:outlineLvl w:val="2"/>
      </w:pPr>
      <w:r>
        <w:rPr>
          <w:b/>
          <w:sz w:val="28"/>
        </w:rPr>
        <w:t>48.解释权限</w:t>
      </w:r>
    </w:p>
    <w:p w14:paraId="197C2032">
      <w:pPr>
        <w:pStyle w:val="4"/>
        <w:jc w:val="both"/>
      </w:pPr>
      <w:r>
        <w:t>48.1本招标文件由采购机构负责解释。</w:t>
      </w:r>
    </w:p>
    <w:p w14:paraId="5AA9E70A">
      <w:pPr>
        <w:pStyle w:val="4"/>
        <w:jc w:val="center"/>
        <w:outlineLvl w:val="1"/>
      </w:pPr>
      <w:r>
        <w:rPr>
          <w:b/>
          <w:sz w:val="36"/>
        </w:rPr>
        <w:t>十、其他补充内容</w:t>
      </w:r>
    </w:p>
    <w:p w14:paraId="3416071A">
      <w:pPr>
        <w:pStyle w:val="4"/>
        <w:jc w:val="left"/>
        <w:outlineLvl w:val="2"/>
      </w:pPr>
      <w:r>
        <w:rPr>
          <w:b/>
          <w:sz w:val="28"/>
        </w:rPr>
        <w:t>49.其他补充内容</w:t>
      </w:r>
    </w:p>
    <w:p w14:paraId="6EB7D6EB">
      <w:pPr>
        <w:pStyle w:val="4"/>
        <w:jc w:val="both"/>
      </w:pPr>
      <w:r>
        <w:t>49.1其他补充内容见【投标供应商须知前附表】。</w:t>
      </w:r>
    </w:p>
    <w:p w14:paraId="683335E5">
      <w:pPr>
        <w:pStyle w:val="4"/>
      </w:pPr>
      <w:r>
        <w:t xml:space="preserve"> </w:t>
      </w:r>
    </w:p>
    <w:p w14:paraId="4CE7803E">
      <w:pPr>
        <w:pStyle w:val="4"/>
        <w:jc w:val="left"/>
        <w:outlineLvl w:val="2"/>
      </w:pPr>
      <w:r>
        <w:rPr>
          <w:b/>
          <w:sz w:val="28"/>
        </w:rPr>
        <w:t>附页1质疑函（格式）</w:t>
      </w:r>
    </w:p>
    <w:p w14:paraId="43D31E6C">
      <w:pPr>
        <w:pStyle w:val="4"/>
        <w:jc w:val="center"/>
        <w:outlineLvl w:val="1"/>
      </w:pPr>
      <w:r>
        <w:rPr>
          <w:b/>
          <w:sz w:val="36"/>
        </w:rPr>
        <w:t>质   疑   函</w:t>
      </w:r>
    </w:p>
    <w:p w14:paraId="28328E35">
      <w:pPr>
        <w:pStyle w:val="4"/>
      </w:pPr>
      <w:r>
        <w:t>质疑供应商名称：_____________________________________________</w:t>
      </w:r>
    </w:p>
    <w:p w14:paraId="4C72699C">
      <w:pPr>
        <w:pStyle w:val="4"/>
      </w:pPr>
      <w:r>
        <w:t>通讯地址：___________________________________________________</w:t>
      </w:r>
    </w:p>
    <w:p w14:paraId="4AB6E14D">
      <w:pPr>
        <w:pStyle w:val="4"/>
      </w:pPr>
      <w:r>
        <w:t>法定代表人：____________________联系电话：____________________</w:t>
      </w:r>
    </w:p>
    <w:p w14:paraId="5DBE9A45">
      <w:pPr>
        <w:pStyle w:val="4"/>
      </w:pPr>
      <w:r>
        <w:t>授权代表：______________________联系电话：____________________</w:t>
      </w:r>
    </w:p>
    <w:p w14:paraId="55BE0EA0">
      <w:pPr>
        <w:pStyle w:val="4"/>
        <w:outlineLvl w:val="2"/>
      </w:pPr>
      <w:r>
        <w:rPr>
          <w:b/>
          <w:sz w:val="28"/>
          <w:u w:val="single"/>
        </w:rPr>
        <w:t>（质疑受理单位名称）：</w:t>
      </w:r>
    </w:p>
    <w:p w14:paraId="3F4A88D4">
      <w:pPr>
        <w:pStyle w:val="4"/>
      </w:pPr>
      <w:r>
        <w:t xml:space="preserve"> 针对你单位组织的________________________________________采购项目（项目编号：___________________），我单位现就以下问题提出质疑：</w:t>
      </w:r>
    </w:p>
    <w:p w14:paraId="7725FD7B">
      <w:pPr>
        <w:pStyle w:val="4"/>
      </w:pPr>
      <w:r>
        <w:t>一、质疑事项和与之相关的请求</w:t>
      </w:r>
    </w:p>
    <w:p w14:paraId="4DDE6CA2">
      <w:pPr>
        <w:pStyle w:val="4"/>
      </w:pPr>
      <w:r>
        <w:t>二、事实依据</w:t>
      </w:r>
    </w:p>
    <w:p w14:paraId="5C11E2DC">
      <w:pPr>
        <w:pStyle w:val="4"/>
      </w:pPr>
      <w:r>
        <w:t>三、法律依据</w:t>
      </w:r>
    </w:p>
    <w:p w14:paraId="34235DD7">
      <w:pPr>
        <w:pStyle w:val="4"/>
      </w:pPr>
      <w:r>
        <w:t>……</w:t>
      </w:r>
      <w:r>
        <w:br w:type="textWrapping"/>
      </w:r>
      <w:r>
        <w:br w:type="textWrapping"/>
      </w:r>
      <w:r>
        <w:br w:type="textWrapping"/>
      </w:r>
      <w:r>
        <w:br w:type="textWrapping"/>
      </w:r>
      <w:r>
        <w:br w:type="textWrapping"/>
      </w:r>
      <w:r>
        <w:br w:type="textWrapping"/>
      </w:r>
    </w:p>
    <w:p w14:paraId="726C8CE4">
      <w:pPr>
        <w:pStyle w:val="4"/>
        <w:jc w:val="right"/>
      </w:pPr>
      <w:r>
        <w:t>质疑供应商名称： （盖章）</w:t>
      </w:r>
    </w:p>
    <w:p w14:paraId="0A88715E">
      <w:pPr>
        <w:pStyle w:val="4"/>
        <w:jc w:val="right"/>
      </w:pPr>
      <w:r>
        <w:t xml:space="preserve"> 法定代表人（或授权代表）：（签字）</w:t>
      </w:r>
      <w:r>
        <w:br w:type="textWrapping"/>
      </w:r>
    </w:p>
    <w:p w14:paraId="6EBD8B2B">
      <w:pPr>
        <w:pStyle w:val="4"/>
        <w:jc w:val="right"/>
      </w:pPr>
      <w:r>
        <w:t xml:space="preserve"> _______年_____月______日</w:t>
      </w:r>
    </w:p>
    <w:p w14:paraId="75ABCA71">
      <w:pPr>
        <w:pStyle w:val="4"/>
      </w:pPr>
      <w:r>
        <w:t xml:space="preserve"> </w:t>
      </w:r>
    </w:p>
    <w:p w14:paraId="61A12AAF">
      <w:pPr>
        <w:pStyle w:val="4"/>
        <w:jc w:val="left"/>
        <w:outlineLvl w:val="2"/>
      </w:pPr>
      <w:r>
        <w:rPr>
          <w:b/>
          <w:sz w:val="28"/>
        </w:rPr>
        <w:t>附页2投诉书（格式）</w:t>
      </w:r>
    </w:p>
    <w:p w14:paraId="7C161A4C">
      <w:pPr>
        <w:pStyle w:val="4"/>
        <w:jc w:val="right"/>
      </w:pPr>
      <w:r>
        <w:rPr>
          <w:b/>
        </w:rPr>
        <w:t>正 本</w:t>
      </w:r>
    </w:p>
    <w:p w14:paraId="35BEF499">
      <w:pPr>
        <w:pStyle w:val="4"/>
        <w:jc w:val="center"/>
        <w:outlineLvl w:val="1"/>
      </w:pPr>
      <w:r>
        <w:rPr>
          <w:b/>
          <w:sz w:val="36"/>
        </w:rPr>
        <w:t>投 诉 书</w:t>
      </w:r>
    </w:p>
    <w:p w14:paraId="7FABA64F">
      <w:pPr>
        <w:pStyle w:val="4"/>
        <w:ind w:firstLine="480"/>
      </w:pPr>
      <w:r>
        <w:t xml:space="preserve"> 投诉人名称：_____________________________________________</w:t>
      </w:r>
    </w:p>
    <w:p w14:paraId="188E6B21">
      <w:pPr>
        <w:pStyle w:val="4"/>
        <w:ind w:firstLine="480"/>
      </w:pPr>
      <w:r>
        <w:t xml:space="preserve"> 通讯地址：___________________________________________________</w:t>
      </w:r>
    </w:p>
    <w:p w14:paraId="58B539F2">
      <w:pPr>
        <w:pStyle w:val="4"/>
        <w:ind w:firstLine="480"/>
      </w:pPr>
      <w:r>
        <w:t>法定代表人：____________________联系电 话：____________________</w:t>
      </w:r>
    </w:p>
    <w:p w14:paraId="40F71F07">
      <w:pPr>
        <w:pStyle w:val="4"/>
        <w:ind w:firstLine="480"/>
      </w:pPr>
      <w:r>
        <w:t xml:space="preserve"> 授权代表：______________________联系电话：____________________</w:t>
      </w:r>
    </w:p>
    <w:p w14:paraId="5B05A42C">
      <w:pPr>
        <w:pStyle w:val="4"/>
        <w:ind w:firstLine="480"/>
      </w:pPr>
      <w:r>
        <w:t xml:space="preserve"> 被投诉人名称：________________________________________________</w:t>
      </w:r>
    </w:p>
    <w:p w14:paraId="44F82CE2">
      <w:pPr>
        <w:pStyle w:val="4"/>
        <w:ind w:firstLine="480"/>
      </w:pPr>
      <w:r>
        <w:t xml:space="preserve"> 通讯地址：____________________________________________________</w:t>
      </w:r>
    </w:p>
    <w:p w14:paraId="780FB589">
      <w:pPr>
        <w:pStyle w:val="4"/>
        <w:ind w:firstLine="480"/>
      </w:pPr>
      <w:r>
        <w:t xml:space="preserve"> 联系人：______________________联系电话：____________________</w:t>
      </w:r>
    </w:p>
    <w:p w14:paraId="78AC94A3">
      <w:pPr>
        <w:pStyle w:val="4"/>
      </w:pPr>
      <w:r>
        <w:t>（投诉受理部门名称）：</w:t>
      </w:r>
    </w:p>
    <w:p w14:paraId="45C1555C">
      <w:pPr>
        <w:pStyle w:val="4"/>
        <w:ind w:firstLine="480"/>
      </w:pPr>
      <w:r>
        <w:t>针对</w:t>
      </w:r>
      <w:r>
        <w:rPr>
          <w:u w:val="single"/>
        </w:rPr>
        <w:t>（质疑受理单位名称）</w:t>
      </w:r>
      <w:r>
        <w:t>组织的________采购项目（项目编号：______），我单位现就以下问题提起投诉：</w:t>
      </w:r>
    </w:p>
    <w:p w14:paraId="71EA1C74">
      <w:pPr>
        <w:pStyle w:val="4"/>
        <w:ind w:firstLine="480"/>
      </w:pPr>
      <w:r>
        <w:t>一、投诉事项和与投诉事项相关的请求</w:t>
      </w:r>
    </w:p>
    <w:p w14:paraId="27307F9B">
      <w:pPr>
        <w:pStyle w:val="4"/>
        <w:ind w:firstLine="480"/>
      </w:pPr>
      <w:r>
        <w:t>二、事实依据</w:t>
      </w:r>
    </w:p>
    <w:p w14:paraId="75EB7C8C">
      <w:pPr>
        <w:pStyle w:val="4"/>
        <w:ind w:firstLine="480"/>
      </w:pPr>
      <w:r>
        <w:t>三、法律依据</w:t>
      </w:r>
    </w:p>
    <w:p w14:paraId="5D25F47A">
      <w:pPr>
        <w:pStyle w:val="4"/>
        <w:ind w:firstLine="480"/>
      </w:pPr>
      <w:r>
        <w:t>四、质疑和质疑答复情况及相关证明材料</w:t>
      </w:r>
    </w:p>
    <w:p w14:paraId="0B3EFE3F">
      <w:pPr>
        <w:pStyle w:val="4"/>
        <w:ind w:firstLine="480"/>
      </w:pPr>
      <w:r>
        <w:t>……</w:t>
      </w:r>
      <w:r>
        <w:br w:type="textWrapping"/>
      </w:r>
    </w:p>
    <w:p w14:paraId="630A50F0">
      <w:pPr>
        <w:pStyle w:val="4"/>
        <w:jc w:val="right"/>
      </w:pPr>
      <w:r>
        <w:t>投诉人名称：（盖章）</w:t>
      </w:r>
    </w:p>
    <w:p w14:paraId="06848666">
      <w:pPr>
        <w:pStyle w:val="4"/>
        <w:jc w:val="right"/>
      </w:pPr>
      <w:r>
        <w:t xml:space="preserve"> 法定代表人（或授权代表）：（签字）</w:t>
      </w:r>
    </w:p>
    <w:p w14:paraId="2E340FCB">
      <w:pPr>
        <w:pStyle w:val="4"/>
        <w:jc w:val="right"/>
      </w:pPr>
      <w:r>
        <w:t xml:space="preserve"> _______年_____月______日</w:t>
      </w:r>
    </w:p>
    <w:p w14:paraId="4316DD4F">
      <w:pPr>
        <w:pStyle w:val="4"/>
      </w:pPr>
      <w:r>
        <w:t xml:space="preserve"> </w:t>
      </w:r>
    </w:p>
    <w:p w14:paraId="5C5DBB88">
      <w:pPr>
        <w:pStyle w:val="4"/>
        <w:jc w:val="center"/>
        <w:outlineLvl w:val="1"/>
      </w:pPr>
      <w:r>
        <w:rPr>
          <w:b/>
          <w:sz w:val="36"/>
        </w:rPr>
        <w:t>第二章 合同通用条款</w:t>
      </w:r>
    </w:p>
    <w:p w14:paraId="14D4C3E8">
      <w:pPr>
        <w:pStyle w:val="4"/>
        <w:jc w:val="left"/>
        <w:outlineLvl w:val="2"/>
      </w:pPr>
      <w:r>
        <w:rPr>
          <w:b/>
          <w:sz w:val="28"/>
        </w:rPr>
        <w:t>一、定义</w:t>
      </w:r>
    </w:p>
    <w:p w14:paraId="65857E0A">
      <w:pPr>
        <w:pStyle w:val="4"/>
        <w:jc w:val="both"/>
      </w:pPr>
      <w:r>
        <w:t>（一）“合同”是指甲方和乙方（以下简称双方）已达成的协议。</w:t>
      </w:r>
    </w:p>
    <w:p w14:paraId="41D20E13">
      <w:pPr>
        <w:pStyle w:val="4"/>
        <w:jc w:val="both"/>
      </w:pPr>
      <w:r>
        <w:t>（二）“甲方”是指采购服务的采购单位，或者受采购单位委托的采购机构。</w:t>
      </w:r>
    </w:p>
    <w:p w14:paraId="61138980">
      <w:pPr>
        <w:pStyle w:val="4"/>
        <w:jc w:val="both"/>
      </w:pPr>
      <w:r>
        <w:t>（三）“乙方”是指中标后提供服务的供应商。</w:t>
      </w:r>
    </w:p>
    <w:p w14:paraId="27335ADF">
      <w:pPr>
        <w:pStyle w:val="4"/>
        <w:jc w:val="both"/>
      </w:pPr>
      <w:r>
        <w:t>（四）“合同价格”是指根据合同规定，在乙方全面正确地履行合同义务时支付给乙方的款项。</w:t>
      </w:r>
    </w:p>
    <w:p w14:paraId="1E886506">
      <w:pPr>
        <w:pStyle w:val="4"/>
        <w:jc w:val="left"/>
      </w:pPr>
      <w:r>
        <w:t>（五）“服务”是指乙方根据合同约定向甲方交付或实施的服务。（服务交付类项目，是指在选择供应商后，由供应商按合同要求提供成果或者产品，如设计、规划、软件开发类项目；服务实施类项目，是指在选择供应商后，由供应商按合同要求实施服务，如物业管理服务类项目）</w:t>
      </w:r>
    </w:p>
    <w:p w14:paraId="5B44067E">
      <w:pPr>
        <w:pStyle w:val="4"/>
        <w:jc w:val="left"/>
        <w:outlineLvl w:val="2"/>
      </w:pPr>
      <w:r>
        <w:rPr>
          <w:b/>
          <w:sz w:val="28"/>
        </w:rPr>
        <w:t>二、知识产权</w:t>
      </w:r>
    </w:p>
    <w:p w14:paraId="4D082A2F">
      <w:pPr>
        <w:pStyle w:val="4"/>
        <w:jc w:val="both"/>
      </w:pPr>
      <w:r>
        <w:t>（一）乙方应当保证甲方在使用乙方交付的服务成果时不受第三方提出侵犯其知识产权的指控，对此甲方不承担任何连带责任或赔偿责任。</w:t>
      </w:r>
    </w:p>
    <w:p w14:paraId="09EE73B7">
      <w:pPr>
        <w:pStyle w:val="4"/>
        <w:jc w:val="both"/>
      </w:pPr>
      <w:r>
        <w:rPr>
          <w:b/>
        </w:rPr>
        <w:t>（二）基于项目合同履行形成的知识产权和其他权益，其权属归甲方所有，法律另有规定的除外。</w:t>
      </w:r>
    </w:p>
    <w:p w14:paraId="6A1F80C4">
      <w:pPr>
        <w:pStyle w:val="4"/>
        <w:jc w:val="left"/>
        <w:outlineLvl w:val="2"/>
      </w:pPr>
      <w:r>
        <w:rPr>
          <w:b/>
          <w:sz w:val="28"/>
        </w:rPr>
        <w:t>三、合同的变更和解除</w:t>
      </w:r>
    </w:p>
    <w:p w14:paraId="70800C8A">
      <w:pPr>
        <w:pStyle w:val="4"/>
        <w:jc w:val="both"/>
      </w:pPr>
      <w:r>
        <w:t>（一）因合同变更、解除造成损失的，过错方应当按照合同约定或者国家法律法规承担赔偿责任，双方都有过错的，应当按照合同约定或者国家法律法规各自承担相应的责任。</w:t>
      </w:r>
    </w:p>
    <w:p w14:paraId="78D37866">
      <w:pPr>
        <w:pStyle w:val="4"/>
        <w:jc w:val="both"/>
      </w:pPr>
      <w:r>
        <w:t>（二）合同履行中，存在以下情形之一的，经甲乙双方协商一致，并由甲方按照军队有关规定办理审批后，可以变更合同：</w:t>
      </w:r>
    </w:p>
    <w:p w14:paraId="70E2CCBA">
      <w:pPr>
        <w:pStyle w:val="4"/>
        <w:jc w:val="both"/>
      </w:pPr>
      <w:r>
        <w:t>1.采购单位需要追加或者减少与合同标的相同的物资、工程或者服务的，在不改变合同其他条款的前提下，可以与中标供应商协商，进行协议追加或者减少；物资、服务采购合同补充协议追加采购金额不得超过原合同采购金额的10%；工程采购合同变更适用情形按照行业领域有关规定执行；按照预先采购结果、共享共用采购结果等订立的采购合同，其变更适用情形另有规定的，按照有关规定执行；</w:t>
      </w:r>
    </w:p>
    <w:p w14:paraId="0DB372DC">
      <w:pPr>
        <w:pStyle w:val="4"/>
        <w:jc w:val="both"/>
      </w:pPr>
      <w:r>
        <w:t>2.因产品停产、技术升级等不可预知的客观原因导致合同难以履行，需要更换同品牌升级产品或者同品质升级服务，采购单位可以视情组织专家论证，签订合同变更协议，但合同标的单价不得提高；</w:t>
      </w:r>
    </w:p>
    <w:p w14:paraId="66BDE3D4">
      <w:pPr>
        <w:pStyle w:val="4"/>
        <w:jc w:val="both"/>
      </w:pPr>
      <w:r>
        <w:t>3.采购单位因职能任务调整，需要由其他军队单位承接合同权利义务的，或者中标供应商名称、住所等信息依法登记变更的，可以对合同相应信息进行变更；</w:t>
      </w:r>
    </w:p>
    <w:p w14:paraId="7FB6F5A2">
      <w:pPr>
        <w:pStyle w:val="4"/>
        <w:jc w:val="both"/>
      </w:pPr>
      <w:r>
        <w:t>4.继续履行合同将损害国家或者军队利益，通过合同变更能够消除相应损害的，可以变更合同；</w:t>
      </w:r>
    </w:p>
    <w:p w14:paraId="46C876CB">
      <w:pPr>
        <w:pStyle w:val="4"/>
        <w:jc w:val="both"/>
      </w:pPr>
      <w:r>
        <w:t>5.国家法律法规规定或者合同约定的其他合同变更的情形。</w:t>
      </w:r>
    </w:p>
    <w:p w14:paraId="2DDE9695">
      <w:pPr>
        <w:pStyle w:val="4"/>
        <w:jc w:val="both"/>
      </w:pPr>
      <w:r>
        <w:t>（三）合同履行中，存在以下情形之一的，甲方有权解除合同：</w:t>
      </w:r>
    </w:p>
    <w:p w14:paraId="4EB0EE67">
      <w:pPr>
        <w:pStyle w:val="4"/>
        <w:jc w:val="both"/>
      </w:pPr>
      <w:r>
        <w:t>1.因不可抗力无法履行合同，不能实现合同目的；</w:t>
      </w:r>
    </w:p>
    <w:p w14:paraId="0CF9A83A">
      <w:pPr>
        <w:pStyle w:val="4"/>
        <w:jc w:val="both"/>
      </w:pPr>
      <w:r>
        <w:t>2.继续履行合同将损害国家或者甲方利益，且无法通过合同变更或者中止方式解决；</w:t>
      </w:r>
    </w:p>
    <w:p w14:paraId="1553F7F3">
      <w:pPr>
        <w:pStyle w:val="4"/>
        <w:jc w:val="both"/>
      </w:pPr>
      <w:r>
        <w:t>3.采购任务调整或者取消，不能通过合同变更方式达成新协议；</w:t>
      </w:r>
    </w:p>
    <w:p w14:paraId="0CE5207B">
      <w:pPr>
        <w:pStyle w:val="4"/>
        <w:jc w:val="both"/>
      </w:pPr>
      <w:r>
        <w:t>4.乙方明确表示或者以自己的行为表明不履行合同主要义务；</w:t>
      </w:r>
    </w:p>
    <w:p w14:paraId="002AA50E">
      <w:pPr>
        <w:pStyle w:val="4"/>
        <w:jc w:val="both"/>
      </w:pPr>
      <w:r>
        <w:t>5.乙方迟延履行合同主要义务，经催告后在限定合理整改期限内仍不履行；</w:t>
      </w:r>
    </w:p>
    <w:p w14:paraId="07F19883">
      <w:pPr>
        <w:pStyle w:val="4"/>
        <w:jc w:val="both"/>
      </w:pPr>
      <w:r>
        <w:t>6.乙方存在违规违约行为致使不能实现合同目的；</w:t>
      </w:r>
    </w:p>
    <w:p w14:paraId="7AE9E7F4">
      <w:pPr>
        <w:pStyle w:val="4"/>
        <w:jc w:val="left"/>
      </w:pPr>
      <w:r>
        <w:t>7.乙方发生控股关系、经营范围等重大实质性变化，不符合合同约定的；</w:t>
      </w:r>
    </w:p>
    <w:p w14:paraId="4D6ACB5B">
      <w:pPr>
        <w:pStyle w:val="4"/>
        <w:jc w:val="left"/>
      </w:pPr>
      <w:r>
        <w:t>8.国家法律法规规定或者合同约定的其他情形。</w:t>
      </w:r>
    </w:p>
    <w:p w14:paraId="57B69181">
      <w:pPr>
        <w:pStyle w:val="4"/>
        <w:jc w:val="both"/>
      </w:pPr>
      <w:r>
        <w:t>（四）解除合同时，合同尚未履行的部分终止履行；对于乙方已履行的部分，甲乙双方区分情形，按照以下约定办理：</w:t>
      </w:r>
    </w:p>
    <w:p w14:paraId="7D1E240C">
      <w:pPr>
        <w:pStyle w:val="4"/>
        <w:jc w:val="both"/>
      </w:pPr>
      <w:r>
        <w:t>1.合同已履行并验收合格的部分，乙方没有违规违约行为的，甲方应当按照合同办理支付结算；乙方存在违规违约行为的，甲方应当按照本合同约定扣除违规违约赔偿费用后，办理支付结算；</w:t>
      </w:r>
    </w:p>
    <w:p w14:paraId="52F79D5B">
      <w:pPr>
        <w:pStyle w:val="4"/>
        <w:jc w:val="both"/>
      </w:pPr>
      <w:r>
        <w:t>2.合同已履行部分存在质量瑕疵的，甲方有权要求乙方采取修理、重作、更换、双方协商减价等补救措施，验收合格后，按照本项第1条办理支付结算；</w:t>
      </w:r>
    </w:p>
    <w:p w14:paraId="04D3B1AA">
      <w:pPr>
        <w:pStyle w:val="4"/>
        <w:jc w:val="both"/>
      </w:pPr>
      <w:r>
        <w:t>3.合同已履行部分根据甲方要求经乙方补救后仍未达到合同约定要求的，甲方有权拒绝支付相应的费用；</w:t>
      </w:r>
    </w:p>
    <w:p w14:paraId="7F2509E2">
      <w:pPr>
        <w:pStyle w:val="4"/>
        <w:jc w:val="both"/>
      </w:pPr>
      <w:r>
        <w:t>4.乙方对合同解除负有主要过错责任的，甲方有权拒绝接收合同已履行部分服务。</w:t>
      </w:r>
    </w:p>
    <w:p w14:paraId="380821BD">
      <w:pPr>
        <w:pStyle w:val="4"/>
        <w:jc w:val="left"/>
        <w:outlineLvl w:val="2"/>
      </w:pPr>
      <w:r>
        <w:rPr>
          <w:b/>
          <w:sz w:val="28"/>
        </w:rPr>
        <w:t>四、履约监督</w:t>
      </w:r>
    </w:p>
    <w:p w14:paraId="37673B57">
      <w:pPr>
        <w:pStyle w:val="4"/>
        <w:jc w:val="both"/>
      </w:pPr>
      <w:r>
        <w:t>（一）乙方承诺接受甲方对其资质和履约能力进行监管，并保证在其资质和履约能力发生变化时及时向甲方通报，乙方存在法律规定的丧失或者可能丧失合同履行能力有关情形时，甲方有权中止合同：</w:t>
      </w:r>
    </w:p>
    <w:p w14:paraId="30900E69">
      <w:pPr>
        <w:pStyle w:val="4"/>
        <w:jc w:val="both"/>
      </w:pPr>
      <w:r>
        <w:t>1.经营状况严重恶化的；</w:t>
      </w:r>
    </w:p>
    <w:p w14:paraId="1EE45D3D">
      <w:pPr>
        <w:pStyle w:val="4"/>
        <w:jc w:val="both"/>
      </w:pPr>
      <w:r>
        <w:t>2.转移财产、抽逃资金，以逃避债务的；</w:t>
      </w:r>
    </w:p>
    <w:p w14:paraId="4526457E">
      <w:pPr>
        <w:pStyle w:val="4"/>
        <w:jc w:val="both"/>
      </w:pPr>
      <w:r>
        <w:t>3.丧失商业信誉的；</w:t>
      </w:r>
    </w:p>
    <w:p w14:paraId="351EF7AD">
      <w:pPr>
        <w:pStyle w:val="4"/>
        <w:jc w:val="left"/>
      </w:pPr>
      <w:r>
        <w:t>4.有丧失或者可能丧失履行合同能力的其他情形。</w:t>
      </w:r>
    </w:p>
    <w:p w14:paraId="48F7CBF2">
      <w:pPr>
        <w:pStyle w:val="4"/>
        <w:jc w:val="left"/>
      </w:pPr>
      <w:r>
        <w:t>甲方中止合同的，应当及时通知乙方。乙方提供适当担保的，甲方应当恢复履行。如果乙方在合理期限内未恢复履行能力且未提供适当担保的，甲方有权解除合同，并要求乙方承担违约责任。</w:t>
      </w:r>
    </w:p>
    <w:p w14:paraId="7D01A990">
      <w:pPr>
        <w:pStyle w:val="4"/>
        <w:jc w:val="left"/>
      </w:pPr>
      <w:r>
        <w:t>（二）在不妨碍乙方正常作业的情况下，甲方有权不定期对服务的进度和过程质量管控情况进行监督检查，乙方承诺予以配合，如实反映情况，提供相关材料。</w:t>
      </w:r>
    </w:p>
    <w:p w14:paraId="6FC3FE83">
      <w:pPr>
        <w:pStyle w:val="4"/>
        <w:jc w:val="left"/>
      </w:pPr>
      <w:r>
        <w:t>（三）乙方对于甲方采购管理部门、纪检监察部门、审计部门等职能部门开展的调查，承诺予以配合，如实反映情况，提供相关材料。</w:t>
      </w:r>
    </w:p>
    <w:p w14:paraId="7511058E">
      <w:pPr>
        <w:pStyle w:val="4"/>
        <w:jc w:val="left"/>
        <w:outlineLvl w:val="2"/>
      </w:pPr>
      <w:r>
        <w:rPr>
          <w:b/>
          <w:sz w:val="28"/>
        </w:rPr>
        <w:t>五、转包与分包</w:t>
      </w:r>
    </w:p>
    <w:p w14:paraId="4E33FA91">
      <w:pPr>
        <w:pStyle w:val="4"/>
        <w:jc w:val="left"/>
      </w:pPr>
      <w:r>
        <w:t>（一）乙方不得以任何形式将合同转包。</w:t>
      </w:r>
    </w:p>
    <w:p w14:paraId="1A39D8F5">
      <w:pPr>
        <w:pStyle w:val="4"/>
        <w:jc w:val="left"/>
      </w:pPr>
      <w:r>
        <w:t>（二）乙方未在投标文件中说明，不得将合同的非主体、非关键性部分或工作分包给他人。</w:t>
      </w:r>
    </w:p>
    <w:p w14:paraId="6478654D">
      <w:pPr>
        <w:pStyle w:val="4"/>
        <w:jc w:val="both"/>
      </w:pPr>
      <w:r>
        <w:t>（三）合同分包履行的，乙方应与分包承担主体就分包项目向甲方承担连带责任。</w:t>
      </w:r>
    </w:p>
    <w:p w14:paraId="581AEB56">
      <w:pPr>
        <w:pStyle w:val="4"/>
        <w:jc w:val="left"/>
        <w:outlineLvl w:val="2"/>
      </w:pPr>
      <w:r>
        <w:rPr>
          <w:b/>
          <w:sz w:val="28"/>
        </w:rPr>
        <w:t>六、争议解决方式</w:t>
      </w:r>
    </w:p>
    <w:p w14:paraId="63B8DD2C">
      <w:pPr>
        <w:pStyle w:val="4"/>
        <w:jc w:val="both"/>
      </w:pPr>
      <w:r>
        <w:t>合同履行过程中，发生争议时，按照下列方式解决：</w:t>
      </w:r>
    </w:p>
    <w:p w14:paraId="5741DFD6">
      <w:pPr>
        <w:pStyle w:val="4"/>
        <w:jc w:val="both"/>
      </w:pPr>
      <w:r>
        <w:t>（一）甲方和乙方协商解决。</w:t>
      </w:r>
    </w:p>
    <w:p w14:paraId="056E0446">
      <w:pPr>
        <w:pStyle w:val="4"/>
        <w:jc w:val="both"/>
      </w:pPr>
      <w:r>
        <w:t>（二）协商不一致的，甲方或者乙方向采购机构负责合同履约的部门反映情况，请求第一次调解处理；第一次调解不成功的，向军级单位采购管理部门或者同等权限的采购管理部门请求第二次调解处理。</w:t>
      </w:r>
    </w:p>
    <w:p w14:paraId="7B505958">
      <w:pPr>
        <w:pStyle w:val="4"/>
        <w:jc w:val="left"/>
        <w:outlineLvl w:val="2"/>
      </w:pPr>
      <w:r>
        <w:rPr>
          <w:b/>
          <w:sz w:val="28"/>
        </w:rPr>
        <w:t>七、组成合同的文件</w:t>
      </w:r>
    </w:p>
    <w:p w14:paraId="69B81EB7">
      <w:pPr>
        <w:pStyle w:val="4"/>
        <w:jc w:val="left"/>
      </w:pPr>
      <w:r>
        <w:t>组成本合同的文件及优先解释顺序如下：</w:t>
      </w:r>
    </w:p>
    <w:p w14:paraId="289118CF">
      <w:pPr>
        <w:pStyle w:val="4"/>
        <w:jc w:val="left"/>
      </w:pPr>
      <w:r>
        <w:t>（一）在采购过程中乙方作出的承诺，或合同履行过程中双方协商达成的变更或补充协议；</w:t>
      </w:r>
    </w:p>
    <w:p w14:paraId="0E103332">
      <w:pPr>
        <w:pStyle w:val="4"/>
        <w:jc w:val="both"/>
      </w:pPr>
      <w:r>
        <w:t>（二）中标通知书；</w:t>
      </w:r>
    </w:p>
    <w:p w14:paraId="7D448AE8">
      <w:pPr>
        <w:pStyle w:val="4"/>
        <w:jc w:val="left"/>
      </w:pPr>
      <w:r>
        <w:t>（三）投标文件；</w:t>
      </w:r>
    </w:p>
    <w:p w14:paraId="0D077CBA">
      <w:pPr>
        <w:pStyle w:val="4"/>
        <w:jc w:val="left"/>
      </w:pPr>
      <w:r>
        <w:t>（四）合同专用条款；</w:t>
      </w:r>
    </w:p>
    <w:p w14:paraId="13C57D3D">
      <w:pPr>
        <w:pStyle w:val="4"/>
        <w:jc w:val="left"/>
      </w:pPr>
      <w:r>
        <w:t>（五）合同通用条款；</w:t>
      </w:r>
    </w:p>
    <w:p w14:paraId="0F163933">
      <w:pPr>
        <w:pStyle w:val="4"/>
        <w:jc w:val="left"/>
      </w:pPr>
      <w:r>
        <w:t>（六）招标文件；</w:t>
      </w:r>
    </w:p>
    <w:p w14:paraId="29D8C187">
      <w:pPr>
        <w:pStyle w:val="4"/>
        <w:jc w:val="left"/>
      </w:pPr>
      <w:r>
        <w:t>（七）标准、规范及有关技术文件，图纸；</w:t>
      </w:r>
    </w:p>
    <w:p w14:paraId="43CD713D">
      <w:pPr>
        <w:pStyle w:val="4"/>
        <w:jc w:val="left"/>
      </w:pPr>
      <w:r>
        <w:t>（八）其他合同文件。</w:t>
      </w:r>
    </w:p>
    <w:p w14:paraId="7F940E0B">
      <w:pPr>
        <w:pStyle w:val="4"/>
        <w:jc w:val="left"/>
        <w:outlineLvl w:val="2"/>
      </w:pPr>
      <w:r>
        <w:rPr>
          <w:b/>
          <w:sz w:val="28"/>
        </w:rPr>
        <w:t>八、其他</w:t>
      </w:r>
    </w:p>
    <w:p w14:paraId="70A8DC0E">
      <w:pPr>
        <w:pStyle w:val="4"/>
        <w:jc w:val="left"/>
      </w:pPr>
      <w:r>
        <w:t>（一）合同未尽事宜，甲乙双方另行签订补充协议，补充协议是合同的组成部分。</w:t>
      </w:r>
    </w:p>
    <w:p w14:paraId="59368E05">
      <w:pPr>
        <w:pStyle w:val="4"/>
        <w:jc w:val="left"/>
      </w:pPr>
      <w:r>
        <w:t>（二）合同备案。甲方按军队合同备案管理规定，报相关部门备案。</w:t>
      </w:r>
    </w:p>
    <w:p w14:paraId="024926B2">
      <w:pPr>
        <w:pStyle w:val="4"/>
      </w:pPr>
      <w:r>
        <w:t xml:space="preserve"> </w:t>
      </w:r>
    </w:p>
    <w:p w14:paraId="1CBD8D00">
      <w:pPr>
        <w:pStyle w:val="4"/>
        <w:jc w:val="center"/>
        <w:outlineLvl w:val="1"/>
      </w:pPr>
      <w:r>
        <w:rPr>
          <w:b/>
          <w:sz w:val="36"/>
        </w:rPr>
        <w:t>第三章 投标文件内容及格式</w:t>
      </w:r>
    </w:p>
    <w:p w14:paraId="42C9613E">
      <w:pPr>
        <w:pStyle w:val="4"/>
        <w:jc w:val="left"/>
        <w:outlineLvl w:val="2"/>
      </w:pPr>
      <w:r>
        <w:rPr>
          <w:b/>
          <w:sz w:val="28"/>
        </w:rPr>
        <w:t>一、投标文件内容及格式</w:t>
      </w:r>
    </w:p>
    <w:p w14:paraId="78B4EC95">
      <w:pPr>
        <w:pStyle w:val="4"/>
        <w:ind w:firstLine="480"/>
        <w:jc w:val="both"/>
      </w:pPr>
      <w:r>
        <w:t>投标文件分为“价格文件”“商务技术文件”和“资格证明文件”，包括但不限于本章所述内容，本章提供格式文件的请按格式要求制作。投标文件格式将在投标客户端中提供下载使用。</w:t>
      </w:r>
    </w:p>
    <w:p w14:paraId="16AFCD96">
      <w:pPr>
        <w:pStyle w:val="4"/>
        <w:jc w:val="left"/>
      </w:pPr>
      <w:r>
        <w:t xml:space="preserve"> </w:t>
      </w:r>
    </w:p>
    <w:p w14:paraId="24A71EAB">
      <w:pPr>
        <w:pStyle w:val="4"/>
        <w:jc w:val="center"/>
        <w:outlineLvl w:val="0"/>
      </w:pPr>
      <w:r>
        <w:rPr>
          <w:b/>
          <w:sz w:val="48"/>
        </w:rPr>
        <w:t>军队服务类项目电子化公开招标文件（2.0版）</w:t>
      </w:r>
    </w:p>
    <w:p w14:paraId="0B799890">
      <w:pPr>
        <w:pStyle w:val="4"/>
        <w:jc w:val="center"/>
        <w:outlineLvl w:val="1"/>
      </w:pPr>
      <w:r>
        <w:rPr>
          <w:b/>
          <w:sz w:val="36"/>
        </w:rPr>
        <w:t>专用文件</w:t>
      </w:r>
    </w:p>
    <w:p w14:paraId="0D7C49CD">
      <w:pPr>
        <w:pStyle w:val="4"/>
        <w:jc w:val="center"/>
        <w:outlineLvl w:val="2"/>
      </w:pPr>
      <w:r>
        <w:rPr>
          <w:b/>
          <w:sz w:val="28"/>
        </w:rPr>
        <w:t>项目名称：智慧校园软件底座（包一）</w:t>
      </w:r>
    </w:p>
    <w:p w14:paraId="65C3C005">
      <w:pPr>
        <w:pStyle w:val="4"/>
        <w:jc w:val="center"/>
        <w:outlineLvl w:val="2"/>
      </w:pPr>
      <w:r>
        <w:rPr>
          <w:b/>
          <w:sz w:val="28"/>
        </w:rPr>
        <w:t>项目编号：2026-JQ03-F1038（01）</w:t>
      </w:r>
    </w:p>
    <w:p w14:paraId="7FDD59DF">
      <w:pPr>
        <w:pStyle w:val="4"/>
        <w:jc w:val="center"/>
        <w:outlineLvl w:val="2"/>
      </w:pPr>
      <w:r>
        <w:rPr>
          <w:b/>
          <w:sz w:val="28"/>
        </w:rPr>
        <w:t>编制时间：2026年03月17日</w:t>
      </w:r>
    </w:p>
    <w:p w14:paraId="09356370">
      <w:pPr>
        <w:pStyle w:val="4"/>
      </w:pPr>
      <w:r>
        <w:t xml:space="preserve"> </w:t>
      </w:r>
    </w:p>
    <w:p w14:paraId="712D1B2B">
      <w:pPr>
        <w:pStyle w:val="4"/>
        <w:jc w:val="center"/>
        <w:outlineLvl w:val="1"/>
      </w:pPr>
      <w:r>
        <w:rPr>
          <w:b/>
          <w:sz w:val="36"/>
        </w:rPr>
        <w:t>特别提示</w:t>
      </w:r>
    </w:p>
    <w:p w14:paraId="2EA3EC71">
      <w:pPr>
        <w:pStyle w:val="4"/>
        <w:jc w:val="both"/>
      </w:pPr>
      <w:r>
        <w:t>一、本项目招标文件由通用文件和专用文件共同组成，通用文件为军队服务类电子化公开招标项目的一般性说明，专用文件为本项目特定要求的具体描述。通用文件与专用文件不一致的，以专用文件为准。</w:t>
      </w:r>
    </w:p>
    <w:p w14:paraId="6E995F90">
      <w:pPr>
        <w:pStyle w:val="4"/>
        <w:jc w:val="both"/>
      </w:pPr>
      <w:r>
        <w:t>采购机构未提供通用文件的，请从军队采购网（www.plap.mil.cn）“采购标准规范”栏下载，并注意下载文件为《军队服务类项目电子化公开招标文件（2.0版）通用文件》。</w:t>
      </w:r>
    </w:p>
    <w:p w14:paraId="09CA81FF">
      <w:pPr>
        <w:pStyle w:val="4"/>
        <w:jc w:val="both"/>
      </w:pPr>
      <w:r>
        <w:t>二、投标供应商应当诚实守信，不得虚假投标。请认真阅读通用文件第三章“投标文件内容及格式”中的“供应商承诺声明”，并盖章确认。评审委员会和采购机构视情核实投标材料真伪，一经核实属于虚假投标的，将按照无效投标处理，并将违规情形报告采购管理部门，依法依规予以处罚。</w:t>
      </w:r>
    </w:p>
    <w:p w14:paraId="7F7DABA9">
      <w:pPr>
        <w:pStyle w:val="4"/>
        <w:jc w:val="both"/>
      </w:pPr>
      <w:r>
        <w:t>三、投标供应商参加本项目前，应当在军队采购网登记备案，如实提供相关材料，未在军队采购网登记备案的，不得参加采购活动。</w:t>
      </w:r>
    </w:p>
    <w:p w14:paraId="78D3DC42">
      <w:pPr>
        <w:pStyle w:val="4"/>
        <w:jc w:val="both"/>
      </w:pPr>
      <w:r>
        <w:t>四、投标供应商应当特别留意招标文件上载明的开标方式。其中，不到场开标方式，投标供应商通过互联网登录军队采购网物资服务招投标系统，在线解密投标文件，并使用电子签章对开标信息进行确认；到现场开标方式，投标供应商到现场向采购机构提交投标文件光盘。光盘刻录时，应采用通用的光盘文件格式（ISO-9660），确保任何类型电脑均能够读取。投标供应商应使用专用刻录软件，选择ISO-9660文件格式刻录。如使用选择其他格式（如UDF文件格式），或采用Windows系统自带刻录功能刻录，可能造成开标场所设备无法识别、读取。采购机构对因未按规定格式刻录，造成投标文件不能读取的，不承担责任。在开标时解密投标文件，签字确认开标结果。</w:t>
      </w:r>
    </w:p>
    <w:p w14:paraId="41F3AE3C">
      <w:pPr>
        <w:pStyle w:val="4"/>
        <w:jc w:val="both"/>
      </w:pPr>
      <w:r>
        <w:t>五、到现场开标时，法定代表人（或非法人组织主要负责人，下同）应当携带身份证（原件），授权代表应当携带身份证（原件）、法定代表人授权书和授权代表在投标前4个月内（不含投标当月）连续3个月由投标供应商缴纳社保证明材料的复印件，代缴社保证明材料不予认可。未按上述要求提供材料的，投标文件将被拒收。</w:t>
      </w:r>
    </w:p>
    <w:p w14:paraId="18C0D1AC">
      <w:pPr>
        <w:pStyle w:val="4"/>
        <w:jc w:val="both"/>
      </w:pPr>
      <w:r>
        <w:t>六、投标保证金应当采取非现金方式缴纳。采取汇款方式缴纳的，投标保证金应当从投标供应商的银行账户缴纳且在投标截止时间前到达采购机构账户内，否则视为无效投标；投标供应商在汇款时应当在备注信息中注明本项目的编号及用途（如“项目编号，投标保证金”），以便采购机构的财务人员查证入账。</w:t>
      </w:r>
      <w:r>
        <w:br w:type="textWrapping"/>
      </w:r>
      <w:r>
        <w:t>未按规定缴纳投标保证金的，视为无效投标。</w:t>
      </w:r>
    </w:p>
    <w:p w14:paraId="316E4FE0">
      <w:pPr>
        <w:pStyle w:val="4"/>
        <w:jc w:val="both"/>
      </w:pPr>
      <w:r>
        <w:t>七、请仔细检查招标文件要求提交相关证书的有效期。</w:t>
      </w:r>
    </w:p>
    <w:p w14:paraId="04856F3D">
      <w:pPr>
        <w:pStyle w:val="4"/>
        <w:jc w:val="both"/>
      </w:pPr>
      <w:r>
        <w:t>八、投标文件要求盖章的，一般使用电子签章，也可提供加盖公章的PDF扫描件。投标文件要求签字的，一般使用电子签章（方章或签名章），也可提供签字或实体印章（方章或签名章）的PDF扫描件。</w:t>
      </w:r>
    </w:p>
    <w:p w14:paraId="4E20914F">
      <w:pPr>
        <w:pStyle w:val="4"/>
        <w:jc w:val="both"/>
      </w:pPr>
      <w:r>
        <w:t>九、带“★”号条款均为实质性响应指标要求，应当全部响应。若有一项带“★”条款未响应或不满足，均视为非实质性响应招标文件，按无效投标处理。</w:t>
      </w:r>
    </w:p>
    <w:p w14:paraId="0F602EB0">
      <w:pPr>
        <w:pStyle w:val="4"/>
        <w:jc w:val="both"/>
      </w:pPr>
      <w:r>
        <w:t>十、投标文件中除《价格文件》和《易损易耗件清单》外，其他部分不得有任何涉及本次投标的报价信息，否则视为无效投标。</w:t>
      </w:r>
    </w:p>
    <w:p w14:paraId="49188088">
      <w:pPr>
        <w:pStyle w:val="4"/>
        <w:jc w:val="left"/>
      </w:pPr>
      <w:r>
        <w:t>评审方法为质量优先法的，“开标一览表（不含价格）”和“开标一览表（含价格）”，除单价、金额和投标总价外，其他实质性内容应当保持一致，否则视为无效投标。</w:t>
      </w:r>
    </w:p>
    <w:p w14:paraId="1EB1CC02">
      <w:pPr>
        <w:pStyle w:val="4"/>
        <w:jc w:val="both"/>
      </w:pPr>
      <w: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7DFB58AA">
      <w:pPr>
        <w:pStyle w:val="4"/>
        <w:jc w:val="both"/>
      </w:pPr>
      <w:r>
        <w:t>十二、投标供应商如有两个以上名称且在投标文件中同时出现的，应当提供市场监管部门出具的其为同一单位书面证明材料；军队单位或事业单位，可以提供其上级主管部门出具的书面证明材料。</w:t>
      </w:r>
    </w:p>
    <w:p w14:paraId="5BDF87A7">
      <w:pPr>
        <w:pStyle w:val="4"/>
        <w:jc w:val="both"/>
      </w:pPr>
      <w:r>
        <w:t>十三、本招标文件中所有时间均为北京时间。文件中“近*年/月”“最近*年/月”“前*年/月”均是指以投标截止时间为基准点向前推算。投标截止时间在6月1日（不含）前，近3年财务报表指上年度之前的3年 (不含上年度)，投标截止时间在6月1日（含）后，近3年财务报表指本年度之前的3年（含上年度），特别说明除外。</w:t>
      </w:r>
    </w:p>
    <w:p w14:paraId="765F7237">
      <w:pPr>
        <w:pStyle w:val="4"/>
        <w:jc w:val="both"/>
      </w:pPr>
      <w:r>
        <w:t>十四、本次招标、投标、评标均以包为单位，投标供应商应当对所投包内所有服务进行投标报价，否则视为无效投标。投标供应商对同一种服务只允许有唯一报价，任何有选择的报价或有附加条件的报价，均视为无效投标。</w:t>
      </w:r>
    </w:p>
    <w:p w14:paraId="5F2B59FF">
      <w:pPr>
        <w:pStyle w:val="4"/>
        <w:jc w:val="both"/>
      </w:pPr>
      <w:r>
        <w:t>十五、投标文件中相关扫描材料应当清晰可辨，如材料模糊且不能在规定时间提供凭证，视为该项材料无效。</w:t>
      </w:r>
    </w:p>
    <w:p w14:paraId="4DE832F6">
      <w:pPr>
        <w:pStyle w:val="4"/>
        <w:jc w:val="both"/>
      </w:pPr>
      <w:r>
        <w:t>十六、投标供应商发现购买招标文件时提交的相关材料被盗用或复制，应当通过法律途径解决，追究侵权者责任。</w:t>
      </w:r>
    </w:p>
    <w:p w14:paraId="4FC8C6F0">
      <w:pPr>
        <w:pStyle w:val="4"/>
        <w:jc w:val="left"/>
      </w:pPr>
      <w:r>
        <w:t>十七、投标供应商中标的，不得转包，未经合同约定允许不得分包。一经发现转包和违规分包行为，相关企业均将受到相关处罚。</w:t>
      </w:r>
    </w:p>
    <w:p w14:paraId="35FCA14C">
      <w:pPr>
        <w:pStyle w:val="4"/>
        <w:jc w:val="left"/>
      </w:pPr>
      <w:r>
        <w:t>十八、使用离线版投标客户端编制投标文件的，投标时，投标供应商必须提供纸质版《供应商投标承诺书》，对按上述方式制作的电子投标文件真实性、有效性作出承诺。未提供《供应商投标承诺书》的，电子版投标文件将被拒收。投标文件未按要求盖章、签字，按照无效投标处理。</w:t>
      </w:r>
    </w:p>
    <w:p w14:paraId="03154447">
      <w:pPr>
        <w:pStyle w:val="4"/>
        <w:jc w:val="both"/>
      </w:pPr>
      <w:r>
        <w:t>十九、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0CECDAE0">
      <w:pPr>
        <w:pStyle w:val="4"/>
        <w:jc w:val="left"/>
      </w:pPr>
      <w:r>
        <w:t>二十、其他说明: 上述第十点“本次投标的报价信息”指招标文件第四章附表5《价格评审表标准表》中报价的相关信息，不包括招标文件要求提供的其他报价信息。</w:t>
      </w:r>
    </w:p>
    <w:p w14:paraId="2DC4BAF8">
      <w:pPr>
        <w:pStyle w:val="4"/>
      </w:pPr>
      <w:r>
        <w:t xml:space="preserve"> </w:t>
      </w:r>
    </w:p>
    <w:p w14:paraId="1E095202">
      <w:pPr>
        <w:pStyle w:val="4"/>
        <w:jc w:val="center"/>
        <w:outlineLvl w:val="1"/>
      </w:pPr>
      <w:r>
        <w:rPr>
          <w:b/>
          <w:sz w:val="36"/>
        </w:rPr>
        <w:t>第四章 投标供应商须知前附表</w:t>
      </w:r>
    </w:p>
    <w:p w14:paraId="165A4E25">
      <w:pPr>
        <w:pStyle w:val="4"/>
        <w:jc w:val="left"/>
        <w:outlineLvl w:val="2"/>
      </w:pPr>
      <w:r>
        <w:rPr>
          <w:b/>
          <w:sz w:val="28"/>
        </w:rPr>
        <w:t>一、投标供应商须知前附表</w:t>
      </w:r>
    </w:p>
    <w:p w14:paraId="47D246CB">
      <w:pPr>
        <w:pStyle w:val="4"/>
        <w:jc w:val="both"/>
      </w:pPr>
      <w:r>
        <w:t>本表是对本项目需重点关注内容的集中说明。专用文件与通用文件存在不一致的地方，以专用文件要求为准。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244"/>
        <w:gridCol w:w="2076"/>
      </w:tblGrid>
      <w:tr w14:paraId="3ABC1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E18DD2">
            <w:pPr>
              <w:pStyle w:val="4"/>
            </w:pPr>
            <w:r>
              <w:t>序号</w:t>
            </w:r>
          </w:p>
        </w:tc>
        <w:tc>
          <w:tcPr>
            <w:tcW w:w="2076" w:type="dxa"/>
          </w:tcPr>
          <w:p w14:paraId="08A5E172">
            <w:pPr>
              <w:pStyle w:val="4"/>
            </w:pPr>
            <w:r>
              <w:t>招投标相关事项</w:t>
            </w:r>
          </w:p>
        </w:tc>
        <w:tc>
          <w:tcPr>
            <w:tcW w:w="2076" w:type="dxa"/>
          </w:tcPr>
          <w:p w14:paraId="2D352C0D">
            <w:pPr>
              <w:pStyle w:val="4"/>
            </w:pPr>
            <w:r>
              <w:t>项目具体要求（见专用文件）</w:t>
            </w:r>
          </w:p>
        </w:tc>
        <w:tc>
          <w:tcPr>
            <w:tcW w:w="2076" w:type="dxa"/>
          </w:tcPr>
          <w:p w14:paraId="28C20CAE">
            <w:pPr>
              <w:pStyle w:val="4"/>
            </w:pPr>
            <w:r>
              <w:t>通用要求（见通用文件）</w:t>
            </w:r>
          </w:p>
        </w:tc>
      </w:tr>
      <w:tr w14:paraId="64498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582E05">
            <w:pPr>
              <w:pStyle w:val="4"/>
            </w:pPr>
            <w:r>
              <w:t>1</w:t>
            </w:r>
          </w:p>
        </w:tc>
        <w:tc>
          <w:tcPr>
            <w:tcW w:w="2076" w:type="dxa"/>
          </w:tcPr>
          <w:p w14:paraId="5D5175FC">
            <w:pPr>
              <w:pStyle w:val="4"/>
            </w:pPr>
            <w:r>
              <w:t>项目概况</w:t>
            </w:r>
          </w:p>
        </w:tc>
        <w:tc>
          <w:tcPr>
            <w:tcW w:w="2076" w:type="dxa"/>
          </w:tcPr>
          <w:p w14:paraId="769EFAAB">
            <w:pPr>
              <w:pStyle w:val="4"/>
            </w:pPr>
            <w:r>
              <w:t>项目名称：智慧校园软件底座（包一）</w:t>
            </w:r>
          </w:p>
          <w:p w14:paraId="4B6F9191">
            <w:pPr>
              <w:pStyle w:val="4"/>
            </w:pPr>
            <w:r>
              <w:t>项目编号：2026-JQ03-F1038（01）</w:t>
            </w:r>
          </w:p>
          <w:p w14:paraId="537E0968">
            <w:pPr>
              <w:pStyle w:val="4"/>
            </w:pPr>
            <w:r>
              <w:t>项目预算及最高限价：1112万元</w:t>
            </w:r>
          </w:p>
          <w:p w14:paraId="5817538C">
            <w:pPr>
              <w:pStyle w:val="4"/>
            </w:pPr>
            <w:r>
              <w:t>采购机构：联勤保障部队第三采购服务站</w:t>
            </w:r>
          </w:p>
          <w:p w14:paraId="13E0011D">
            <w:pPr>
              <w:pStyle w:val="4"/>
            </w:pPr>
            <w:r>
              <w:t>投标保证金退付事宜请联系现场开标负责人或采购结果公示助理</w:t>
            </w:r>
          </w:p>
        </w:tc>
        <w:tc>
          <w:tcPr>
            <w:tcW w:w="2076" w:type="dxa"/>
          </w:tcPr>
          <w:p w14:paraId="6347286B"/>
        </w:tc>
      </w:tr>
      <w:tr w14:paraId="1905B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51A4E5">
            <w:pPr>
              <w:pStyle w:val="4"/>
            </w:pPr>
            <w:r>
              <w:t>2</w:t>
            </w:r>
          </w:p>
        </w:tc>
        <w:tc>
          <w:tcPr>
            <w:tcW w:w="2076" w:type="dxa"/>
          </w:tcPr>
          <w:p w14:paraId="5A22FE1D">
            <w:pPr>
              <w:pStyle w:val="4"/>
            </w:pPr>
            <w:r>
              <w:t>投标供应商资格条件</w:t>
            </w:r>
          </w:p>
        </w:tc>
        <w:tc>
          <w:tcPr>
            <w:tcW w:w="2076" w:type="dxa"/>
          </w:tcPr>
          <w:p w14:paraId="299EF283">
            <w:pPr>
              <w:pStyle w:val="4"/>
            </w:pPr>
            <w:r>
              <w:t>详见公告</w:t>
            </w:r>
          </w:p>
        </w:tc>
        <w:tc>
          <w:tcPr>
            <w:tcW w:w="2076" w:type="dxa"/>
          </w:tcPr>
          <w:p w14:paraId="64E224A4">
            <w:pPr>
              <w:pStyle w:val="4"/>
            </w:pPr>
            <w:r>
              <w:t>第3.2条</w:t>
            </w:r>
          </w:p>
        </w:tc>
      </w:tr>
      <w:tr w14:paraId="2653C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397747">
            <w:pPr>
              <w:pStyle w:val="4"/>
            </w:pPr>
            <w:r>
              <w:t>3</w:t>
            </w:r>
          </w:p>
        </w:tc>
        <w:tc>
          <w:tcPr>
            <w:tcW w:w="2076" w:type="dxa"/>
          </w:tcPr>
          <w:p w14:paraId="249D2829">
            <w:pPr>
              <w:pStyle w:val="4"/>
            </w:pPr>
            <w:r>
              <w:t>招标文件申领（下载）时间</w:t>
            </w:r>
          </w:p>
        </w:tc>
        <w:tc>
          <w:tcPr>
            <w:tcW w:w="2076" w:type="dxa"/>
          </w:tcPr>
          <w:p w14:paraId="71AC4F51">
            <w:pPr>
              <w:pStyle w:val="4"/>
            </w:pPr>
            <w:r>
              <w:t>详见公告</w:t>
            </w:r>
          </w:p>
        </w:tc>
        <w:tc>
          <w:tcPr>
            <w:tcW w:w="2076" w:type="dxa"/>
          </w:tcPr>
          <w:p w14:paraId="64B134C4">
            <w:pPr>
              <w:pStyle w:val="4"/>
            </w:pPr>
            <w:r>
              <w:t>第7.1条</w:t>
            </w:r>
          </w:p>
        </w:tc>
      </w:tr>
      <w:tr w14:paraId="22E1A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5A5146">
            <w:pPr>
              <w:pStyle w:val="4"/>
            </w:pPr>
            <w:r>
              <w:t>4</w:t>
            </w:r>
          </w:p>
        </w:tc>
        <w:tc>
          <w:tcPr>
            <w:tcW w:w="2076" w:type="dxa"/>
          </w:tcPr>
          <w:p w14:paraId="2008B259">
            <w:pPr>
              <w:pStyle w:val="4"/>
            </w:pPr>
            <w:r>
              <w:t>组织现场踏勘或召开标前答疑会</w:t>
            </w:r>
          </w:p>
        </w:tc>
        <w:tc>
          <w:tcPr>
            <w:tcW w:w="2076" w:type="dxa"/>
          </w:tcPr>
          <w:p w14:paraId="1EC26322">
            <w:pPr>
              <w:pStyle w:val="4"/>
            </w:pPr>
            <w:r>
              <w:t>详见公告</w:t>
            </w:r>
          </w:p>
        </w:tc>
        <w:tc>
          <w:tcPr>
            <w:tcW w:w="2076" w:type="dxa"/>
          </w:tcPr>
          <w:p w14:paraId="5B0FF656">
            <w:pPr>
              <w:pStyle w:val="4"/>
            </w:pPr>
            <w:r>
              <w:t>第7.2条</w:t>
            </w:r>
          </w:p>
        </w:tc>
      </w:tr>
      <w:tr w14:paraId="57C50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FF8B12">
            <w:pPr>
              <w:pStyle w:val="4"/>
            </w:pPr>
            <w:r>
              <w:t>5</w:t>
            </w:r>
          </w:p>
        </w:tc>
        <w:tc>
          <w:tcPr>
            <w:tcW w:w="2076" w:type="dxa"/>
          </w:tcPr>
          <w:p w14:paraId="2EDC31F8">
            <w:pPr>
              <w:pStyle w:val="4"/>
            </w:pPr>
            <w:r>
              <w:t>信息发布媒体</w:t>
            </w:r>
          </w:p>
        </w:tc>
        <w:tc>
          <w:tcPr>
            <w:tcW w:w="2076" w:type="dxa"/>
          </w:tcPr>
          <w:p w14:paraId="2A24AF91">
            <w:pPr>
              <w:pStyle w:val="4"/>
            </w:pPr>
            <w:r>
              <w:t>www.plap.mil.cn</w:t>
            </w:r>
          </w:p>
        </w:tc>
        <w:tc>
          <w:tcPr>
            <w:tcW w:w="2076" w:type="dxa"/>
          </w:tcPr>
          <w:p w14:paraId="4495A8A0">
            <w:pPr>
              <w:pStyle w:val="4"/>
            </w:pPr>
            <w:r>
              <w:t>第8.1条</w:t>
            </w:r>
          </w:p>
        </w:tc>
      </w:tr>
      <w:tr w14:paraId="1BE7F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662480">
            <w:pPr>
              <w:pStyle w:val="4"/>
            </w:pPr>
            <w:r>
              <w:t>6</w:t>
            </w:r>
          </w:p>
        </w:tc>
        <w:tc>
          <w:tcPr>
            <w:tcW w:w="2076" w:type="dxa"/>
          </w:tcPr>
          <w:p w14:paraId="52B4742B">
            <w:pPr>
              <w:pStyle w:val="4"/>
            </w:pPr>
            <w:r>
              <w:t>中标供应商数量</w:t>
            </w:r>
          </w:p>
        </w:tc>
        <w:tc>
          <w:tcPr>
            <w:tcW w:w="2076" w:type="dxa"/>
          </w:tcPr>
          <w:p w14:paraId="2C885EBF">
            <w:pPr>
              <w:pStyle w:val="4"/>
            </w:pPr>
            <w:r>
              <w:t>详见公告</w:t>
            </w:r>
          </w:p>
        </w:tc>
        <w:tc>
          <w:tcPr>
            <w:tcW w:w="2076" w:type="dxa"/>
          </w:tcPr>
          <w:p w14:paraId="3D3A4E7E">
            <w:pPr>
              <w:pStyle w:val="4"/>
            </w:pPr>
            <w:r>
              <w:t>第35.3条</w:t>
            </w:r>
          </w:p>
        </w:tc>
      </w:tr>
      <w:tr w14:paraId="6327E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1D274C">
            <w:pPr>
              <w:pStyle w:val="4"/>
            </w:pPr>
            <w:r>
              <w:t>7</w:t>
            </w:r>
          </w:p>
        </w:tc>
        <w:tc>
          <w:tcPr>
            <w:tcW w:w="2076" w:type="dxa"/>
          </w:tcPr>
          <w:p w14:paraId="1D96BFD0">
            <w:pPr>
              <w:pStyle w:val="4"/>
            </w:pPr>
            <w:r>
              <w:t>投标有效期</w:t>
            </w:r>
          </w:p>
        </w:tc>
        <w:tc>
          <w:tcPr>
            <w:tcW w:w="2076" w:type="dxa"/>
          </w:tcPr>
          <w:p w14:paraId="176CA0E0">
            <w:pPr>
              <w:pStyle w:val="4"/>
            </w:pPr>
            <w:r>
              <w:t>从提交投标文件的截止之日起 180 日</w:t>
            </w:r>
          </w:p>
        </w:tc>
        <w:tc>
          <w:tcPr>
            <w:tcW w:w="2076" w:type="dxa"/>
          </w:tcPr>
          <w:p w14:paraId="37C8A33B">
            <w:pPr>
              <w:pStyle w:val="4"/>
            </w:pPr>
            <w:r>
              <w:t>第16.1条</w:t>
            </w:r>
          </w:p>
        </w:tc>
      </w:tr>
      <w:tr w14:paraId="441EE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081DDF">
            <w:pPr>
              <w:pStyle w:val="4"/>
            </w:pPr>
            <w:r>
              <w:t>8</w:t>
            </w:r>
          </w:p>
        </w:tc>
        <w:tc>
          <w:tcPr>
            <w:tcW w:w="2076" w:type="dxa"/>
          </w:tcPr>
          <w:p w14:paraId="45694FCD">
            <w:pPr>
              <w:pStyle w:val="4"/>
            </w:pPr>
            <w:r>
              <w:t>投标报价的其他要求</w:t>
            </w:r>
          </w:p>
        </w:tc>
        <w:tc>
          <w:tcPr>
            <w:tcW w:w="2076" w:type="dxa"/>
          </w:tcPr>
          <w:p w14:paraId="0410A39B">
            <w:pPr>
              <w:pStyle w:val="4"/>
            </w:pPr>
            <w:r>
              <w:t>无</w:t>
            </w:r>
          </w:p>
        </w:tc>
        <w:tc>
          <w:tcPr>
            <w:tcW w:w="2076" w:type="dxa"/>
          </w:tcPr>
          <w:p w14:paraId="3F84AE38"/>
        </w:tc>
      </w:tr>
      <w:tr w14:paraId="7CB77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85A1DAB">
            <w:pPr>
              <w:pStyle w:val="4"/>
            </w:pPr>
            <w:r>
              <w:t>9</w:t>
            </w:r>
          </w:p>
        </w:tc>
        <w:tc>
          <w:tcPr>
            <w:tcW w:w="2076" w:type="dxa"/>
          </w:tcPr>
          <w:p w14:paraId="327A009F">
            <w:pPr>
              <w:pStyle w:val="4"/>
            </w:pPr>
            <w:r>
              <w:t>投标保证金</w:t>
            </w:r>
          </w:p>
        </w:tc>
        <w:tc>
          <w:tcPr>
            <w:tcW w:w="2076" w:type="dxa"/>
          </w:tcPr>
          <w:p w14:paraId="7BAD0BAE">
            <w:pPr>
              <w:pStyle w:val="4"/>
            </w:pPr>
            <w:r>
              <w:t>采购包1保证金金额：100,000.00元</w:t>
            </w:r>
          </w:p>
          <w:p w14:paraId="770AAD02">
            <w:pPr>
              <w:pStyle w:val="4"/>
            </w:pPr>
            <w:r>
              <w:t>缴交渠道：转账</w:t>
            </w:r>
          </w:p>
          <w:p w14:paraId="59B01F11">
            <w:pPr>
              <w:pStyle w:val="4"/>
            </w:pPr>
            <w:r>
              <w:t>账户名称：中国人民解放军32619部队收缴户</w:t>
            </w:r>
          </w:p>
          <w:p w14:paraId="0018EFB4">
            <w:pPr>
              <w:pStyle w:val="4"/>
            </w:pPr>
            <w:r>
              <w:t>开户银行：中国建设银行股份有限公司成都第九支行</w:t>
            </w:r>
          </w:p>
          <w:p w14:paraId="52C87365">
            <w:pPr>
              <w:pStyle w:val="4"/>
            </w:pPr>
            <w:r>
              <w:t>银行账号：51050149840809002666</w:t>
            </w:r>
          </w:p>
          <w:p w14:paraId="0FC29229">
            <w:pPr>
              <w:pStyle w:val="4"/>
            </w:pPr>
            <w:r>
              <w:t xml:space="preserve"> 其他说明：</w:t>
            </w:r>
          </w:p>
          <w:p w14:paraId="7C2735B8">
            <w:pPr>
              <w:pStyle w:val="4"/>
            </w:pPr>
            <w:r>
              <w:t xml:space="preserve"> 1、缴纳截止时间为本项目投标（报价）截止时间，以保证金账户实际收款为准；</w:t>
            </w:r>
          </w:p>
          <w:p w14:paraId="13354062">
            <w:pPr>
              <w:pStyle w:val="4"/>
            </w:pPr>
            <w:r>
              <w:t xml:space="preserve"> 2、采用线下缴纳的，投标单位应当从银行账户转账至保证金账户，在汇款时要在备注信息中注明本项目的编号及用途。</w:t>
            </w:r>
          </w:p>
        </w:tc>
        <w:tc>
          <w:tcPr>
            <w:tcW w:w="2076" w:type="dxa"/>
          </w:tcPr>
          <w:p w14:paraId="7C5CAEDA">
            <w:pPr>
              <w:pStyle w:val="4"/>
            </w:pPr>
            <w:r>
              <w:t>第18条</w:t>
            </w:r>
          </w:p>
        </w:tc>
      </w:tr>
      <w:tr w14:paraId="2B04D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7FBD5AC">
            <w:pPr>
              <w:pStyle w:val="4"/>
            </w:pPr>
            <w:r>
              <w:t>10</w:t>
            </w:r>
          </w:p>
        </w:tc>
        <w:tc>
          <w:tcPr>
            <w:tcW w:w="2076" w:type="dxa"/>
          </w:tcPr>
          <w:p w14:paraId="177F7139">
            <w:pPr>
              <w:pStyle w:val="4"/>
            </w:pPr>
            <w:r>
              <w:t>投标受理时间</w:t>
            </w:r>
          </w:p>
        </w:tc>
        <w:tc>
          <w:tcPr>
            <w:tcW w:w="2076" w:type="dxa"/>
          </w:tcPr>
          <w:p w14:paraId="0ACA0BB8">
            <w:pPr>
              <w:pStyle w:val="4"/>
            </w:pPr>
            <w:r>
              <w:t>详见公告</w:t>
            </w:r>
          </w:p>
        </w:tc>
        <w:tc>
          <w:tcPr>
            <w:tcW w:w="2076" w:type="dxa"/>
          </w:tcPr>
          <w:p w14:paraId="36417F92">
            <w:pPr>
              <w:pStyle w:val="4"/>
            </w:pPr>
            <w:r>
              <w:t>第10.1条和第20.1条</w:t>
            </w:r>
          </w:p>
        </w:tc>
      </w:tr>
      <w:tr w14:paraId="3A63B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1E78F1">
            <w:pPr>
              <w:pStyle w:val="4"/>
            </w:pPr>
            <w:r>
              <w:t>11</w:t>
            </w:r>
          </w:p>
        </w:tc>
        <w:tc>
          <w:tcPr>
            <w:tcW w:w="2076" w:type="dxa"/>
          </w:tcPr>
          <w:p w14:paraId="1039C94C">
            <w:pPr>
              <w:pStyle w:val="4"/>
            </w:pPr>
            <w:r>
              <w:t>开标方式</w:t>
            </w:r>
          </w:p>
        </w:tc>
        <w:tc>
          <w:tcPr>
            <w:tcW w:w="2076" w:type="dxa"/>
          </w:tcPr>
          <w:p w14:paraId="2788FE89">
            <w:pPr>
              <w:pStyle w:val="4"/>
            </w:pPr>
            <w:r>
              <w:t>到现场开标</w:t>
            </w:r>
          </w:p>
        </w:tc>
        <w:tc>
          <w:tcPr>
            <w:tcW w:w="2076" w:type="dxa"/>
          </w:tcPr>
          <w:p w14:paraId="4ED72DF6">
            <w:pPr>
              <w:pStyle w:val="4"/>
            </w:pPr>
            <w:r>
              <w:t>第22.2条</w:t>
            </w:r>
          </w:p>
        </w:tc>
      </w:tr>
      <w:tr w14:paraId="51753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1EB214">
            <w:pPr>
              <w:pStyle w:val="4"/>
            </w:pPr>
            <w:r>
              <w:t>12</w:t>
            </w:r>
          </w:p>
        </w:tc>
        <w:tc>
          <w:tcPr>
            <w:tcW w:w="2076" w:type="dxa"/>
          </w:tcPr>
          <w:p w14:paraId="5FA893F9">
            <w:pPr>
              <w:pStyle w:val="4"/>
            </w:pPr>
            <w:r>
              <w:t>开标时间及地点</w:t>
            </w:r>
          </w:p>
        </w:tc>
        <w:tc>
          <w:tcPr>
            <w:tcW w:w="2076" w:type="dxa"/>
          </w:tcPr>
          <w:p w14:paraId="25D59081">
            <w:pPr>
              <w:pStyle w:val="4"/>
            </w:pPr>
            <w:r>
              <w:t>详见公告</w:t>
            </w:r>
          </w:p>
        </w:tc>
        <w:tc>
          <w:tcPr>
            <w:tcW w:w="2076" w:type="dxa"/>
          </w:tcPr>
          <w:p w14:paraId="4DF647B1">
            <w:pPr>
              <w:pStyle w:val="4"/>
            </w:pPr>
            <w:r>
              <w:t>第22.1条</w:t>
            </w:r>
          </w:p>
        </w:tc>
      </w:tr>
      <w:tr w14:paraId="5A700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021708A">
            <w:pPr>
              <w:pStyle w:val="4"/>
            </w:pPr>
            <w:r>
              <w:t>13</w:t>
            </w:r>
          </w:p>
        </w:tc>
        <w:tc>
          <w:tcPr>
            <w:tcW w:w="2076" w:type="dxa"/>
          </w:tcPr>
          <w:p w14:paraId="49054906">
            <w:pPr>
              <w:pStyle w:val="4"/>
            </w:pPr>
            <w:r>
              <w:t>资格性审查标准</w:t>
            </w:r>
          </w:p>
        </w:tc>
        <w:tc>
          <w:tcPr>
            <w:tcW w:w="2076" w:type="dxa"/>
          </w:tcPr>
          <w:p w14:paraId="72CC4745">
            <w:pPr>
              <w:pStyle w:val="4"/>
            </w:pPr>
            <w:r>
              <w:t>本章附表1</w:t>
            </w:r>
          </w:p>
        </w:tc>
        <w:tc>
          <w:tcPr>
            <w:tcW w:w="2076" w:type="dxa"/>
          </w:tcPr>
          <w:p w14:paraId="230A5A85">
            <w:pPr>
              <w:pStyle w:val="4"/>
            </w:pPr>
            <w:r>
              <w:t>第24.1条</w:t>
            </w:r>
          </w:p>
        </w:tc>
      </w:tr>
      <w:tr w14:paraId="3E3CD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AB4491">
            <w:pPr>
              <w:pStyle w:val="4"/>
            </w:pPr>
            <w:r>
              <w:t>14</w:t>
            </w:r>
          </w:p>
        </w:tc>
        <w:tc>
          <w:tcPr>
            <w:tcW w:w="2076" w:type="dxa"/>
          </w:tcPr>
          <w:p w14:paraId="59A773FF">
            <w:pPr>
              <w:pStyle w:val="4"/>
            </w:pPr>
            <w:r>
              <w:t>符合性审查标准</w:t>
            </w:r>
          </w:p>
        </w:tc>
        <w:tc>
          <w:tcPr>
            <w:tcW w:w="2076" w:type="dxa"/>
          </w:tcPr>
          <w:p w14:paraId="5D76CD34">
            <w:pPr>
              <w:pStyle w:val="4"/>
            </w:pPr>
            <w:r>
              <w:t>本章附表2</w:t>
            </w:r>
          </w:p>
        </w:tc>
        <w:tc>
          <w:tcPr>
            <w:tcW w:w="2076" w:type="dxa"/>
          </w:tcPr>
          <w:p w14:paraId="005C303E">
            <w:pPr>
              <w:pStyle w:val="4"/>
            </w:pPr>
            <w:r>
              <w:t>第24.2条</w:t>
            </w:r>
          </w:p>
        </w:tc>
      </w:tr>
      <w:tr w14:paraId="26CFF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5CE62E">
            <w:pPr>
              <w:pStyle w:val="4"/>
            </w:pPr>
            <w:r>
              <w:t>15</w:t>
            </w:r>
          </w:p>
        </w:tc>
        <w:tc>
          <w:tcPr>
            <w:tcW w:w="2076" w:type="dxa"/>
          </w:tcPr>
          <w:p w14:paraId="7FFACC59">
            <w:pPr>
              <w:pStyle w:val="4"/>
            </w:pPr>
            <w:r>
              <w:t>商务评审标准</w:t>
            </w:r>
          </w:p>
        </w:tc>
        <w:tc>
          <w:tcPr>
            <w:tcW w:w="2076" w:type="dxa"/>
          </w:tcPr>
          <w:p w14:paraId="3835473B">
            <w:pPr>
              <w:pStyle w:val="4"/>
            </w:pPr>
            <w:r>
              <w:t>本章附表3</w:t>
            </w:r>
          </w:p>
        </w:tc>
        <w:tc>
          <w:tcPr>
            <w:tcW w:w="2076" w:type="dxa"/>
          </w:tcPr>
          <w:p w14:paraId="327C890E">
            <w:pPr>
              <w:pStyle w:val="4"/>
            </w:pPr>
            <w:r>
              <w:t>第24.3条第（1）项</w:t>
            </w:r>
          </w:p>
        </w:tc>
      </w:tr>
      <w:tr w14:paraId="4685A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7BCD10">
            <w:pPr>
              <w:pStyle w:val="4"/>
            </w:pPr>
            <w:r>
              <w:t>16</w:t>
            </w:r>
          </w:p>
        </w:tc>
        <w:tc>
          <w:tcPr>
            <w:tcW w:w="2076" w:type="dxa"/>
          </w:tcPr>
          <w:p w14:paraId="582B169B">
            <w:pPr>
              <w:pStyle w:val="4"/>
            </w:pPr>
            <w:r>
              <w:t>技术评审标准</w:t>
            </w:r>
          </w:p>
        </w:tc>
        <w:tc>
          <w:tcPr>
            <w:tcW w:w="2076" w:type="dxa"/>
          </w:tcPr>
          <w:p w14:paraId="1F2B4FB9">
            <w:pPr>
              <w:pStyle w:val="4"/>
            </w:pPr>
            <w:r>
              <w:t>本章附表4</w:t>
            </w:r>
          </w:p>
        </w:tc>
        <w:tc>
          <w:tcPr>
            <w:tcW w:w="2076" w:type="dxa"/>
          </w:tcPr>
          <w:p w14:paraId="2C5CFC88">
            <w:pPr>
              <w:pStyle w:val="4"/>
            </w:pPr>
            <w:r>
              <w:t>第24.3条第（2）项</w:t>
            </w:r>
          </w:p>
        </w:tc>
      </w:tr>
      <w:tr w14:paraId="6E5E2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11AD22">
            <w:pPr>
              <w:pStyle w:val="4"/>
            </w:pPr>
            <w:r>
              <w:t>17</w:t>
            </w:r>
          </w:p>
        </w:tc>
        <w:tc>
          <w:tcPr>
            <w:tcW w:w="2076" w:type="dxa"/>
          </w:tcPr>
          <w:p w14:paraId="60209B3A">
            <w:pPr>
              <w:pStyle w:val="4"/>
            </w:pPr>
            <w:r>
              <w:t>价格评审标准</w:t>
            </w:r>
          </w:p>
        </w:tc>
        <w:tc>
          <w:tcPr>
            <w:tcW w:w="2076" w:type="dxa"/>
          </w:tcPr>
          <w:p w14:paraId="3F3FCD84">
            <w:pPr>
              <w:pStyle w:val="4"/>
            </w:pPr>
            <w:r>
              <w:t>本章附表5</w:t>
            </w:r>
          </w:p>
        </w:tc>
        <w:tc>
          <w:tcPr>
            <w:tcW w:w="2076" w:type="dxa"/>
          </w:tcPr>
          <w:p w14:paraId="684AAC11">
            <w:pPr>
              <w:pStyle w:val="4"/>
            </w:pPr>
            <w:r>
              <w:t>第24.3条第（3）项</w:t>
            </w:r>
          </w:p>
        </w:tc>
      </w:tr>
      <w:tr w14:paraId="5254E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0CE94D">
            <w:pPr>
              <w:pStyle w:val="4"/>
            </w:pPr>
            <w:r>
              <w:t>18</w:t>
            </w:r>
          </w:p>
        </w:tc>
        <w:tc>
          <w:tcPr>
            <w:tcW w:w="2076" w:type="dxa"/>
          </w:tcPr>
          <w:p w14:paraId="4C4F5130">
            <w:pPr>
              <w:pStyle w:val="4"/>
            </w:pPr>
            <w:r>
              <w:t>非实质性负偏离的项数</w:t>
            </w:r>
          </w:p>
        </w:tc>
        <w:tc>
          <w:tcPr>
            <w:tcW w:w="2076" w:type="dxa"/>
          </w:tcPr>
          <w:p w14:paraId="7061B004">
            <w:pPr>
              <w:pStyle w:val="4"/>
            </w:pPr>
            <w:r>
              <w:t xml:space="preserve"> 投标文件中非实质性技术指标参数负偏离10项以上，视为无效投标。</w:t>
            </w:r>
          </w:p>
        </w:tc>
        <w:tc>
          <w:tcPr>
            <w:tcW w:w="2076" w:type="dxa"/>
          </w:tcPr>
          <w:p w14:paraId="63FCE3B2">
            <w:pPr>
              <w:pStyle w:val="4"/>
            </w:pPr>
            <w:r>
              <w:t>第29.1条第（2）项</w:t>
            </w:r>
          </w:p>
        </w:tc>
      </w:tr>
      <w:tr w14:paraId="0CD5F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33F438">
            <w:pPr>
              <w:pStyle w:val="4"/>
            </w:pPr>
            <w:r>
              <w:t>19</w:t>
            </w:r>
          </w:p>
        </w:tc>
        <w:tc>
          <w:tcPr>
            <w:tcW w:w="2076" w:type="dxa"/>
          </w:tcPr>
          <w:p w14:paraId="63600D4A">
            <w:pPr>
              <w:pStyle w:val="4"/>
            </w:pPr>
            <w:r>
              <w:t>评审方法</w:t>
            </w:r>
          </w:p>
        </w:tc>
        <w:tc>
          <w:tcPr>
            <w:tcW w:w="2076" w:type="dxa"/>
          </w:tcPr>
          <w:p w14:paraId="4B680620">
            <w:pPr>
              <w:pStyle w:val="4"/>
            </w:pPr>
            <w:r>
              <w:t>采购包1：综合评分法</w:t>
            </w:r>
          </w:p>
        </w:tc>
        <w:tc>
          <w:tcPr>
            <w:tcW w:w="2076" w:type="dxa"/>
          </w:tcPr>
          <w:p w14:paraId="30E0DC6F">
            <w:pPr>
              <w:pStyle w:val="4"/>
            </w:pPr>
            <w:r>
              <w:t>第23.2条和第31.1条</w:t>
            </w:r>
          </w:p>
        </w:tc>
      </w:tr>
      <w:tr w14:paraId="15A8A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9605DF">
            <w:pPr>
              <w:pStyle w:val="4"/>
            </w:pPr>
            <w:r>
              <w:t>20</w:t>
            </w:r>
          </w:p>
        </w:tc>
        <w:tc>
          <w:tcPr>
            <w:tcW w:w="2076" w:type="dxa"/>
          </w:tcPr>
          <w:p w14:paraId="3DFA0D8F">
            <w:pPr>
              <w:pStyle w:val="4"/>
            </w:pPr>
            <w:r>
              <w:t>质疑受理单位及联系方式</w:t>
            </w:r>
          </w:p>
        </w:tc>
        <w:tc>
          <w:tcPr>
            <w:tcW w:w="2076" w:type="dxa"/>
          </w:tcPr>
          <w:p w14:paraId="2B8BF59A">
            <w:pPr>
              <w:pStyle w:val="4"/>
            </w:pPr>
            <w:r>
              <w:t>受理单位： 第三采购服务站</w:t>
            </w:r>
          </w:p>
          <w:p w14:paraId="66EB87B2">
            <w:pPr>
              <w:pStyle w:val="4"/>
            </w:pPr>
            <w:r>
              <w:t xml:space="preserve"> 联系人： 王助理、董助理</w:t>
            </w:r>
          </w:p>
          <w:p w14:paraId="7D40BA26">
            <w:pPr>
              <w:pStyle w:val="4"/>
            </w:pPr>
            <w:r>
              <w:t xml:space="preserve"> 联系方式： 028-86598682、028-86598624</w:t>
            </w:r>
          </w:p>
        </w:tc>
        <w:tc>
          <w:tcPr>
            <w:tcW w:w="2076" w:type="dxa"/>
          </w:tcPr>
          <w:p w14:paraId="3C1CE5B8">
            <w:pPr>
              <w:pStyle w:val="4"/>
            </w:pPr>
            <w:r>
              <w:t>第44.4条</w:t>
            </w:r>
          </w:p>
        </w:tc>
      </w:tr>
      <w:tr w14:paraId="5E47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80ADE2A">
            <w:pPr>
              <w:pStyle w:val="4"/>
            </w:pPr>
            <w:r>
              <w:t>21</w:t>
            </w:r>
          </w:p>
        </w:tc>
        <w:tc>
          <w:tcPr>
            <w:tcW w:w="2076" w:type="dxa"/>
          </w:tcPr>
          <w:p w14:paraId="0B3EFB91">
            <w:pPr>
              <w:pStyle w:val="4"/>
            </w:pPr>
            <w:r>
              <w:t>受理、处理投诉申请部门及联系方式</w:t>
            </w:r>
          </w:p>
        </w:tc>
        <w:tc>
          <w:tcPr>
            <w:tcW w:w="2076" w:type="dxa"/>
          </w:tcPr>
          <w:p w14:paraId="1EB84162">
            <w:pPr>
              <w:pStyle w:val="4"/>
            </w:pPr>
            <w:r>
              <w:t>处理部门： 联勤保障部队后勤部采购管理处（特别提醒：查实恶意投诉，或3年内累计2次投诉理由不成立的，给予供应商3年内禁止参加军队采购活动的处罚）</w:t>
            </w:r>
          </w:p>
          <w:p w14:paraId="199CC51B">
            <w:pPr>
              <w:pStyle w:val="4"/>
            </w:pPr>
            <w:r>
              <w:t xml:space="preserve"> 联系人： 李助理、杨助理、董助理</w:t>
            </w:r>
          </w:p>
          <w:p w14:paraId="3CCA342E">
            <w:pPr>
              <w:pStyle w:val="4"/>
            </w:pPr>
            <w:r>
              <w:t xml:space="preserve"> 联系方式： 027-59561763</w:t>
            </w:r>
          </w:p>
        </w:tc>
        <w:tc>
          <w:tcPr>
            <w:tcW w:w="2076" w:type="dxa"/>
          </w:tcPr>
          <w:p w14:paraId="253E1731">
            <w:pPr>
              <w:pStyle w:val="4"/>
            </w:pPr>
            <w:r>
              <w:t>第45.4条</w:t>
            </w:r>
          </w:p>
        </w:tc>
      </w:tr>
      <w:tr w14:paraId="3842B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E77E42">
            <w:pPr>
              <w:pStyle w:val="4"/>
            </w:pPr>
            <w:r>
              <w:t>22</w:t>
            </w:r>
          </w:p>
        </w:tc>
        <w:tc>
          <w:tcPr>
            <w:tcW w:w="2076" w:type="dxa"/>
          </w:tcPr>
          <w:p w14:paraId="114ADBAA">
            <w:pPr>
              <w:pStyle w:val="4"/>
            </w:pPr>
            <w:r>
              <w:t>受理、处理投诉复议申请部门及联系方式</w:t>
            </w:r>
          </w:p>
        </w:tc>
        <w:tc>
          <w:tcPr>
            <w:tcW w:w="2076" w:type="dxa"/>
          </w:tcPr>
          <w:p w14:paraId="0E2E82BD">
            <w:pPr>
              <w:pStyle w:val="4"/>
            </w:pPr>
            <w:r>
              <w:t>处理部门： 军委后勤保障部采购服务中心</w:t>
            </w:r>
          </w:p>
          <w:p w14:paraId="3C555F67">
            <w:pPr>
              <w:pStyle w:val="4"/>
            </w:pPr>
            <w:r>
              <w:t xml:space="preserve"> 联系人： 李助理</w:t>
            </w:r>
          </w:p>
          <w:p w14:paraId="49191E1B">
            <w:pPr>
              <w:pStyle w:val="4"/>
            </w:pPr>
            <w:r>
              <w:t xml:space="preserve"> 联系方式： 010-66945693</w:t>
            </w:r>
          </w:p>
        </w:tc>
        <w:tc>
          <w:tcPr>
            <w:tcW w:w="2076" w:type="dxa"/>
          </w:tcPr>
          <w:p w14:paraId="115847FF">
            <w:pPr>
              <w:pStyle w:val="4"/>
            </w:pPr>
            <w:r>
              <w:t>第46.4条</w:t>
            </w:r>
          </w:p>
        </w:tc>
      </w:tr>
      <w:tr w14:paraId="5AA84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407AD4">
            <w:pPr>
              <w:pStyle w:val="4"/>
            </w:pPr>
            <w:r>
              <w:t>23</w:t>
            </w:r>
          </w:p>
        </w:tc>
        <w:tc>
          <w:tcPr>
            <w:tcW w:w="2076" w:type="dxa"/>
          </w:tcPr>
          <w:p w14:paraId="59CFE4E2">
            <w:pPr>
              <w:pStyle w:val="4"/>
            </w:pPr>
            <w:r>
              <w:t>其他补充内容</w:t>
            </w:r>
          </w:p>
        </w:tc>
        <w:tc>
          <w:tcPr>
            <w:tcW w:w="2076" w:type="dxa"/>
          </w:tcPr>
          <w:p w14:paraId="5B07CD0D">
            <w:pPr>
              <w:pStyle w:val="4"/>
            </w:pPr>
            <w:r>
              <w:t>采购包1：允许供应商超品目限价报价</w:t>
            </w:r>
          </w:p>
          <w:p w14:paraId="3F562088">
            <w:pPr>
              <w:pStyle w:val="4"/>
            </w:pPr>
            <w:r>
              <w:t>1.本项目投标保证金只接受银行转账，不接受保函；</w:t>
            </w:r>
            <w:r>
              <w:br w:type="textWrapping"/>
            </w:r>
            <w:r>
              <w:t>2.项目改为比照竞争性谈判方式且以审价方式定价结算的，签订采购合同时中标供应商须与采购单位一并签订《军队物资、服务单一来源采购审价有关要求及资料清单》（详见附件）作为补充。</w:t>
            </w:r>
          </w:p>
        </w:tc>
        <w:tc>
          <w:tcPr>
            <w:tcW w:w="2076" w:type="dxa"/>
          </w:tcPr>
          <w:p w14:paraId="14B14BBF">
            <w:pPr>
              <w:pStyle w:val="4"/>
            </w:pPr>
            <w:r>
              <w:t>第49条</w:t>
            </w:r>
          </w:p>
        </w:tc>
      </w:tr>
    </w:tbl>
    <w:p w14:paraId="34F3B3D1">
      <w:pPr>
        <w:pStyle w:val="4"/>
        <w:jc w:val="left"/>
        <w:outlineLvl w:val="2"/>
      </w:pPr>
      <w:r>
        <w:rPr>
          <w:b/>
          <w:sz w:val="28"/>
        </w:rPr>
        <w:t>附表1 资格性审查表</w:t>
      </w:r>
    </w:p>
    <w:p w14:paraId="5021BC2D">
      <w:pPr>
        <w:pStyle w:val="4"/>
        <w:jc w:val="center"/>
        <w:outlineLvl w:val="1"/>
      </w:pPr>
      <w:r>
        <w:rPr>
          <w:b/>
          <w:sz w:val="36"/>
        </w:rPr>
        <w:t>资格性审查表</w:t>
      </w:r>
    </w:p>
    <w:p w14:paraId="13D5F2F3">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36B0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575991">
            <w:pPr>
              <w:pStyle w:val="4"/>
            </w:pPr>
            <w:r>
              <w:t xml:space="preserve"> 序号</w:t>
            </w:r>
          </w:p>
        </w:tc>
        <w:tc>
          <w:tcPr>
            <w:tcW w:w="2492" w:type="dxa"/>
          </w:tcPr>
          <w:p w14:paraId="5545DA07">
            <w:pPr>
              <w:pStyle w:val="4"/>
            </w:pPr>
            <w:r>
              <w:t xml:space="preserve"> 审查项目</w:t>
            </w:r>
          </w:p>
        </w:tc>
        <w:tc>
          <w:tcPr>
            <w:tcW w:w="3322" w:type="dxa"/>
          </w:tcPr>
          <w:p w14:paraId="6FED6780">
            <w:pPr>
              <w:pStyle w:val="4"/>
            </w:pPr>
            <w:r>
              <w:t xml:space="preserve"> 具体要求</w:t>
            </w:r>
          </w:p>
        </w:tc>
        <w:tc>
          <w:tcPr>
            <w:tcW w:w="1661" w:type="dxa"/>
          </w:tcPr>
          <w:p w14:paraId="19147782">
            <w:pPr>
              <w:pStyle w:val="4"/>
            </w:pPr>
            <w:r>
              <w:t xml:space="preserve"> 响应格式</w:t>
            </w:r>
          </w:p>
        </w:tc>
      </w:tr>
      <w:tr w14:paraId="7A151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643CFFD7">
            <w:pPr>
              <w:pStyle w:val="4"/>
            </w:pPr>
            <w:r>
              <w:t xml:space="preserve"> 一、一般资格审查</w:t>
            </w:r>
          </w:p>
        </w:tc>
      </w:tr>
      <w:tr w14:paraId="003D5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907335">
            <w:pPr>
              <w:pStyle w:val="4"/>
            </w:pPr>
            <w:r>
              <w:t>1</w:t>
            </w:r>
          </w:p>
        </w:tc>
        <w:tc>
          <w:tcPr>
            <w:tcW w:w="2492" w:type="dxa"/>
          </w:tcPr>
          <w:p w14:paraId="591A773E">
            <w:pPr>
              <w:pStyle w:val="4"/>
            </w:pPr>
            <w:r>
              <w:t>营业执照或事业单位法人证书满足招标文件要求</w:t>
            </w:r>
          </w:p>
        </w:tc>
        <w:tc>
          <w:tcPr>
            <w:tcW w:w="3322" w:type="dxa"/>
          </w:tcPr>
          <w:p w14:paraId="7E676DC0">
            <w:pPr>
              <w:pStyle w:val="4"/>
            </w:pPr>
            <w: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投标供应商在资格证明文件中如有两个以上名称的，应当提供市场监管部门出具的其为同一单位书面证明材料；军队单位或事业单位，可以提供其上级主管部门出具的书面证明材料。</w:t>
            </w:r>
          </w:p>
        </w:tc>
        <w:tc>
          <w:tcPr>
            <w:tcW w:w="1661" w:type="dxa"/>
          </w:tcPr>
          <w:p w14:paraId="161A2F67">
            <w:pPr>
              <w:pStyle w:val="4"/>
            </w:pPr>
            <w:r>
              <w:t>营业执照</w:t>
            </w:r>
          </w:p>
        </w:tc>
      </w:tr>
      <w:tr w14:paraId="569D6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73062A">
            <w:pPr>
              <w:pStyle w:val="4"/>
            </w:pPr>
            <w:r>
              <w:t>2</w:t>
            </w:r>
          </w:p>
        </w:tc>
        <w:tc>
          <w:tcPr>
            <w:tcW w:w="2492" w:type="dxa"/>
          </w:tcPr>
          <w:p w14:paraId="2B3CBB82">
            <w:pPr>
              <w:pStyle w:val="4"/>
            </w:pPr>
            <w:r>
              <w:t>法定代表人资格证明书</w:t>
            </w:r>
          </w:p>
        </w:tc>
        <w:tc>
          <w:tcPr>
            <w:tcW w:w="3322" w:type="dxa"/>
          </w:tcPr>
          <w:p w14:paraId="44BFCCEB">
            <w:pPr>
              <w:pStyle w:val="4"/>
            </w:pPr>
            <w:r>
              <w:t>-</w:t>
            </w:r>
          </w:p>
        </w:tc>
        <w:tc>
          <w:tcPr>
            <w:tcW w:w="1661" w:type="dxa"/>
          </w:tcPr>
          <w:p w14:paraId="55E7F5A6">
            <w:pPr>
              <w:pStyle w:val="4"/>
            </w:pPr>
            <w:r>
              <w:t>法定代表人资格证明书</w:t>
            </w:r>
          </w:p>
        </w:tc>
      </w:tr>
      <w:tr w14:paraId="6DB4D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0FC510">
            <w:pPr>
              <w:pStyle w:val="4"/>
            </w:pPr>
            <w:r>
              <w:t>3</w:t>
            </w:r>
          </w:p>
        </w:tc>
        <w:tc>
          <w:tcPr>
            <w:tcW w:w="2492" w:type="dxa"/>
          </w:tcPr>
          <w:p w14:paraId="6343A320">
            <w:pPr>
              <w:pStyle w:val="4"/>
            </w:pPr>
            <w:r>
              <w:t>法定代表人授权书（含授权代表在投标前4个月内（不含投标当月）连续3个月由投标供应商缴纳社保证明材料）</w:t>
            </w:r>
          </w:p>
        </w:tc>
        <w:tc>
          <w:tcPr>
            <w:tcW w:w="3322" w:type="dxa"/>
          </w:tcPr>
          <w:p w14:paraId="5A54E0F2">
            <w:pPr>
              <w:pStyle w:val="4"/>
            </w:pPr>
            <w:r>
              <w:t>-</w:t>
            </w:r>
          </w:p>
        </w:tc>
        <w:tc>
          <w:tcPr>
            <w:tcW w:w="1661" w:type="dxa"/>
          </w:tcPr>
          <w:p w14:paraId="1FE31A1A">
            <w:pPr>
              <w:pStyle w:val="4"/>
            </w:pPr>
            <w:r>
              <w:t>法定代表人授权书</w:t>
            </w:r>
          </w:p>
        </w:tc>
      </w:tr>
      <w:tr w14:paraId="24AE1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BBED37">
            <w:pPr>
              <w:pStyle w:val="4"/>
            </w:pPr>
            <w:r>
              <w:t>4</w:t>
            </w:r>
          </w:p>
        </w:tc>
        <w:tc>
          <w:tcPr>
            <w:tcW w:w="2492" w:type="dxa"/>
          </w:tcPr>
          <w:p w14:paraId="3AA195EF">
            <w:pPr>
              <w:pStyle w:val="4"/>
            </w:pPr>
            <w:r>
              <w:t>至申领招标文件截止时间，供应商成立时间不少于3年</w:t>
            </w:r>
          </w:p>
        </w:tc>
        <w:tc>
          <w:tcPr>
            <w:tcW w:w="3322" w:type="dxa"/>
          </w:tcPr>
          <w:p w14:paraId="09FB27E9">
            <w:pPr>
              <w:pStyle w:val="4"/>
            </w:pPr>
            <w:r>
              <w:t>国有企业、事业单位、军队单位除外</w:t>
            </w:r>
          </w:p>
        </w:tc>
        <w:tc>
          <w:tcPr>
            <w:tcW w:w="1661" w:type="dxa"/>
          </w:tcPr>
          <w:p w14:paraId="5F496A76">
            <w:pPr>
              <w:pStyle w:val="4"/>
            </w:pPr>
            <w:r>
              <w:t>营业执照</w:t>
            </w:r>
          </w:p>
        </w:tc>
      </w:tr>
      <w:tr w14:paraId="5CF7E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A5021F">
            <w:pPr>
              <w:pStyle w:val="4"/>
            </w:pPr>
            <w:r>
              <w:t>5</w:t>
            </w:r>
          </w:p>
        </w:tc>
        <w:tc>
          <w:tcPr>
            <w:tcW w:w="2492" w:type="dxa"/>
          </w:tcPr>
          <w:p w14:paraId="2421B8CD">
            <w:pPr>
              <w:pStyle w:val="4"/>
            </w:pPr>
            <w:r>
              <w:t>供应商承诺声明</w:t>
            </w:r>
          </w:p>
        </w:tc>
        <w:tc>
          <w:tcPr>
            <w:tcW w:w="3322" w:type="dxa"/>
          </w:tcPr>
          <w:p w14:paraId="7EF07278">
            <w:pPr>
              <w:pStyle w:val="4"/>
            </w:pPr>
            <w:r>
              <w:t>承诺声明应当包含：供应商诚信承诺、保密承诺、诚信责任保证金承诺、未被列入违法失信名单承诺、关联关系企业不参与采购活动承诺、前3年没有重大违法记录的书面声明、没有发生过重大质量安全事故的书面声明、非外资独资（含港澳台）企业或控股企业的书面声明、具备履约专业能力的书面声明、追缴投标保证金承诺。</w:t>
            </w:r>
          </w:p>
        </w:tc>
        <w:tc>
          <w:tcPr>
            <w:tcW w:w="1661" w:type="dxa"/>
          </w:tcPr>
          <w:p w14:paraId="1B400133">
            <w:pPr>
              <w:pStyle w:val="4"/>
            </w:pPr>
            <w:r>
              <w:t>供应商承诺声明</w:t>
            </w:r>
          </w:p>
        </w:tc>
      </w:tr>
      <w:tr w14:paraId="45597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13755E">
            <w:pPr>
              <w:pStyle w:val="4"/>
            </w:pPr>
            <w:r>
              <w:t>6</w:t>
            </w:r>
          </w:p>
        </w:tc>
        <w:tc>
          <w:tcPr>
            <w:tcW w:w="2492" w:type="dxa"/>
          </w:tcPr>
          <w:p w14:paraId="45581623">
            <w:pPr>
              <w:pStyle w:val="4"/>
            </w:pPr>
            <w:r>
              <w:t>投标供应商近一年内（投标截止时间前）任意6个月纳税证明材料</w:t>
            </w:r>
          </w:p>
        </w:tc>
        <w:tc>
          <w:tcPr>
            <w:tcW w:w="3322" w:type="dxa"/>
          </w:tcPr>
          <w:p w14:paraId="10C83CD0">
            <w:pPr>
              <w:pStyle w:val="4"/>
            </w:pPr>
            <w:r>
              <w:t>根据税务部门出具的完税凭证或纳税的银行转账汇款单、对账单等判定，证明材料应当显示税种和缴纳所属时期（认定税种不包括个人所得税）；军队单位不作要求；如依法免税或不需要纳税的，提供相应证明材料。</w:t>
            </w:r>
          </w:p>
        </w:tc>
        <w:tc>
          <w:tcPr>
            <w:tcW w:w="1661" w:type="dxa"/>
          </w:tcPr>
          <w:p w14:paraId="73A5043A">
            <w:pPr>
              <w:pStyle w:val="4"/>
            </w:pPr>
            <w:r>
              <w:t>纳税证明材料</w:t>
            </w:r>
          </w:p>
        </w:tc>
      </w:tr>
      <w:tr w14:paraId="54796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848463">
            <w:pPr>
              <w:pStyle w:val="4"/>
            </w:pPr>
            <w:r>
              <w:t>7</w:t>
            </w:r>
          </w:p>
        </w:tc>
        <w:tc>
          <w:tcPr>
            <w:tcW w:w="2492" w:type="dxa"/>
          </w:tcPr>
          <w:p w14:paraId="5DC02366">
            <w:pPr>
              <w:pStyle w:val="4"/>
            </w:pPr>
            <w:r>
              <w:t>投标供应商近一年内（投标截止时间前）任意6个月缴纳社会保障金证明材料</w:t>
            </w:r>
          </w:p>
        </w:tc>
        <w:tc>
          <w:tcPr>
            <w:tcW w:w="3322" w:type="dxa"/>
          </w:tcPr>
          <w:p w14:paraId="5198870C">
            <w:pPr>
              <w:pStyle w:val="4"/>
            </w:pPr>
            <w: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c>
          <w:tcPr>
            <w:tcW w:w="1661" w:type="dxa"/>
          </w:tcPr>
          <w:p w14:paraId="62531A00">
            <w:pPr>
              <w:pStyle w:val="4"/>
            </w:pPr>
            <w:r>
              <w:t>缴纳社会保障金证明材料</w:t>
            </w:r>
          </w:p>
        </w:tc>
      </w:tr>
      <w:tr w14:paraId="1940C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A29092">
            <w:pPr>
              <w:pStyle w:val="4"/>
            </w:pPr>
            <w:r>
              <w:t>8</w:t>
            </w:r>
          </w:p>
        </w:tc>
        <w:tc>
          <w:tcPr>
            <w:tcW w:w="2492" w:type="dxa"/>
          </w:tcPr>
          <w:p w14:paraId="5FEB6242">
            <w:pPr>
              <w:pStyle w:val="4"/>
            </w:pPr>
            <w:r>
              <w:t>投标供应商提供会计师事务所出具的近3年审计报告</w:t>
            </w:r>
          </w:p>
        </w:tc>
        <w:tc>
          <w:tcPr>
            <w:tcW w:w="3322" w:type="dxa"/>
          </w:tcPr>
          <w:p w14:paraId="02D76019">
            <w:pPr>
              <w:pStyle w:val="4"/>
            </w:pPr>
            <w:r>
              <w:t>（2022-2024年度）审计报告应当包含报告正文、资产负债表、利润表、现金流量表及所有者权益变动表（无所有者权益表的提供书面说明）、附注和会计师事务所营业执照，报告正文应当有会计师事务所公章，2个注册会计师的签字和盖章。军队单位、事业单位无法提供审计报告的，可由上级管理部门批复的决算或内部会计报表代替。军队单位、事业单位和国有企业成立不足3年的，按实际年限提供。</w:t>
            </w:r>
          </w:p>
        </w:tc>
        <w:tc>
          <w:tcPr>
            <w:tcW w:w="1661" w:type="dxa"/>
          </w:tcPr>
          <w:p w14:paraId="43F2D672">
            <w:pPr>
              <w:pStyle w:val="4"/>
            </w:pPr>
            <w:r>
              <w:t>近3年会计师事务所出具的审计报告</w:t>
            </w:r>
          </w:p>
        </w:tc>
      </w:tr>
      <w:tr w14:paraId="2A79E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7D040D">
            <w:pPr>
              <w:pStyle w:val="4"/>
            </w:pPr>
            <w:r>
              <w:t>9</w:t>
            </w:r>
          </w:p>
        </w:tc>
        <w:tc>
          <w:tcPr>
            <w:tcW w:w="2492" w:type="dxa"/>
          </w:tcPr>
          <w:p w14:paraId="3BB809C9">
            <w:pPr>
              <w:pStyle w:val="4"/>
            </w:pPr>
            <w:r>
              <w:t>投标保证金满足招标文件要求</w:t>
            </w:r>
          </w:p>
        </w:tc>
        <w:tc>
          <w:tcPr>
            <w:tcW w:w="3322" w:type="dxa"/>
          </w:tcPr>
          <w:p w14:paraId="13711A15">
            <w:pPr>
              <w:pStyle w:val="4"/>
            </w:pPr>
            <w:r>
              <w:t>根据投标截止后采购机构现场公布投标保证金缴纳情况或投标文件中投标保证金缴纳证明材料情况判定</w:t>
            </w:r>
          </w:p>
        </w:tc>
        <w:tc>
          <w:tcPr>
            <w:tcW w:w="1661" w:type="dxa"/>
          </w:tcPr>
          <w:p w14:paraId="74E42BF3">
            <w:pPr>
              <w:pStyle w:val="4"/>
            </w:pPr>
            <w:r>
              <w:t>投标保证金缴纳证明材料</w:t>
            </w:r>
          </w:p>
        </w:tc>
      </w:tr>
      <w:tr w14:paraId="0BB5A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B24A16">
            <w:pPr>
              <w:pStyle w:val="4"/>
            </w:pPr>
            <w:r>
              <w:t xml:space="preserve"> 序号</w:t>
            </w:r>
          </w:p>
        </w:tc>
        <w:tc>
          <w:tcPr>
            <w:tcW w:w="2492" w:type="dxa"/>
          </w:tcPr>
          <w:p w14:paraId="0E75D366">
            <w:pPr>
              <w:pStyle w:val="4"/>
            </w:pPr>
            <w:r>
              <w:t xml:space="preserve"> 审查项目</w:t>
            </w:r>
          </w:p>
        </w:tc>
        <w:tc>
          <w:tcPr>
            <w:tcW w:w="3322" w:type="dxa"/>
          </w:tcPr>
          <w:p w14:paraId="338AC550">
            <w:pPr>
              <w:pStyle w:val="4"/>
            </w:pPr>
            <w:r>
              <w:t xml:space="preserve"> 具体要求</w:t>
            </w:r>
          </w:p>
        </w:tc>
        <w:tc>
          <w:tcPr>
            <w:tcW w:w="1661" w:type="dxa"/>
          </w:tcPr>
          <w:p w14:paraId="6604D0E9">
            <w:pPr>
              <w:pStyle w:val="4"/>
            </w:pPr>
            <w:r>
              <w:t xml:space="preserve"> 响应格式</w:t>
            </w:r>
          </w:p>
        </w:tc>
      </w:tr>
      <w:tr w14:paraId="46071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50BEA2FB">
            <w:pPr>
              <w:pStyle w:val="4"/>
            </w:pPr>
            <w:r>
              <w:t xml:space="preserve"> 二、特定资格审查</w:t>
            </w:r>
          </w:p>
        </w:tc>
      </w:tr>
      <w:tr w14:paraId="6094E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0837D1">
            <w:pPr>
              <w:pStyle w:val="4"/>
            </w:pPr>
            <w:r>
              <w:t>1</w:t>
            </w:r>
          </w:p>
        </w:tc>
        <w:tc>
          <w:tcPr>
            <w:tcW w:w="2492" w:type="dxa"/>
          </w:tcPr>
          <w:p w14:paraId="4C51A496">
            <w:pPr>
              <w:pStyle w:val="4"/>
            </w:pPr>
            <w:r>
              <w:t>投标供应商具有涉密信息系统集成乙级及以上资质证书或武器装备科研生产单位（二级）及以上保密资质证书（提供证书复印件）</w:t>
            </w:r>
          </w:p>
        </w:tc>
        <w:tc>
          <w:tcPr>
            <w:tcW w:w="3322" w:type="dxa"/>
          </w:tcPr>
          <w:p w14:paraId="42F361E8">
            <w:pPr>
              <w:pStyle w:val="4"/>
            </w:pPr>
            <w:r>
              <w:t>具备武器装备科研生产单位二级及以上保密资格证书或涉密信息系统集成乙级及以上资质。（投标供应商须携带原件或加盖投标供应商公章的复印件于投标现场递交采购机构）</w:t>
            </w:r>
          </w:p>
        </w:tc>
        <w:tc>
          <w:tcPr>
            <w:tcW w:w="1661" w:type="dxa"/>
          </w:tcPr>
          <w:p w14:paraId="6EFB2FAF">
            <w:pPr>
              <w:pStyle w:val="4"/>
            </w:pPr>
            <w:r>
              <w:t>特殊资格条件</w:t>
            </w:r>
          </w:p>
        </w:tc>
      </w:tr>
    </w:tbl>
    <w:p w14:paraId="48B0B3EC">
      <w:pPr>
        <w:pStyle w:val="4"/>
        <w:jc w:val="left"/>
      </w:pPr>
      <w:r>
        <w:t>其他说明：</w:t>
      </w:r>
    </w:p>
    <w:p w14:paraId="2ABD4058">
      <w:pPr>
        <w:pStyle w:val="4"/>
        <w:jc w:val="left"/>
      </w:pPr>
      <w:r>
        <w:t>无</w:t>
      </w:r>
    </w:p>
    <w:p w14:paraId="1BF8944F">
      <w:pPr>
        <w:pStyle w:val="4"/>
        <w:jc w:val="left"/>
        <w:outlineLvl w:val="2"/>
      </w:pPr>
      <w:r>
        <w:rPr>
          <w:b/>
          <w:sz w:val="28"/>
        </w:rPr>
        <w:t>附表2 符合性审查表</w:t>
      </w:r>
    </w:p>
    <w:p w14:paraId="6DFD8C20">
      <w:pPr>
        <w:pStyle w:val="4"/>
        <w:jc w:val="center"/>
        <w:outlineLvl w:val="1"/>
      </w:pPr>
      <w:r>
        <w:rPr>
          <w:b/>
          <w:sz w:val="36"/>
        </w:rPr>
        <w:t>符合性审查表</w:t>
      </w:r>
    </w:p>
    <w:p w14:paraId="39FFBF41">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68D7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AB6A51">
            <w:pPr>
              <w:pStyle w:val="4"/>
            </w:pPr>
            <w:r>
              <w:t xml:space="preserve"> 序号</w:t>
            </w:r>
          </w:p>
        </w:tc>
        <w:tc>
          <w:tcPr>
            <w:tcW w:w="2492" w:type="dxa"/>
          </w:tcPr>
          <w:p w14:paraId="73C03608">
            <w:pPr>
              <w:pStyle w:val="4"/>
            </w:pPr>
            <w:r>
              <w:t xml:space="preserve"> 审查项目</w:t>
            </w:r>
          </w:p>
        </w:tc>
        <w:tc>
          <w:tcPr>
            <w:tcW w:w="3322" w:type="dxa"/>
          </w:tcPr>
          <w:p w14:paraId="0D096AB0">
            <w:pPr>
              <w:pStyle w:val="4"/>
            </w:pPr>
            <w:r>
              <w:t xml:space="preserve"> 具体要求</w:t>
            </w:r>
          </w:p>
        </w:tc>
        <w:tc>
          <w:tcPr>
            <w:tcW w:w="1661" w:type="dxa"/>
          </w:tcPr>
          <w:p w14:paraId="76C248B9">
            <w:pPr>
              <w:pStyle w:val="4"/>
            </w:pPr>
            <w:r>
              <w:t xml:space="preserve"> 响应格式</w:t>
            </w:r>
          </w:p>
        </w:tc>
      </w:tr>
      <w:tr w14:paraId="3CF4F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9F46D1">
            <w:pPr>
              <w:pStyle w:val="4"/>
            </w:pPr>
            <w:r>
              <w:t>1</w:t>
            </w:r>
          </w:p>
        </w:tc>
        <w:tc>
          <w:tcPr>
            <w:tcW w:w="2492" w:type="dxa"/>
          </w:tcPr>
          <w:p w14:paraId="1BFAE8D0">
            <w:pPr>
              <w:pStyle w:val="4"/>
            </w:pPr>
            <w:r>
              <w:t>投标文件签字、盖章齐全完整</w:t>
            </w:r>
          </w:p>
        </w:tc>
        <w:tc>
          <w:tcPr>
            <w:tcW w:w="3322" w:type="dxa"/>
          </w:tcPr>
          <w:p w14:paraId="415702BE">
            <w:pPr>
              <w:pStyle w:val="4"/>
            </w:pPr>
            <w:r>
              <w:t>投标文件要求盖章的，一般使用电子签章，也可提供加盖公章的PDF扫描件。投标文件要求签字的，一般使用电子签章（方章或签名章），也可提供签字或实体印章（方章或签名章）的PDF扫描件。</w:t>
            </w:r>
            <w:r>
              <w:br w:type="textWrapping"/>
            </w:r>
            <w:r>
              <w:t>符合招标文件通用文件第39条通过资格性、符合性审查的特殊情形的，应当通过审查。</w:t>
            </w:r>
          </w:p>
        </w:tc>
        <w:tc>
          <w:tcPr>
            <w:tcW w:w="1661" w:type="dxa"/>
          </w:tcPr>
          <w:p w14:paraId="322BF854">
            <w:pPr>
              <w:pStyle w:val="4"/>
            </w:pPr>
            <w:r>
              <w:t>投标函 封面 法定代表人授权书</w:t>
            </w:r>
          </w:p>
        </w:tc>
      </w:tr>
      <w:tr w14:paraId="3AA12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18DDC3">
            <w:pPr>
              <w:pStyle w:val="4"/>
            </w:pPr>
            <w:r>
              <w:t>2</w:t>
            </w:r>
          </w:p>
        </w:tc>
        <w:tc>
          <w:tcPr>
            <w:tcW w:w="2492" w:type="dxa"/>
          </w:tcPr>
          <w:p w14:paraId="33317C03">
            <w:pPr>
              <w:pStyle w:val="4"/>
            </w:pPr>
            <w:r>
              <w:t>投标有效期满足招标文件要求</w:t>
            </w:r>
          </w:p>
        </w:tc>
        <w:tc>
          <w:tcPr>
            <w:tcW w:w="3322" w:type="dxa"/>
          </w:tcPr>
          <w:p w14:paraId="5CF2B297">
            <w:pPr>
              <w:pStyle w:val="4"/>
            </w:pPr>
            <w:r>
              <w:t>-</w:t>
            </w:r>
          </w:p>
        </w:tc>
        <w:tc>
          <w:tcPr>
            <w:tcW w:w="1661" w:type="dxa"/>
          </w:tcPr>
          <w:p w14:paraId="4AE93C4B">
            <w:pPr>
              <w:pStyle w:val="4"/>
            </w:pPr>
            <w:r>
              <w:t>投标函</w:t>
            </w:r>
          </w:p>
        </w:tc>
      </w:tr>
      <w:tr w14:paraId="19EEB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8D1417">
            <w:pPr>
              <w:pStyle w:val="4"/>
            </w:pPr>
            <w:r>
              <w:t>3</w:t>
            </w:r>
          </w:p>
        </w:tc>
        <w:tc>
          <w:tcPr>
            <w:tcW w:w="2492" w:type="dxa"/>
          </w:tcPr>
          <w:p w14:paraId="50084EDC">
            <w:pPr>
              <w:pStyle w:val="4"/>
            </w:pPr>
            <w:r>
              <w:t>商务要求中“★”号商务条款满足招标文件要求</w:t>
            </w:r>
          </w:p>
        </w:tc>
        <w:tc>
          <w:tcPr>
            <w:tcW w:w="3322" w:type="dxa"/>
          </w:tcPr>
          <w:p w14:paraId="5F039514">
            <w:pPr>
              <w:pStyle w:val="4"/>
            </w:pPr>
            <w:r>
              <w:t>商务评委对投标供应商响应招标文件第六章“采购项目商务要求”中的“★”号条款情况作出判定</w:t>
            </w:r>
          </w:p>
        </w:tc>
        <w:tc>
          <w:tcPr>
            <w:tcW w:w="1661" w:type="dxa"/>
          </w:tcPr>
          <w:p w14:paraId="7D3BA8D2">
            <w:pPr>
              <w:pStyle w:val="4"/>
            </w:pPr>
            <w:r>
              <w:t>商务条款响应偏离表</w:t>
            </w:r>
          </w:p>
        </w:tc>
      </w:tr>
      <w:tr w14:paraId="3F74C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2155F7">
            <w:pPr>
              <w:pStyle w:val="4"/>
            </w:pPr>
            <w:r>
              <w:t>4</w:t>
            </w:r>
          </w:p>
        </w:tc>
        <w:tc>
          <w:tcPr>
            <w:tcW w:w="2492" w:type="dxa"/>
          </w:tcPr>
          <w:p w14:paraId="723DF4F7">
            <w:pPr>
              <w:pStyle w:val="4"/>
            </w:pPr>
            <w:r>
              <w:t>技术要求中“★”号技术条款满足招标文件要求</w:t>
            </w:r>
          </w:p>
        </w:tc>
        <w:tc>
          <w:tcPr>
            <w:tcW w:w="3322" w:type="dxa"/>
          </w:tcPr>
          <w:p w14:paraId="6790ED03">
            <w:pPr>
              <w:pStyle w:val="4"/>
            </w:pPr>
            <w:r>
              <w:t>技术评委对投标供应商响应招标文件第六章“采购项目技术要求”中的“★”号条款情况作出判定</w:t>
            </w:r>
          </w:p>
        </w:tc>
        <w:tc>
          <w:tcPr>
            <w:tcW w:w="1661" w:type="dxa"/>
          </w:tcPr>
          <w:p w14:paraId="5788364B">
            <w:pPr>
              <w:pStyle w:val="4"/>
            </w:pPr>
            <w:r>
              <w:t>技术指标参数响应偏离表</w:t>
            </w:r>
          </w:p>
        </w:tc>
      </w:tr>
      <w:tr w14:paraId="6359E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811C99">
            <w:pPr>
              <w:pStyle w:val="4"/>
            </w:pPr>
            <w:r>
              <w:t>5</w:t>
            </w:r>
          </w:p>
        </w:tc>
        <w:tc>
          <w:tcPr>
            <w:tcW w:w="2492" w:type="dxa"/>
          </w:tcPr>
          <w:p w14:paraId="60CE7300">
            <w:pPr>
              <w:pStyle w:val="4"/>
            </w:pPr>
            <w:r>
              <w:t>其他实质性内容满足招标文件要求（无招标文件中明确的其他无效投标情形）</w:t>
            </w:r>
          </w:p>
        </w:tc>
        <w:tc>
          <w:tcPr>
            <w:tcW w:w="3322" w:type="dxa"/>
          </w:tcPr>
          <w:p w14:paraId="0E72B148">
            <w:pPr>
              <w:pStyle w:val="4"/>
            </w:pPr>
            <w:r>
              <w:t>-</w:t>
            </w:r>
          </w:p>
        </w:tc>
        <w:tc>
          <w:tcPr>
            <w:tcW w:w="1661" w:type="dxa"/>
          </w:tcPr>
          <w:p w14:paraId="069B3E5C">
            <w:pPr>
              <w:pStyle w:val="4"/>
            </w:pPr>
            <w:r>
              <w:t>交货清单</w:t>
            </w:r>
          </w:p>
        </w:tc>
      </w:tr>
    </w:tbl>
    <w:p w14:paraId="6F47B5F1">
      <w:pPr>
        <w:pStyle w:val="4"/>
        <w:jc w:val="left"/>
      </w:pPr>
      <w:r>
        <w:t>其他说明：</w:t>
      </w:r>
    </w:p>
    <w:p w14:paraId="40DCE5BF">
      <w:pPr>
        <w:pStyle w:val="4"/>
        <w:jc w:val="left"/>
      </w:pPr>
      <w:r>
        <w:t>无</w:t>
      </w:r>
    </w:p>
    <w:p w14:paraId="573291A8">
      <w:pPr>
        <w:pStyle w:val="4"/>
        <w:jc w:val="left"/>
        <w:outlineLvl w:val="2"/>
      </w:pPr>
      <w:r>
        <w:rPr>
          <w:b/>
          <w:sz w:val="28"/>
        </w:rPr>
        <w:t>附表3 商务评审标准表（综合评分法/质量优先法）</w:t>
      </w:r>
    </w:p>
    <w:p w14:paraId="33C6EDF2">
      <w:pPr>
        <w:pStyle w:val="4"/>
        <w:jc w:val="left"/>
      </w:pPr>
      <w:r>
        <w:t>概述：</w:t>
      </w:r>
    </w:p>
    <w:p w14:paraId="7DA71FC0">
      <w:pPr>
        <w:pStyle w:val="4"/>
        <w:jc w:val="left"/>
      </w:pPr>
      <w:r>
        <w:t>无</w:t>
      </w:r>
    </w:p>
    <w:p w14:paraId="2E733BCB">
      <w:pPr>
        <w:pStyle w:val="4"/>
        <w:jc w:val="center"/>
        <w:outlineLvl w:val="1"/>
      </w:pPr>
      <w:r>
        <w:rPr>
          <w:b/>
          <w:sz w:val="36"/>
        </w:rPr>
        <w:t>商务评审标准表（综合评分法/质量优先法）</w:t>
      </w:r>
    </w:p>
    <w:p w14:paraId="0EF52210">
      <w:pPr>
        <w:pStyle w:val="4"/>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831"/>
        <w:gridCol w:w="1661"/>
      </w:tblGrid>
      <w:tr w14:paraId="2334D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7A2BDE7F">
            <w:pPr>
              <w:pStyle w:val="4"/>
              <w:jc w:val="center"/>
            </w:pPr>
            <w:r>
              <w:t xml:space="preserve"> 评审因素</w:t>
            </w:r>
          </w:p>
        </w:tc>
        <w:tc>
          <w:tcPr>
            <w:tcW w:w="5815" w:type="dxa"/>
            <w:gridSpan w:val="4"/>
          </w:tcPr>
          <w:p w14:paraId="4BDB300B">
            <w:pPr>
              <w:pStyle w:val="4"/>
              <w:jc w:val="center"/>
            </w:pPr>
            <w:r>
              <w:t xml:space="preserve"> 评审标准</w:t>
            </w:r>
          </w:p>
        </w:tc>
      </w:tr>
      <w:tr w14:paraId="0ED9A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F56CCE">
            <w:pPr>
              <w:pStyle w:val="4"/>
              <w:jc w:val="center"/>
            </w:pPr>
            <w:r>
              <w:t xml:space="preserve"> 评审因素分类</w:t>
            </w:r>
          </w:p>
        </w:tc>
        <w:tc>
          <w:tcPr>
            <w:tcW w:w="1661" w:type="dxa"/>
          </w:tcPr>
          <w:p w14:paraId="27BCC49D">
            <w:pPr>
              <w:pStyle w:val="4"/>
              <w:jc w:val="center"/>
            </w:pPr>
            <w:r>
              <w:t xml:space="preserve"> 评审项</w:t>
            </w:r>
          </w:p>
        </w:tc>
        <w:tc>
          <w:tcPr>
            <w:tcW w:w="2492" w:type="dxa"/>
          </w:tcPr>
          <w:p w14:paraId="1A91636B">
            <w:pPr>
              <w:pStyle w:val="4"/>
              <w:jc w:val="center"/>
            </w:pPr>
            <w:r>
              <w:t xml:space="preserve"> 详细描述</w:t>
            </w:r>
          </w:p>
        </w:tc>
        <w:tc>
          <w:tcPr>
            <w:tcW w:w="831" w:type="dxa"/>
          </w:tcPr>
          <w:p w14:paraId="268EEA3D">
            <w:pPr>
              <w:pStyle w:val="4"/>
              <w:jc w:val="center"/>
            </w:pPr>
            <w:r>
              <w:t xml:space="preserve"> 分值</w:t>
            </w:r>
          </w:p>
        </w:tc>
        <w:tc>
          <w:tcPr>
            <w:tcW w:w="831" w:type="dxa"/>
          </w:tcPr>
          <w:p w14:paraId="2D1C63D8">
            <w:pPr>
              <w:pStyle w:val="4"/>
              <w:jc w:val="center"/>
            </w:pPr>
            <w:r>
              <w:t xml:space="preserve"> 客观/主观</w:t>
            </w:r>
          </w:p>
        </w:tc>
        <w:tc>
          <w:tcPr>
            <w:tcW w:w="1661" w:type="dxa"/>
          </w:tcPr>
          <w:p w14:paraId="5D35D132">
            <w:pPr>
              <w:pStyle w:val="4"/>
              <w:jc w:val="center"/>
            </w:pPr>
            <w:r>
              <w:t xml:space="preserve"> 关联格式</w:t>
            </w:r>
          </w:p>
        </w:tc>
      </w:tr>
      <w:tr w14:paraId="44D71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387AF5E5">
            <w:pPr>
              <w:pStyle w:val="4"/>
            </w:pPr>
            <w:r>
              <w:t>商务评审</w:t>
            </w:r>
          </w:p>
        </w:tc>
        <w:tc>
          <w:tcPr>
            <w:tcW w:w="1661" w:type="dxa"/>
          </w:tcPr>
          <w:p w14:paraId="436405E3">
            <w:pPr>
              <w:pStyle w:val="4"/>
            </w:pPr>
            <w:r>
              <w:t>业绩</w:t>
            </w:r>
          </w:p>
        </w:tc>
        <w:tc>
          <w:tcPr>
            <w:tcW w:w="2492" w:type="dxa"/>
          </w:tcPr>
          <w:p w14:paraId="033F1349">
            <w:pPr>
              <w:pStyle w:val="4"/>
            </w:pPr>
            <w:r>
              <w:t>1.比较合同签订时间在投标（报价）截止时间前三年以内（截止时间前三个月内不计）投标（报价）供应商承担过同类项目（包含在军地高校&lt;含军队院校、地方高校、高（中）职院校&gt;开发的统一门户与身份认证平台&lt;系统&gt;、数据资源管理平台（或数据中台）&lt;系统&gt;、资产管理平台&lt;或教学保障管理系统&gt;（其中一种或多种））的数量，最多提供5份合同，超5份以前5份为准。以提供同类项目销售合同复印件和不低于合同金额30%的相关银行收款进账凭证复印件为准，每提供一份金额 100万元以上的合同得标准分值的20%，最多得标准分值。投标供应商须为合同乙方。</w:t>
            </w:r>
            <w:r>
              <w:br w:type="textWrapping"/>
            </w:r>
            <w:r>
              <w:t>说明：</w:t>
            </w:r>
            <w:r>
              <w:br w:type="textWrapping"/>
            </w:r>
            <w:r>
              <w:t>1.时间或类别不符合要求、总金额或数量不清晰、无相关银行进账凭证的合同均无效，业绩为0的得0分。</w:t>
            </w:r>
            <w:r>
              <w:br w:type="textWrapping"/>
            </w:r>
            <w:r>
              <w:t>2.销售合同复印件含合同首页、标的清单页、金额页、合同缔约双方签字盖章页。</w:t>
            </w:r>
            <w:r>
              <w:br w:type="textWrapping"/>
            </w:r>
            <w:r>
              <w:t>3.每份合同只计算一次，业绩1和业绩2不能重复计算。</w:t>
            </w:r>
          </w:p>
        </w:tc>
        <w:tc>
          <w:tcPr>
            <w:tcW w:w="831" w:type="dxa"/>
          </w:tcPr>
          <w:p w14:paraId="065E1FEE">
            <w:pPr>
              <w:pStyle w:val="4"/>
              <w:jc w:val="right"/>
            </w:pPr>
            <w:r>
              <w:t>3.00</w:t>
            </w:r>
          </w:p>
        </w:tc>
        <w:tc>
          <w:tcPr>
            <w:tcW w:w="831" w:type="dxa"/>
          </w:tcPr>
          <w:p w14:paraId="21B48993">
            <w:pPr>
              <w:pStyle w:val="4"/>
            </w:pPr>
            <w:r>
              <w:t>客观</w:t>
            </w:r>
          </w:p>
        </w:tc>
        <w:tc>
          <w:tcPr>
            <w:tcW w:w="1661" w:type="dxa"/>
          </w:tcPr>
          <w:p w14:paraId="5B606388">
            <w:pPr>
              <w:pStyle w:val="4"/>
            </w:pPr>
            <w:r>
              <w:t>业绩</w:t>
            </w:r>
          </w:p>
        </w:tc>
      </w:tr>
      <w:tr w14:paraId="58F73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C5AB447"/>
        </w:tc>
        <w:tc>
          <w:tcPr>
            <w:tcW w:w="1661" w:type="dxa"/>
          </w:tcPr>
          <w:p w14:paraId="226B0BBF">
            <w:pPr>
              <w:pStyle w:val="4"/>
            </w:pPr>
            <w:r>
              <w:t>业绩</w:t>
            </w:r>
          </w:p>
        </w:tc>
        <w:tc>
          <w:tcPr>
            <w:tcW w:w="2492" w:type="dxa"/>
          </w:tcPr>
          <w:p w14:paraId="58FDF7A1">
            <w:pPr>
              <w:pStyle w:val="4"/>
            </w:pPr>
            <w:r>
              <w:t>2.比较合同签订时间在投标（报价）截止时间前三年以内（截止时间前三个月内不计）投标（报价）供应商承担过同类项目（包含在军地高校&lt;含军队院校、地方高校、高（中）职院校&gt;开发的统一门户与身份认证平台&lt;系统&gt;、数据资源管理平台（或数据中台）&lt;系统&gt;、资产管理平台&lt;或教学保障管理系统&gt;（其中一种或多种））的金额。以提供同类项目销售合同复印件和不低于合同金额30%的相关银行收款进账凭证复印件为准，最多提供5份合同，超5份以前5份为准。投标供应商须为合同乙方。</w:t>
            </w:r>
            <w:r>
              <w:br w:type="textWrapping"/>
            </w:r>
            <w:r>
              <w:t>基准业绩=投标（报价）供应商提供的同类项目合计最高金额；业绩得分=同类项目业绩/基准业绩×标准分值</w:t>
            </w:r>
            <w:r>
              <w:br w:type="textWrapping"/>
            </w:r>
            <w:r>
              <w:br w:type="textWrapping"/>
            </w:r>
            <w:r>
              <w:t>说明：</w:t>
            </w:r>
            <w:r>
              <w:br w:type="textWrapping"/>
            </w:r>
            <w:r>
              <w:t>1.时间或类别不符合要求、总金额或数量不清晰、无相关银行进账凭证的合同均无效，业绩为0的得0分。</w:t>
            </w:r>
            <w:r>
              <w:br w:type="textWrapping"/>
            </w:r>
            <w:r>
              <w:t>2.销售合同复印件含合同首页、标的清单页、金额页、合同缔约双方签字盖章页。</w:t>
            </w:r>
            <w:r>
              <w:br w:type="textWrapping"/>
            </w:r>
            <w:r>
              <w:t>3.每份合同只计算一次，业绩1和业绩2不能重复计算。</w:t>
            </w:r>
          </w:p>
        </w:tc>
        <w:tc>
          <w:tcPr>
            <w:tcW w:w="831" w:type="dxa"/>
          </w:tcPr>
          <w:p w14:paraId="54861BE4">
            <w:pPr>
              <w:pStyle w:val="4"/>
              <w:jc w:val="right"/>
            </w:pPr>
            <w:r>
              <w:t>3.00</w:t>
            </w:r>
          </w:p>
        </w:tc>
        <w:tc>
          <w:tcPr>
            <w:tcW w:w="831" w:type="dxa"/>
          </w:tcPr>
          <w:p w14:paraId="09044C59">
            <w:pPr>
              <w:pStyle w:val="4"/>
            </w:pPr>
            <w:r>
              <w:t>客观</w:t>
            </w:r>
          </w:p>
        </w:tc>
        <w:tc>
          <w:tcPr>
            <w:tcW w:w="1661" w:type="dxa"/>
          </w:tcPr>
          <w:p w14:paraId="7C7FC371">
            <w:pPr>
              <w:pStyle w:val="4"/>
            </w:pPr>
            <w:r>
              <w:t>业绩</w:t>
            </w:r>
          </w:p>
        </w:tc>
      </w:tr>
      <w:tr w14:paraId="598E6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0BD9926"/>
        </w:tc>
        <w:tc>
          <w:tcPr>
            <w:tcW w:w="1661" w:type="dxa"/>
          </w:tcPr>
          <w:p w14:paraId="67F9EE32">
            <w:pPr>
              <w:pStyle w:val="4"/>
            </w:pPr>
            <w:r>
              <w:t>企业规模1</w:t>
            </w:r>
          </w:p>
        </w:tc>
        <w:tc>
          <w:tcPr>
            <w:tcW w:w="2492" w:type="dxa"/>
          </w:tcPr>
          <w:p w14:paraId="187107CE">
            <w:pPr>
              <w:pStyle w:val="4"/>
            </w:pPr>
            <w:r>
              <w:t>1.根据投标（报价）供应商上年度（2025年）纳税总金额由大至小排序，排名第一的得标准分值，其余依次按标准分值的20%递减，最低分为0分。（根据税务部门出具的完税凭证或纳税的银行转账汇款单、对账单等判定，认定税种不包括个人所得税。未提供的为0分，纳税额为0或为负值时得0分）军队单位、事业单位得标准分值。</w:t>
            </w:r>
          </w:p>
        </w:tc>
        <w:tc>
          <w:tcPr>
            <w:tcW w:w="831" w:type="dxa"/>
          </w:tcPr>
          <w:p w14:paraId="1666A209">
            <w:pPr>
              <w:pStyle w:val="4"/>
              <w:jc w:val="right"/>
            </w:pPr>
            <w:r>
              <w:t>1.00</w:t>
            </w:r>
          </w:p>
        </w:tc>
        <w:tc>
          <w:tcPr>
            <w:tcW w:w="831" w:type="dxa"/>
          </w:tcPr>
          <w:p w14:paraId="3B2CE1D7">
            <w:pPr>
              <w:pStyle w:val="4"/>
            </w:pPr>
            <w:r>
              <w:t>客观</w:t>
            </w:r>
          </w:p>
        </w:tc>
        <w:tc>
          <w:tcPr>
            <w:tcW w:w="1661" w:type="dxa"/>
          </w:tcPr>
          <w:p w14:paraId="746EEC4F">
            <w:pPr>
              <w:pStyle w:val="4"/>
            </w:pPr>
            <w:r>
              <w:t>财务社保数据统计表</w:t>
            </w:r>
          </w:p>
        </w:tc>
      </w:tr>
      <w:tr w14:paraId="61D98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78A8AEE"/>
        </w:tc>
        <w:tc>
          <w:tcPr>
            <w:tcW w:w="1661" w:type="dxa"/>
          </w:tcPr>
          <w:p w14:paraId="1785DBAC">
            <w:pPr>
              <w:pStyle w:val="4"/>
            </w:pPr>
            <w:r>
              <w:t>企业规模2</w:t>
            </w:r>
          </w:p>
        </w:tc>
        <w:tc>
          <w:tcPr>
            <w:tcW w:w="2492" w:type="dxa"/>
          </w:tcPr>
          <w:p w14:paraId="59C35ECF">
            <w:pPr>
              <w:pStyle w:val="4"/>
            </w:pPr>
            <w:r>
              <w:t>2.根据投标（报价）供应商近三年平均净资产总额由大至小排序，排名第一的得标准分值，其余依次按标准分值的20%递减，最低分为0分，平均净资产总额为负值的得0分。以第三方会计师事务所出具的近三年（2022年至2024年）的财务审</w:t>
            </w:r>
            <w:r>
              <w:br w:type="textWrapping"/>
            </w:r>
            <w:r>
              <w:t>计报告中显示的数据为准（军队单位、事业单位无法提供审计报告的，可由上级管理部门批复的决算代替），如投标（报价）供应商同时提供其报表和合并报表，以其报表为准，如仅有合并报表导致无法拆分投标（报价）供应商的相关数据，按照0分处理。审计报告中无相关数据的，按照0分处理。</w:t>
            </w:r>
          </w:p>
        </w:tc>
        <w:tc>
          <w:tcPr>
            <w:tcW w:w="831" w:type="dxa"/>
          </w:tcPr>
          <w:p w14:paraId="63FC18E0">
            <w:pPr>
              <w:pStyle w:val="4"/>
              <w:jc w:val="right"/>
            </w:pPr>
            <w:r>
              <w:t>1.00</w:t>
            </w:r>
          </w:p>
        </w:tc>
        <w:tc>
          <w:tcPr>
            <w:tcW w:w="831" w:type="dxa"/>
          </w:tcPr>
          <w:p w14:paraId="6581AB6C">
            <w:pPr>
              <w:pStyle w:val="4"/>
            </w:pPr>
            <w:r>
              <w:t>客观</w:t>
            </w:r>
          </w:p>
        </w:tc>
        <w:tc>
          <w:tcPr>
            <w:tcW w:w="1661" w:type="dxa"/>
          </w:tcPr>
          <w:p w14:paraId="22636414">
            <w:pPr>
              <w:pStyle w:val="4"/>
            </w:pPr>
            <w:r>
              <w:t>财务社保数据统计表</w:t>
            </w:r>
          </w:p>
          <w:p w14:paraId="18FD05B0">
            <w:pPr>
              <w:pStyle w:val="4"/>
            </w:pPr>
            <w:r>
              <w:t>近3年会计师事务所出具的审计报告</w:t>
            </w:r>
          </w:p>
        </w:tc>
      </w:tr>
      <w:tr w14:paraId="6C1D0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918F4CF"/>
        </w:tc>
        <w:tc>
          <w:tcPr>
            <w:tcW w:w="1661" w:type="dxa"/>
          </w:tcPr>
          <w:p w14:paraId="64613C8D">
            <w:pPr>
              <w:pStyle w:val="4"/>
            </w:pPr>
            <w:r>
              <w:t>企业规模3</w:t>
            </w:r>
          </w:p>
        </w:tc>
        <w:tc>
          <w:tcPr>
            <w:tcW w:w="2492" w:type="dxa"/>
          </w:tcPr>
          <w:p w14:paraId="02A46CB2">
            <w:pPr>
              <w:pStyle w:val="4"/>
            </w:pPr>
            <w:r>
              <w:t>3.根据投标（报价）供应商近三年平均资产总额由大至小排序，排名第一的得标准分值，其余依次按标准分值的20%递减，最低分为0分，平均资产总额为负值的得0分。以第三方会计师事务所出具的近三年（2022年至2024年）的财务审</w:t>
            </w:r>
            <w:r>
              <w:br w:type="textWrapping"/>
            </w:r>
            <w:r>
              <w:t>计报告中显示的数据为准（军队单位、事业单位无法提供审计报告的，可由上级管理部门批复的决算代替），如投标（报价）供应商同时提供其报表和合并报表，以其报表为准，如仅有合并报表导致无法拆分投标（报价）供应商的相关数据</w:t>
            </w:r>
            <w:r>
              <w:br w:type="textWrapping"/>
            </w:r>
            <w:r>
              <w:t>，按照0分处理。审计报告中无相关数据的，按照0分处理。</w:t>
            </w:r>
          </w:p>
        </w:tc>
        <w:tc>
          <w:tcPr>
            <w:tcW w:w="831" w:type="dxa"/>
          </w:tcPr>
          <w:p w14:paraId="6D488082">
            <w:pPr>
              <w:pStyle w:val="4"/>
              <w:jc w:val="right"/>
            </w:pPr>
            <w:r>
              <w:t>1.00</w:t>
            </w:r>
          </w:p>
        </w:tc>
        <w:tc>
          <w:tcPr>
            <w:tcW w:w="831" w:type="dxa"/>
          </w:tcPr>
          <w:p w14:paraId="76708E69">
            <w:pPr>
              <w:pStyle w:val="4"/>
            </w:pPr>
            <w:r>
              <w:t>客观</w:t>
            </w:r>
          </w:p>
        </w:tc>
        <w:tc>
          <w:tcPr>
            <w:tcW w:w="1661" w:type="dxa"/>
          </w:tcPr>
          <w:p w14:paraId="5B27D047">
            <w:pPr>
              <w:pStyle w:val="4"/>
            </w:pPr>
            <w:r>
              <w:t>近3年会计师事务所出具的审计报告</w:t>
            </w:r>
          </w:p>
          <w:p w14:paraId="6B4EB0D1">
            <w:pPr>
              <w:pStyle w:val="4"/>
            </w:pPr>
            <w:r>
              <w:t>财务社保数据统计表</w:t>
            </w:r>
          </w:p>
        </w:tc>
      </w:tr>
      <w:tr w14:paraId="79CB7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E37839F"/>
        </w:tc>
        <w:tc>
          <w:tcPr>
            <w:tcW w:w="1661" w:type="dxa"/>
          </w:tcPr>
          <w:p w14:paraId="5CD6596D">
            <w:pPr>
              <w:pStyle w:val="4"/>
            </w:pPr>
            <w:r>
              <w:t>财务状况1</w:t>
            </w:r>
          </w:p>
        </w:tc>
        <w:tc>
          <w:tcPr>
            <w:tcW w:w="2492" w:type="dxa"/>
          </w:tcPr>
          <w:p w14:paraId="7DF1F2F2">
            <w:pPr>
              <w:pStyle w:val="4"/>
            </w:pPr>
            <w:r>
              <w:t>1.根据投标（报价）供应商近三年平均净利润金额由大至小排序，排名第一的得标准分值，其余依次按标准分值的20%递减，最低分为0分，净利润为负值的得0分。以第三方会计师事务所出具的近三年（2022年至2024年）的财务审计报告中显示的数据为准（军队单位、事业单位无法提供审计报告的，可由上级管理部门批复的决算代替），如投标（报价）供应商同时提供其报表和合并报表，以其报表为准，如仅有合并报表导致无法拆分投标（报价）供应商的相关数据，按照0分处理。审计报告中无相关数据的，按照0分处理。</w:t>
            </w:r>
          </w:p>
        </w:tc>
        <w:tc>
          <w:tcPr>
            <w:tcW w:w="831" w:type="dxa"/>
          </w:tcPr>
          <w:p w14:paraId="072C286C">
            <w:pPr>
              <w:pStyle w:val="4"/>
              <w:jc w:val="right"/>
            </w:pPr>
            <w:r>
              <w:t>1.00</w:t>
            </w:r>
          </w:p>
        </w:tc>
        <w:tc>
          <w:tcPr>
            <w:tcW w:w="831" w:type="dxa"/>
          </w:tcPr>
          <w:p w14:paraId="1B47FF78">
            <w:pPr>
              <w:pStyle w:val="4"/>
            </w:pPr>
            <w:r>
              <w:t>客观</w:t>
            </w:r>
          </w:p>
        </w:tc>
        <w:tc>
          <w:tcPr>
            <w:tcW w:w="1661" w:type="dxa"/>
          </w:tcPr>
          <w:p w14:paraId="5F2F66FF">
            <w:pPr>
              <w:pStyle w:val="4"/>
            </w:pPr>
            <w:r>
              <w:t>财务社保数据统计表</w:t>
            </w:r>
          </w:p>
          <w:p w14:paraId="4CB1927D">
            <w:pPr>
              <w:pStyle w:val="4"/>
            </w:pPr>
            <w:r>
              <w:t>近3年会计师事务所出具的审计报告</w:t>
            </w:r>
          </w:p>
        </w:tc>
      </w:tr>
      <w:tr w14:paraId="116F2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AAD58D8"/>
        </w:tc>
        <w:tc>
          <w:tcPr>
            <w:tcW w:w="1661" w:type="dxa"/>
          </w:tcPr>
          <w:p w14:paraId="3CA844DF">
            <w:pPr>
              <w:pStyle w:val="4"/>
            </w:pPr>
            <w:r>
              <w:t>财务状况2</w:t>
            </w:r>
          </w:p>
        </w:tc>
        <w:tc>
          <w:tcPr>
            <w:tcW w:w="2492" w:type="dxa"/>
          </w:tcPr>
          <w:p w14:paraId="2A230825">
            <w:pPr>
              <w:pStyle w:val="4"/>
            </w:pPr>
            <w:r>
              <w:t>2.根据投标（报价）供应商近三年平均资产负债率低于50%（含）的得标准分值，50%~70%（含）得标准分值的50%，70%以上的为0分。以第三方会计师事务所出具的近三年（2022年至2024年）的财务审计报告中显示的数据为准（军队单</w:t>
            </w:r>
            <w:r>
              <w:br w:type="textWrapping"/>
            </w:r>
            <w:r>
              <w:t>位、事业单位无法提供审计报告的，可由上级管理部门批复的决算代替），如投标（报价）供应商同时提供其报表和合并报表，以其报表为准，如仅有合并报表导致无法拆分投标（报价）供应商的相关数据，按照0分处理。审计报告中无相关数据的，按照0分处理。</w:t>
            </w:r>
          </w:p>
        </w:tc>
        <w:tc>
          <w:tcPr>
            <w:tcW w:w="831" w:type="dxa"/>
          </w:tcPr>
          <w:p w14:paraId="42A720B4">
            <w:pPr>
              <w:pStyle w:val="4"/>
              <w:jc w:val="right"/>
            </w:pPr>
            <w:r>
              <w:t>1.00</w:t>
            </w:r>
          </w:p>
        </w:tc>
        <w:tc>
          <w:tcPr>
            <w:tcW w:w="831" w:type="dxa"/>
          </w:tcPr>
          <w:p w14:paraId="6699870A">
            <w:pPr>
              <w:pStyle w:val="4"/>
            </w:pPr>
            <w:r>
              <w:t>客观</w:t>
            </w:r>
          </w:p>
        </w:tc>
        <w:tc>
          <w:tcPr>
            <w:tcW w:w="1661" w:type="dxa"/>
          </w:tcPr>
          <w:p w14:paraId="4BFC9D83">
            <w:pPr>
              <w:pStyle w:val="4"/>
            </w:pPr>
            <w:r>
              <w:t>财务社保数据统计表</w:t>
            </w:r>
          </w:p>
          <w:p w14:paraId="2EA3F7DB">
            <w:pPr>
              <w:pStyle w:val="4"/>
            </w:pPr>
            <w:r>
              <w:t>近3年会计师事务所出具的审计报告</w:t>
            </w:r>
          </w:p>
        </w:tc>
      </w:tr>
      <w:tr w14:paraId="401D5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B912983"/>
        </w:tc>
        <w:tc>
          <w:tcPr>
            <w:tcW w:w="1661" w:type="dxa"/>
          </w:tcPr>
          <w:p w14:paraId="2240426B">
            <w:pPr>
              <w:pStyle w:val="4"/>
            </w:pPr>
            <w:r>
              <w:t>财务状况3</w:t>
            </w:r>
          </w:p>
        </w:tc>
        <w:tc>
          <w:tcPr>
            <w:tcW w:w="2492" w:type="dxa"/>
          </w:tcPr>
          <w:p w14:paraId="56DFE17D">
            <w:pPr>
              <w:pStyle w:val="4"/>
            </w:pPr>
            <w:r>
              <w:t>3.根据投标（报价）供应商近三年平均营业收入金额由大至小排序，排名第一的得标准分值，其余依次按标准分值的20%递减，最低分为0分。以第三方会计师事务所出具的近三年（2022年至2024年）的财务审计报告中显示的数据为准（军队单</w:t>
            </w:r>
            <w:r>
              <w:br w:type="textWrapping"/>
            </w:r>
            <w:r>
              <w:t>位、事业单位无法提供审计报告的，可由上级管理部门批复的决算代替），如投标（报价）供应商同时提供其报表和合并报表，以其报表为准，如仅有合并报表导致无法拆分投标（报价）供应商的相关数据，按照0分处理。审计报告中无相关数据的，按照0分处理。</w:t>
            </w:r>
          </w:p>
        </w:tc>
        <w:tc>
          <w:tcPr>
            <w:tcW w:w="831" w:type="dxa"/>
          </w:tcPr>
          <w:p w14:paraId="17551CEE">
            <w:pPr>
              <w:pStyle w:val="4"/>
              <w:jc w:val="right"/>
            </w:pPr>
            <w:r>
              <w:t>1.00</w:t>
            </w:r>
          </w:p>
        </w:tc>
        <w:tc>
          <w:tcPr>
            <w:tcW w:w="831" w:type="dxa"/>
          </w:tcPr>
          <w:p w14:paraId="7CA28182">
            <w:pPr>
              <w:pStyle w:val="4"/>
            </w:pPr>
            <w:r>
              <w:t>客观</w:t>
            </w:r>
          </w:p>
        </w:tc>
        <w:tc>
          <w:tcPr>
            <w:tcW w:w="1661" w:type="dxa"/>
          </w:tcPr>
          <w:p w14:paraId="1086FB8D">
            <w:pPr>
              <w:pStyle w:val="4"/>
            </w:pPr>
            <w:r>
              <w:t>近3年会计师事务所出具的审计报告</w:t>
            </w:r>
          </w:p>
          <w:p w14:paraId="2AFDD627">
            <w:pPr>
              <w:pStyle w:val="4"/>
            </w:pPr>
            <w:r>
              <w:t>财务社保数据统计表</w:t>
            </w:r>
          </w:p>
        </w:tc>
      </w:tr>
      <w:tr w14:paraId="655AD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8C5D283"/>
        </w:tc>
        <w:tc>
          <w:tcPr>
            <w:tcW w:w="1661" w:type="dxa"/>
          </w:tcPr>
          <w:p w14:paraId="6ED6F097">
            <w:pPr>
              <w:pStyle w:val="4"/>
            </w:pPr>
            <w:r>
              <w:t>企业信誉1</w:t>
            </w:r>
          </w:p>
        </w:tc>
        <w:tc>
          <w:tcPr>
            <w:tcW w:w="2492" w:type="dxa"/>
          </w:tcPr>
          <w:p w14:paraId="6F3C716A">
            <w:pPr>
              <w:pStyle w:val="4"/>
            </w:pPr>
            <w:r>
              <w:t>1.投标（报价）供应商近三年（2022年至2024年）连续取得税务部门颁发的企业纳税信用A级评价证书的得标准分值，取得过两次的得标准分值的50%，取得过一次的得标准分值的25%，没有或无效的为0分。（网上公示的，须提供截图和查询网址）军队单位、事业单位可提供上年度12个月的纳税凭证，得标准分值。</w:t>
            </w:r>
          </w:p>
        </w:tc>
        <w:tc>
          <w:tcPr>
            <w:tcW w:w="831" w:type="dxa"/>
          </w:tcPr>
          <w:p w14:paraId="6A500911">
            <w:pPr>
              <w:pStyle w:val="4"/>
              <w:jc w:val="right"/>
            </w:pPr>
            <w:r>
              <w:t>1.00</w:t>
            </w:r>
          </w:p>
        </w:tc>
        <w:tc>
          <w:tcPr>
            <w:tcW w:w="831" w:type="dxa"/>
          </w:tcPr>
          <w:p w14:paraId="2A2B5499">
            <w:pPr>
              <w:pStyle w:val="4"/>
            </w:pPr>
            <w:r>
              <w:t>客观</w:t>
            </w:r>
          </w:p>
        </w:tc>
        <w:tc>
          <w:tcPr>
            <w:tcW w:w="1661" w:type="dxa"/>
          </w:tcPr>
          <w:p w14:paraId="2CDAEC4F">
            <w:pPr>
              <w:pStyle w:val="4"/>
            </w:pPr>
            <w:r>
              <w:t>企业信誉</w:t>
            </w:r>
          </w:p>
        </w:tc>
      </w:tr>
      <w:tr w14:paraId="08A27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24BD282"/>
        </w:tc>
        <w:tc>
          <w:tcPr>
            <w:tcW w:w="1661" w:type="dxa"/>
          </w:tcPr>
          <w:p w14:paraId="361CBEA1">
            <w:pPr>
              <w:pStyle w:val="4"/>
            </w:pPr>
            <w:r>
              <w:t>企业信誉2</w:t>
            </w:r>
          </w:p>
        </w:tc>
        <w:tc>
          <w:tcPr>
            <w:tcW w:w="2492" w:type="dxa"/>
          </w:tcPr>
          <w:p w14:paraId="0C1C77A7">
            <w:pPr>
              <w:pStyle w:val="4"/>
            </w:pPr>
            <w:r>
              <w:t>2.投标（报价）供应商在投标（报价）截止时间近三年内未被列入军队采购失信名单的得标准分值，否则不得分。（以采购机构查询军队采购网内网处罚截止日期为准）不论做出处罚决定的为哪一级采购管理部门或不同的处罚有效范围，凡纳入军队采购失信名单的均有效。</w:t>
            </w:r>
          </w:p>
        </w:tc>
        <w:tc>
          <w:tcPr>
            <w:tcW w:w="831" w:type="dxa"/>
          </w:tcPr>
          <w:p w14:paraId="478D53CC">
            <w:pPr>
              <w:pStyle w:val="4"/>
              <w:jc w:val="right"/>
            </w:pPr>
            <w:r>
              <w:t>2.00</w:t>
            </w:r>
          </w:p>
        </w:tc>
        <w:tc>
          <w:tcPr>
            <w:tcW w:w="831" w:type="dxa"/>
          </w:tcPr>
          <w:p w14:paraId="790A9F24">
            <w:pPr>
              <w:pStyle w:val="4"/>
            </w:pPr>
            <w:r>
              <w:t>客观</w:t>
            </w:r>
          </w:p>
        </w:tc>
        <w:tc>
          <w:tcPr>
            <w:tcW w:w="1661" w:type="dxa"/>
          </w:tcPr>
          <w:p w14:paraId="06891A70">
            <w:pPr>
              <w:pStyle w:val="4"/>
            </w:pPr>
            <w:r>
              <w:t>企业信誉</w:t>
            </w:r>
          </w:p>
        </w:tc>
      </w:tr>
      <w:tr w14:paraId="04665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74673B89">
            <w:pPr>
              <w:pStyle w:val="4"/>
              <w:jc w:val="center"/>
            </w:pPr>
            <w:r>
              <w:t xml:space="preserve"> 合计</w:t>
            </w:r>
          </w:p>
        </w:tc>
        <w:tc>
          <w:tcPr>
            <w:tcW w:w="5815" w:type="dxa"/>
            <w:gridSpan w:val="4"/>
          </w:tcPr>
          <w:p w14:paraId="623C24D9">
            <w:pPr>
              <w:pStyle w:val="4"/>
              <w:jc w:val="center"/>
            </w:pPr>
            <w:r>
              <w:t>15.00分</w:t>
            </w:r>
          </w:p>
        </w:tc>
      </w:tr>
    </w:tbl>
    <w:p w14:paraId="4BB8182E">
      <w:pPr>
        <w:pStyle w:val="4"/>
        <w:jc w:val="left"/>
      </w:pPr>
      <w:r>
        <w:t>其他说明：</w:t>
      </w:r>
    </w:p>
    <w:p w14:paraId="04BD477C">
      <w:pPr>
        <w:pStyle w:val="4"/>
        <w:jc w:val="left"/>
      </w:pPr>
      <w:r>
        <w:t>无</w:t>
      </w:r>
    </w:p>
    <w:p w14:paraId="493E2028">
      <w:pPr>
        <w:pStyle w:val="4"/>
        <w:jc w:val="left"/>
        <w:outlineLvl w:val="2"/>
      </w:pPr>
      <w:bookmarkStart w:id="0" w:name="_GoBack"/>
      <w:bookmarkEnd w:id="0"/>
      <w:r>
        <w:rPr>
          <w:b/>
          <w:sz w:val="28"/>
        </w:rPr>
        <w:t>附表4 技术评审标准表（综合评分法/质量优先法）</w:t>
      </w:r>
    </w:p>
    <w:p w14:paraId="7A2DE760">
      <w:pPr>
        <w:pStyle w:val="4"/>
        <w:jc w:val="left"/>
      </w:pPr>
      <w:r>
        <w:t>概述：</w:t>
      </w:r>
    </w:p>
    <w:p w14:paraId="78756614">
      <w:pPr>
        <w:pStyle w:val="4"/>
        <w:jc w:val="left"/>
      </w:pPr>
      <w:r>
        <w:t>无</w:t>
      </w:r>
    </w:p>
    <w:p w14:paraId="03F2B8C2">
      <w:pPr>
        <w:pStyle w:val="4"/>
        <w:jc w:val="center"/>
        <w:outlineLvl w:val="1"/>
      </w:pPr>
      <w:r>
        <w:rPr>
          <w:b/>
          <w:sz w:val="36"/>
        </w:rPr>
        <w:t>技术评审标准表（综合评分法/质量优先法）</w:t>
      </w:r>
    </w:p>
    <w:p w14:paraId="0B881E8A">
      <w:pPr>
        <w:pStyle w:val="4"/>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831"/>
        <w:gridCol w:w="1661"/>
      </w:tblGrid>
      <w:tr w14:paraId="352FB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3EE0747D">
            <w:pPr>
              <w:pStyle w:val="4"/>
              <w:jc w:val="center"/>
            </w:pPr>
            <w:r>
              <w:t xml:space="preserve"> 评审因素</w:t>
            </w:r>
          </w:p>
        </w:tc>
        <w:tc>
          <w:tcPr>
            <w:tcW w:w="5815" w:type="dxa"/>
            <w:gridSpan w:val="4"/>
          </w:tcPr>
          <w:p w14:paraId="051FDEAE">
            <w:pPr>
              <w:pStyle w:val="4"/>
              <w:jc w:val="center"/>
            </w:pPr>
            <w:r>
              <w:t xml:space="preserve"> 评审标准</w:t>
            </w:r>
          </w:p>
        </w:tc>
      </w:tr>
      <w:tr w14:paraId="7A60F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821106">
            <w:pPr>
              <w:pStyle w:val="4"/>
              <w:jc w:val="center"/>
            </w:pPr>
            <w:r>
              <w:t xml:space="preserve"> 评审因素分类</w:t>
            </w:r>
          </w:p>
        </w:tc>
        <w:tc>
          <w:tcPr>
            <w:tcW w:w="1661" w:type="dxa"/>
          </w:tcPr>
          <w:p w14:paraId="22602EB0">
            <w:pPr>
              <w:pStyle w:val="4"/>
              <w:jc w:val="center"/>
            </w:pPr>
            <w:r>
              <w:t xml:space="preserve"> 评审项</w:t>
            </w:r>
          </w:p>
        </w:tc>
        <w:tc>
          <w:tcPr>
            <w:tcW w:w="2492" w:type="dxa"/>
          </w:tcPr>
          <w:p w14:paraId="30EE8744">
            <w:pPr>
              <w:pStyle w:val="4"/>
              <w:jc w:val="center"/>
            </w:pPr>
            <w:r>
              <w:t xml:space="preserve"> 详细描述</w:t>
            </w:r>
          </w:p>
        </w:tc>
        <w:tc>
          <w:tcPr>
            <w:tcW w:w="831" w:type="dxa"/>
          </w:tcPr>
          <w:p w14:paraId="2324E3F8">
            <w:pPr>
              <w:pStyle w:val="4"/>
              <w:jc w:val="center"/>
            </w:pPr>
            <w:r>
              <w:t xml:space="preserve"> 分值</w:t>
            </w:r>
          </w:p>
        </w:tc>
        <w:tc>
          <w:tcPr>
            <w:tcW w:w="831" w:type="dxa"/>
          </w:tcPr>
          <w:p w14:paraId="096F73E2">
            <w:pPr>
              <w:pStyle w:val="4"/>
              <w:jc w:val="center"/>
            </w:pPr>
            <w:r>
              <w:t xml:space="preserve"> 客观/主观</w:t>
            </w:r>
          </w:p>
        </w:tc>
        <w:tc>
          <w:tcPr>
            <w:tcW w:w="1661" w:type="dxa"/>
          </w:tcPr>
          <w:p w14:paraId="661269B0">
            <w:pPr>
              <w:pStyle w:val="4"/>
              <w:jc w:val="center"/>
            </w:pPr>
            <w:r>
              <w:t xml:space="preserve"> 关联格式</w:t>
            </w:r>
          </w:p>
        </w:tc>
      </w:tr>
      <w:tr w14:paraId="6E9EE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18864C39">
            <w:pPr>
              <w:pStyle w:val="4"/>
            </w:pPr>
            <w:r>
              <w:t>技术部分（明标）</w:t>
            </w:r>
          </w:p>
        </w:tc>
        <w:tc>
          <w:tcPr>
            <w:tcW w:w="1661" w:type="dxa"/>
          </w:tcPr>
          <w:p w14:paraId="4E216912">
            <w:pPr>
              <w:pStyle w:val="4"/>
            </w:pPr>
            <w:r>
              <w:t>技术力量1</w:t>
            </w:r>
          </w:p>
        </w:tc>
        <w:tc>
          <w:tcPr>
            <w:tcW w:w="2492" w:type="dxa"/>
          </w:tcPr>
          <w:p w14:paraId="369C2AE5">
            <w:pPr>
              <w:pStyle w:val="4"/>
            </w:pPr>
            <w:r>
              <w:t>1.投标（报价）供应商取得且处于有效期内的IS09001或GB/T19001或GJB9001质量管理体系认证证书的得标准分值，没有或无效的为0分。</w:t>
            </w:r>
          </w:p>
        </w:tc>
        <w:tc>
          <w:tcPr>
            <w:tcW w:w="831" w:type="dxa"/>
          </w:tcPr>
          <w:p w14:paraId="4347A63D">
            <w:pPr>
              <w:pStyle w:val="4"/>
              <w:jc w:val="right"/>
            </w:pPr>
            <w:r>
              <w:t>1.00</w:t>
            </w:r>
          </w:p>
        </w:tc>
        <w:tc>
          <w:tcPr>
            <w:tcW w:w="831" w:type="dxa"/>
          </w:tcPr>
          <w:p w14:paraId="7A7D2B34">
            <w:pPr>
              <w:pStyle w:val="4"/>
            </w:pPr>
            <w:r>
              <w:t>客观</w:t>
            </w:r>
          </w:p>
        </w:tc>
        <w:tc>
          <w:tcPr>
            <w:tcW w:w="1661" w:type="dxa"/>
          </w:tcPr>
          <w:p w14:paraId="59403774">
            <w:pPr>
              <w:pStyle w:val="4"/>
            </w:pPr>
            <w:r>
              <w:t>技术力量</w:t>
            </w:r>
          </w:p>
        </w:tc>
      </w:tr>
      <w:tr w14:paraId="11D89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9E91C77"/>
        </w:tc>
        <w:tc>
          <w:tcPr>
            <w:tcW w:w="1661" w:type="dxa"/>
          </w:tcPr>
          <w:p w14:paraId="73882110">
            <w:pPr>
              <w:pStyle w:val="4"/>
            </w:pPr>
            <w:r>
              <w:t>技术力量2</w:t>
            </w:r>
          </w:p>
        </w:tc>
        <w:tc>
          <w:tcPr>
            <w:tcW w:w="2492" w:type="dxa"/>
          </w:tcPr>
          <w:p w14:paraId="4AED1133">
            <w:pPr>
              <w:pStyle w:val="4"/>
            </w:pPr>
            <w:r>
              <w:t>2.投标（报价）供应商取得且处于有效期内的IS027001或GB/T22080信息安全管理体系认证证书的得标准分值，没有或无效的为0分。</w:t>
            </w:r>
          </w:p>
        </w:tc>
        <w:tc>
          <w:tcPr>
            <w:tcW w:w="831" w:type="dxa"/>
          </w:tcPr>
          <w:p w14:paraId="37E70C51">
            <w:pPr>
              <w:pStyle w:val="4"/>
              <w:jc w:val="right"/>
            </w:pPr>
            <w:r>
              <w:t>1.00</w:t>
            </w:r>
          </w:p>
        </w:tc>
        <w:tc>
          <w:tcPr>
            <w:tcW w:w="831" w:type="dxa"/>
          </w:tcPr>
          <w:p w14:paraId="70E41774">
            <w:pPr>
              <w:pStyle w:val="4"/>
            </w:pPr>
            <w:r>
              <w:t>客观</w:t>
            </w:r>
          </w:p>
        </w:tc>
        <w:tc>
          <w:tcPr>
            <w:tcW w:w="1661" w:type="dxa"/>
          </w:tcPr>
          <w:p w14:paraId="29118C1F">
            <w:pPr>
              <w:pStyle w:val="4"/>
            </w:pPr>
            <w:r>
              <w:t>技术力量</w:t>
            </w:r>
          </w:p>
        </w:tc>
      </w:tr>
      <w:tr w14:paraId="14998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vMerge w:val="continue"/>
          </w:tcPr>
          <w:p w14:paraId="08491AA2"/>
        </w:tc>
        <w:tc>
          <w:tcPr>
            <w:tcW w:w="1661" w:type="dxa"/>
          </w:tcPr>
          <w:p w14:paraId="3AD3727D">
            <w:pPr>
              <w:pStyle w:val="4"/>
            </w:pPr>
            <w:r>
              <w:t>技术力量3</w:t>
            </w:r>
          </w:p>
        </w:tc>
        <w:tc>
          <w:tcPr>
            <w:tcW w:w="2492" w:type="dxa"/>
          </w:tcPr>
          <w:p w14:paraId="26DE0676">
            <w:pPr>
              <w:pStyle w:val="4"/>
            </w:pPr>
            <w:r>
              <w:t>3.投标（报价）供应商取得且处于有效期内的GJB5000五级认证证书的得标准分值，GJB5000四级认证证书的得标准分值的60%，GJB5000三级得标准分值的30%，否则为0分。</w:t>
            </w:r>
          </w:p>
        </w:tc>
        <w:tc>
          <w:tcPr>
            <w:tcW w:w="831" w:type="dxa"/>
          </w:tcPr>
          <w:p w14:paraId="0ED1CD15">
            <w:pPr>
              <w:pStyle w:val="4"/>
              <w:jc w:val="right"/>
            </w:pPr>
            <w:r>
              <w:t>1.00</w:t>
            </w:r>
          </w:p>
        </w:tc>
        <w:tc>
          <w:tcPr>
            <w:tcW w:w="831" w:type="dxa"/>
          </w:tcPr>
          <w:p w14:paraId="07DEF342">
            <w:pPr>
              <w:pStyle w:val="4"/>
            </w:pPr>
            <w:r>
              <w:t>客观</w:t>
            </w:r>
          </w:p>
        </w:tc>
        <w:tc>
          <w:tcPr>
            <w:tcW w:w="1661" w:type="dxa"/>
          </w:tcPr>
          <w:p w14:paraId="79647A0A">
            <w:pPr>
              <w:pStyle w:val="4"/>
            </w:pPr>
            <w:r>
              <w:t>技术力量</w:t>
            </w:r>
          </w:p>
        </w:tc>
      </w:tr>
      <w:tr w14:paraId="5E639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DDD63A2"/>
        </w:tc>
        <w:tc>
          <w:tcPr>
            <w:tcW w:w="1661" w:type="dxa"/>
          </w:tcPr>
          <w:p w14:paraId="77D280CD">
            <w:pPr>
              <w:pStyle w:val="4"/>
            </w:pPr>
            <w:r>
              <w:t>技术力量4</w:t>
            </w:r>
          </w:p>
        </w:tc>
        <w:tc>
          <w:tcPr>
            <w:tcW w:w="2492" w:type="dxa"/>
          </w:tcPr>
          <w:p w14:paraId="6223B4BD">
            <w:pPr>
              <w:pStyle w:val="4"/>
            </w:pPr>
            <w:r>
              <w:t>4.投标（报价）供应商取得且处于有效期内的IS020000或GB/T24405信息技术服务管理体系认证证书的得标准分值，没有或无效的为0分。</w:t>
            </w:r>
          </w:p>
        </w:tc>
        <w:tc>
          <w:tcPr>
            <w:tcW w:w="831" w:type="dxa"/>
          </w:tcPr>
          <w:p w14:paraId="288CB19D">
            <w:pPr>
              <w:pStyle w:val="4"/>
              <w:jc w:val="right"/>
            </w:pPr>
            <w:r>
              <w:t>1.00</w:t>
            </w:r>
          </w:p>
        </w:tc>
        <w:tc>
          <w:tcPr>
            <w:tcW w:w="831" w:type="dxa"/>
          </w:tcPr>
          <w:p w14:paraId="5F5FC1FE">
            <w:pPr>
              <w:pStyle w:val="4"/>
            </w:pPr>
            <w:r>
              <w:t>客观</w:t>
            </w:r>
          </w:p>
        </w:tc>
        <w:tc>
          <w:tcPr>
            <w:tcW w:w="1661" w:type="dxa"/>
          </w:tcPr>
          <w:p w14:paraId="65D21F42">
            <w:pPr>
              <w:pStyle w:val="4"/>
            </w:pPr>
            <w:r>
              <w:t>技术力量</w:t>
            </w:r>
          </w:p>
        </w:tc>
      </w:tr>
      <w:tr w14:paraId="75293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E63263D"/>
        </w:tc>
        <w:tc>
          <w:tcPr>
            <w:tcW w:w="1661" w:type="dxa"/>
          </w:tcPr>
          <w:p w14:paraId="3FCCD57F">
            <w:pPr>
              <w:pStyle w:val="4"/>
            </w:pPr>
            <w:r>
              <w:t>技术力量5</w:t>
            </w:r>
          </w:p>
        </w:tc>
        <w:tc>
          <w:tcPr>
            <w:tcW w:w="2492" w:type="dxa"/>
          </w:tcPr>
          <w:p w14:paraId="5A50E403">
            <w:pPr>
              <w:pStyle w:val="4"/>
            </w:pPr>
            <w:r>
              <w:t>5.根据投标（报价）供应商取得与本项目相同应用领域（在军地高校&lt;含军队院校、地方高校、高（中）职院校&gt;开发的统一门户与身份认证平台&lt;系统&gt;、数据资源管理平台（或数据中台）&lt;系统&gt;、资产管理平台&lt;或教学保障管理系统&gt;（其中一种或多种））的发明专利数量得分，最多提供20个专利，得标准分；提供15-19个专利得0.8分；提供10-14个专利得0.6分，提供5-9个专利得0.4分，提供1-4个专利得0.2分，没有或全部无效的为0分。供应商应提供证明材料，非相同应用领域的专利无效。</w:t>
            </w:r>
          </w:p>
        </w:tc>
        <w:tc>
          <w:tcPr>
            <w:tcW w:w="831" w:type="dxa"/>
          </w:tcPr>
          <w:p w14:paraId="243191D4">
            <w:pPr>
              <w:pStyle w:val="4"/>
              <w:jc w:val="right"/>
            </w:pPr>
            <w:r>
              <w:t>1.00</w:t>
            </w:r>
          </w:p>
        </w:tc>
        <w:tc>
          <w:tcPr>
            <w:tcW w:w="831" w:type="dxa"/>
          </w:tcPr>
          <w:p w14:paraId="2A61596F">
            <w:pPr>
              <w:pStyle w:val="4"/>
            </w:pPr>
            <w:r>
              <w:t>客观</w:t>
            </w:r>
          </w:p>
        </w:tc>
        <w:tc>
          <w:tcPr>
            <w:tcW w:w="1661" w:type="dxa"/>
          </w:tcPr>
          <w:p w14:paraId="2B7AF468">
            <w:pPr>
              <w:pStyle w:val="4"/>
            </w:pPr>
            <w:r>
              <w:t>技术力量</w:t>
            </w:r>
          </w:p>
        </w:tc>
      </w:tr>
      <w:tr w14:paraId="06BB0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B0B96A0"/>
        </w:tc>
        <w:tc>
          <w:tcPr>
            <w:tcW w:w="1661" w:type="dxa"/>
          </w:tcPr>
          <w:p w14:paraId="06C31240">
            <w:pPr>
              <w:pStyle w:val="4"/>
            </w:pPr>
            <w:r>
              <w:t>技术力量6</w:t>
            </w:r>
          </w:p>
        </w:tc>
        <w:tc>
          <w:tcPr>
            <w:tcW w:w="2492" w:type="dxa"/>
          </w:tcPr>
          <w:p w14:paraId="56F035F4">
            <w:pPr>
              <w:pStyle w:val="4"/>
            </w:pPr>
            <w:r>
              <w:t>6.根据投标（报价）供应商参与制定与本项目相关的（在军地高校&lt;含军队院校、地方高校、高（中）职院校&gt;开发的统一门户与身份认证平台&lt;系统&gt;、数据资源管理平台（或数据中台）&lt;系统&gt;、资产管理平台&lt;或教学保障管理系统&gt;（其中一种或多种））国际、国家、军队、行业标准的数量由多至少排序，提供证明材料，排名第一的得标准分值，其余依次按标准分值的20%递减，最低分为0分，没有或无效的为0分，最多提供20个。(需提供标准级别、标准号、颁布年月和标准归口单位)</w:t>
            </w:r>
          </w:p>
        </w:tc>
        <w:tc>
          <w:tcPr>
            <w:tcW w:w="831" w:type="dxa"/>
          </w:tcPr>
          <w:p w14:paraId="168A3A54">
            <w:pPr>
              <w:pStyle w:val="4"/>
              <w:jc w:val="right"/>
            </w:pPr>
            <w:r>
              <w:t>2.00</w:t>
            </w:r>
          </w:p>
        </w:tc>
        <w:tc>
          <w:tcPr>
            <w:tcW w:w="831" w:type="dxa"/>
          </w:tcPr>
          <w:p w14:paraId="048BDBDF">
            <w:pPr>
              <w:pStyle w:val="4"/>
            </w:pPr>
            <w:r>
              <w:t>客观</w:t>
            </w:r>
          </w:p>
        </w:tc>
        <w:tc>
          <w:tcPr>
            <w:tcW w:w="1661" w:type="dxa"/>
          </w:tcPr>
          <w:p w14:paraId="7F7EBA47">
            <w:pPr>
              <w:pStyle w:val="4"/>
            </w:pPr>
            <w:r>
              <w:t>技术力量</w:t>
            </w:r>
          </w:p>
        </w:tc>
      </w:tr>
      <w:tr w14:paraId="2FD67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vMerge w:val="continue"/>
          </w:tcPr>
          <w:p w14:paraId="3813B3EC"/>
        </w:tc>
        <w:tc>
          <w:tcPr>
            <w:tcW w:w="1661" w:type="dxa"/>
          </w:tcPr>
          <w:p w14:paraId="51703464">
            <w:pPr>
              <w:pStyle w:val="4"/>
            </w:pPr>
            <w:r>
              <w:t>技术力量7</w:t>
            </w:r>
          </w:p>
        </w:tc>
        <w:tc>
          <w:tcPr>
            <w:tcW w:w="2492" w:type="dxa"/>
          </w:tcPr>
          <w:p w14:paraId="68698EA5">
            <w:pPr>
              <w:pStyle w:val="4"/>
            </w:pPr>
            <w:r>
              <w:t>7.根据投标（报价）供应商取得与本项目相关的（在军地高校&lt;含军队院校、地方高校、高（中）职院校&gt;开发的统一门户与身份认证平台&lt;系统&gt;、数据资源管理平台（或数据中台）&lt;系统&gt;、资产管理平台&lt;或教学保障管理系统&gt;（其中一种或多种））软件著作权数量由高至低排序，排名第一的得标准分值，其余依次按标准分值的20%递减，最低分为0分，没有或无效的为0分，最多提供50个。</w:t>
            </w:r>
          </w:p>
        </w:tc>
        <w:tc>
          <w:tcPr>
            <w:tcW w:w="831" w:type="dxa"/>
          </w:tcPr>
          <w:p w14:paraId="55C1001F">
            <w:pPr>
              <w:pStyle w:val="4"/>
              <w:jc w:val="right"/>
            </w:pPr>
            <w:r>
              <w:t>2.00</w:t>
            </w:r>
          </w:p>
        </w:tc>
        <w:tc>
          <w:tcPr>
            <w:tcW w:w="831" w:type="dxa"/>
          </w:tcPr>
          <w:p w14:paraId="4898B0E7">
            <w:pPr>
              <w:pStyle w:val="4"/>
            </w:pPr>
            <w:r>
              <w:t>客观</w:t>
            </w:r>
          </w:p>
        </w:tc>
        <w:tc>
          <w:tcPr>
            <w:tcW w:w="1661" w:type="dxa"/>
          </w:tcPr>
          <w:p w14:paraId="5ADF04B2">
            <w:pPr>
              <w:pStyle w:val="4"/>
            </w:pPr>
            <w:r>
              <w:t>技术力量</w:t>
            </w:r>
          </w:p>
        </w:tc>
      </w:tr>
      <w:tr w14:paraId="33B2E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39BCD6E"/>
        </w:tc>
        <w:tc>
          <w:tcPr>
            <w:tcW w:w="1661" w:type="dxa"/>
          </w:tcPr>
          <w:p w14:paraId="4C286F92">
            <w:pPr>
              <w:pStyle w:val="4"/>
            </w:pPr>
            <w:r>
              <w:t>案例系统演示</w:t>
            </w:r>
          </w:p>
        </w:tc>
        <w:tc>
          <w:tcPr>
            <w:tcW w:w="2492" w:type="dxa"/>
          </w:tcPr>
          <w:p w14:paraId="1D852BA5">
            <w:pPr>
              <w:pStyle w:val="4"/>
            </w:pPr>
            <w:r>
              <w:t>1.应用相关性，根据演示案例与本项目的业务相关程度进行评审。</w:t>
            </w:r>
            <w:r>
              <w:br w:type="textWrapping"/>
            </w:r>
            <w:r>
              <w:t>演示同类软件项目在用案例，重点演示与本项目类似的核心功能。根据投标（报价）供应商演示情况进行评审，最优的得标准分值，其余依次按标准分值的20%递减，最低分为0分。</w:t>
            </w:r>
          </w:p>
        </w:tc>
        <w:tc>
          <w:tcPr>
            <w:tcW w:w="831" w:type="dxa"/>
          </w:tcPr>
          <w:p w14:paraId="0778E128">
            <w:pPr>
              <w:pStyle w:val="4"/>
              <w:jc w:val="right"/>
            </w:pPr>
            <w:r>
              <w:t>2.00</w:t>
            </w:r>
          </w:p>
        </w:tc>
        <w:tc>
          <w:tcPr>
            <w:tcW w:w="831" w:type="dxa"/>
          </w:tcPr>
          <w:p w14:paraId="1315A147">
            <w:pPr>
              <w:pStyle w:val="4"/>
            </w:pPr>
            <w:r>
              <w:t>主观</w:t>
            </w:r>
          </w:p>
        </w:tc>
        <w:tc>
          <w:tcPr>
            <w:tcW w:w="1661" w:type="dxa"/>
          </w:tcPr>
          <w:p w14:paraId="3893939B">
            <w:pPr>
              <w:pStyle w:val="4"/>
            </w:pPr>
            <w:r>
              <w:t>其他材料</w:t>
            </w:r>
          </w:p>
        </w:tc>
      </w:tr>
      <w:tr w14:paraId="0006D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6CCB4E2"/>
        </w:tc>
        <w:tc>
          <w:tcPr>
            <w:tcW w:w="1661" w:type="dxa"/>
          </w:tcPr>
          <w:p w14:paraId="7BC3E725">
            <w:pPr>
              <w:pStyle w:val="4"/>
            </w:pPr>
            <w:r>
              <w:t>案例系统演示</w:t>
            </w:r>
          </w:p>
        </w:tc>
        <w:tc>
          <w:tcPr>
            <w:tcW w:w="2492" w:type="dxa"/>
          </w:tcPr>
          <w:p w14:paraId="1F603DF2">
            <w:pPr>
              <w:pStyle w:val="4"/>
            </w:pPr>
            <w:r>
              <w:t>2.技术相通性，根据演示案例的关键技术可应用于本项目的情况进行评审。</w:t>
            </w:r>
            <w:r>
              <w:br w:type="textWrapping"/>
            </w:r>
            <w:r>
              <w:t>演示同类软件项目在用案例，重点演示与本项目类似的核心功能。根据投标（报价）供应商演示情况进行评审，最优的得标准分值，其余依次按标准分值的20%递减，最低分为0分。</w:t>
            </w:r>
          </w:p>
        </w:tc>
        <w:tc>
          <w:tcPr>
            <w:tcW w:w="831" w:type="dxa"/>
          </w:tcPr>
          <w:p w14:paraId="3CED8C6D">
            <w:pPr>
              <w:pStyle w:val="4"/>
              <w:jc w:val="right"/>
            </w:pPr>
            <w:r>
              <w:t>2.00</w:t>
            </w:r>
          </w:p>
        </w:tc>
        <w:tc>
          <w:tcPr>
            <w:tcW w:w="831" w:type="dxa"/>
          </w:tcPr>
          <w:p w14:paraId="612211EE">
            <w:pPr>
              <w:pStyle w:val="4"/>
            </w:pPr>
            <w:r>
              <w:t>主观</w:t>
            </w:r>
          </w:p>
        </w:tc>
        <w:tc>
          <w:tcPr>
            <w:tcW w:w="1661" w:type="dxa"/>
          </w:tcPr>
          <w:p w14:paraId="1F6AA7ED">
            <w:pPr>
              <w:pStyle w:val="4"/>
            </w:pPr>
            <w:r>
              <w:t>其他材料</w:t>
            </w:r>
          </w:p>
        </w:tc>
      </w:tr>
      <w:tr w14:paraId="7FE67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60093CE"/>
        </w:tc>
        <w:tc>
          <w:tcPr>
            <w:tcW w:w="1661" w:type="dxa"/>
          </w:tcPr>
          <w:p w14:paraId="628E2413">
            <w:pPr>
              <w:pStyle w:val="4"/>
            </w:pPr>
            <w:r>
              <w:t>案例系统演示</w:t>
            </w:r>
          </w:p>
        </w:tc>
        <w:tc>
          <w:tcPr>
            <w:tcW w:w="2492" w:type="dxa"/>
          </w:tcPr>
          <w:p w14:paraId="139C35D4">
            <w:pPr>
              <w:pStyle w:val="4"/>
            </w:pPr>
            <w:r>
              <w:t>3.根据演示案例的人机友好、操作简便、符合应用习惯的情况进行评审。</w:t>
            </w:r>
            <w:r>
              <w:br w:type="textWrapping"/>
            </w:r>
            <w:r>
              <w:t>演示同类软件项目在用案例，重点演示与本项目类似的核心功能。根据投标（报价）供应商演示情况进行评审，最优的得标准分值，其余依次按标准分值的20%递减，最低分为0分。</w:t>
            </w:r>
          </w:p>
        </w:tc>
        <w:tc>
          <w:tcPr>
            <w:tcW w:w="831" w:type="dxa"/>
          </w:tcPr>
          <w:p w14:paraId="344A6FFE">
            <w:pPr>
              <w:pStyle w:val="4"/>
              <w:jc w:val="right"/>
            </w:pPr>
            <w:r>
              <w:t>2.00</w:t>
            </w:r>
          </w:p>
        </w:tc>
        <w:tc>
          <w:tcPr>
            <w:tcW w:w="831" w:type="dxa"/>
          </w:tcPr>
          <w:p w14:paraId="74A4DEFA">
            <w:pPr>
              <w:pStyle w:val="4"/>
            </w:pPr>
            <w:r>
              <w:t>主观</w:t>
            </w:r>
          </w:p>
        </w:tc>
        <w:tc>
          <w:tcPr>
            <w:tcW w:w="1661" w:type="dxa"/>
          </w:tcPr>
          <w:p w14:paraId="55E1BA0D">
            <w:pPr>
              <w:pStyle w:val="4"/>
            </w:pPr>
            <w:r>
              <w:t>其他材料</w:t>
            </w:r>
          </w:p>
        </w:tc>
      </w:tr>
      <w:tr w14:paraId="2AD15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0B37E5A"/>
        </w:tc>
        <w:tc>
          <w:tcPr>
            <w:tcW w:w="1661" w:type="dxa"/>
          </w:tcPr>
          <w:p w14:paraId="3321250A">
            <w:pPr>
              <w:pStyle w:val="4"/>
            </w:pPr>
            <w:r>
              <w:t>原型系统演示1</w:t>
            </w:r>
          </w:p>
        </w:tc>
        <w:tc>
          <w:tcPr>
            <w:tcW w:w="2492" w:type="dxa"/>
          </w:tcPr>
          <w:p w14:paraId="39ED7AD8">
            <w:pPr>
              <w:pStyle w:val="4"/>
            </w:pPr>
            <w:r>
              <w:t>依据功能需求清单演示原型系统。根据投标(报价)供应商演示情况进行评审,最优的得标准分值,其余依次按标准分值的 20%递减,最低分为0分。</w:t>
            </w:r>
            <w:r>
              <w:br w:type="textWrapping"/>
            </w:r>
            <w:r>
              <w:t>根据原型系统演示的技术路线的可行性进行评审。</w:t>
            </w:r>
          </w:p>
        </w:tc>
        <w:tc>
          <w:tcPr>
            <w:tcW w:w="831" w:type="dxa"/>
          </w:tcPr>
          <w:p w14:paraId="0707484F">
            <w:pPr>
              <w:pStyle w:val="4"/>
              <w:jc w:val="right"/>
            </w:pPr>
            <w:r>
              <w:t>1.00</w:t>
            </w:r>
          </w:p>
        </w:tc>
        <w:tc>
          <w:tcPr>
            <w:tcW w:w="831" w:type="dxa"/>
          </w:tcPr>
          <w:p w14:paraId="1CE0F4A7">
            <w:pPr>
              <w:pStyle w:val="4"/>
            </w:pPr>
            <w:r>
              <w:t>主观</w:t>
            </w:r>
          </w:p>
        </w:tc>
        <w:tc>
          <w:tcPr>
            <w:tcW w:w="1661" w:type="dxa"/>
          </w:tcPr>
          <w:p w14:paraId="4FF35A8A">
            <w:pPr>
              <w:pStyle w:val="4"/>
            </w:pPr>
            <w:r>
              <w:t>其他材料</w:t>
            </w:r>
          </w:p>
        </w:tc>
      </w:tr>
      <w:tr w14:paraId="5CD97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vMerge w:val="continue"/>
          </w:tcPr>
          <w:p w14:paraId="5271A84D"/>
        </w:tc>
        <w:tc>
          <w:tcPr>
            <w:tcW w:w="1661" w:type="dxa"/>
          </w:tcPr>
          <w:p w14:paraId="20E054FB">
            <w:pPr>
              <w:pStyle w:val="4"/>
            </w:pPr>
            <w:r>
              <w:t>原型系统演示2</w:t>
            </w:r>
          </w:p>
        </w:tc>
        <w:tc>
          <w:tcPr>
            <w:tcW w:w="2492" w:type="dxa"/>
          </w:tcPr>
          <w:p w14:paraId="42DCCB3D">
            <w:pPr>
              <w:pStyle w:val="4"/>
            </w:pPr>
            <w:r>
              <w:t>根据原型系统演示对下列关键功能对采购需求的符合情况进行评审,全部符合的得标准分,一项不符合扣0.6分,最低分为0分。</w:t>
            </w:r>
            <w:r>
              <w:br w:type="textWrapping"/>
            </w:r>
            <w:r>
              <w:t>①统一门户与身份认证平台-统一身份认证平台-提供单点登录功能(支持用户在校内多个业务系统间实现无缝切换与访问，消除重复登录操作。系统具备完善的令牌管理与标准协议支持，能够安全地向子系统传递用户身份及关联的权限信息、角色属性等数据。支持基于角色的访问控制模型，确保用户在跨系统访问时其权限实时生效且保持一致。提供单点登录日志审计功能，支持对跨系统访问行为进行全过程追溯，保障访问链路的安全与合规。)</w:t>
            </w:r>
            <w:r>
              <w:br w:type="textWrapping"/>
            </w:r>
            <w:r>
              <w:t>②统一门户与身份认证平台-信息融合门户-个性化门户-决策门户(提供面向各级管理者的决策办公平台，支持按照校领导、机关领导、教学系部领导、中心领导、大队领导等多种角色属性进行门户的个性化配置与信息展示。系统通过集成领导驾驶舱统一入口，为不同层级的决策者提供集中管理工作和获取多维信息的专属空间。用户可实现关键业务指标的实时监测、待办工作的集中审批以及管理任务的统一调度。具备强大的决策支持工具集成能力，支持通过图形化看板展示业务运行状态，以满足领导层在行政管理、教学监控及科研指挥等场景下的决策需求。)</w:t>
            </w:r>
            <w:r>
              <w:br w:type="textWrapping"/>
            </w:r>
            <w:r>
              <w:t>③数据资源管理平台-数据规划-定制模板(提供定制模板功能，提前预置特定的数据模板，可以一键快速加载数据模板，完成数据标准体系框架建设，极大的降低数据实施成本提升数据实施质量。需支持模板提取和模板导入功能。数据模板设计支持动态查看模板结构；数据模板支持多种表单控件，包括基础数据类控件（字符串、数值、范围、候选型控件），多媒体与文件类控件（图片、文件控件）、结构化数据类控件（数组、表格、Excel、WPS表格控件）、容器与扩展类控件（容器、生成器、曲线型控件）。数据模板支持拖拽方式灵活摆放各类表单控件；能够支持实时保存数据模板；支持在线预览模板结构；支持创建模板片段，可以通过模板片段创建数据模板；</w:t>
            </w:r>
            <w:r>
              <w:br w:type="textWrapping"/>
            </w:r>
            <w:r>
              <w:t>数据模板支持审核流程配置和管理，审核通过后数据模板方可生效。)</w:t>
            </w:r>
            <w:r>
              <w:br w:type="textWrapping"/>
            </w:r>
            <w:r>
              <w:t xml:space="preserve"> ④数据资源管理平台-数据查询-查询支持(支持高级查询、查询解析与优化、查询扩展与纠错功能。高级查询支持拼音查询、范围查询、模糊查询、布尔查询、聚合查询以及任意表任意字段任意条件组合查询等复杂的查询操作。查询解析与优化需能够识别查询条件和操作符，支持语法分析和语义理解。需根据查询特点和索引结构，优化查询执行计划。查询扩展与纠错需根据查询的关键词和上下文提供相关的查询扩展建议和纠错提示。支持多种聚合运算，包括类似求和、技术、求平均值、求最大值、求最小值、分组统计、范围聚合。)</w:t>
            </w:r>
            <w:r>
              <w:br w:type="textWrapping"/>
            </w:r>
            <w:r>
              <w:t xml:space="preserve"> ⑤数据资源管理平台-数据血缘-数据血缘可视化(以教学保障管理系统为例,按照教材、物资等要素形成分析报表,并将分析结果进行可视化展示,可视化展示元素至少包括:数据节点、流转线路和处理节点等。支持通过图形化方式展示数据血缘关系、影响关系,可对指定表、指定字段的血缘关系和影响关系进行查看);</w:t>
            </w:r>
            <w:r>
              <w:br w:type="textWrapping"/>
            </w:r>
            <w:r>
              <w:t>⑥教学保障管理系统-教材采购管理(支持根据教学任务中的班级、课程、人数，以及教材需求中确定的课程与教材的对应关系（征订系数），计算所需各类教材总数量，并支持相关教学管理部门更改相关征订系数； 支持根据各类教材所需总数量，结合教材现有库存的设定备份比例，确认采购数量并生成采购计划；支持相关教学管理部门维护修订采购数量计划，支持对无法正常完成采购的教材需求计划，在系统中自动退回至任课教员并进行提醒;支持对教材采购的供应商进行管理，包括供应商名称、营业执照、联系人、联系方式等基本信息)</w:t>
            </w:r>
            <w:r>
              <w:br w:type="textWrapping"/>
            </w:r>
            <w:r>
              <w:t>⑦教学保障管理系统-教学物资领用(实现发放清单业务流程，包括物资领用申请、物资领用审核、发放清单登记领用信息、物资回收，实现按照时间段形成清单功能)</w:t>
            </w:r>
          </w:p>
        </w:tc>
        <w:tc>
          <w:tcPr>
            <w:tcW w:w="831" w:type="dxa"/>
          </w:tcPr>
          <w:p w14:paraId="7CDC80B0">
            <w:pPr>
              <w:pStyle w:val="4"/>
              <w:jc w:val="right"/>
            </w:pPr>
            <w:r>
              <w:t>4.00</w:t>
            </w:r>
          </w:p>
        </w:tc>
        <w:tc>
          <w:tcPr>
            <w:tcW w:w="831" w:type="dxa"/>
          </w:tcPr>
          <w:p w14:paraId="733DFD32">
            <w:pPr>
              <w:pStyle w:val="4"/>
            </w:pPr>
            <w:r>
              <w:t>主观</w:t>
            </w:r>
          </w:p>
        </w:tc>
        <w:tc>
          <w:tcPr>
            <w:tcW w:w="1661" w:type="dxa"/>
          </w:tcPr>
          <w:p w14:paraId="2262F839">
            <w:pPr>
              <w:pStyle w:val="4"/>
            </w:pPr>
            <w:r>
              <w:t>其他材料</w:t>
            </w:r>
          </w:p>
        </w:tc>
      </w:tr>
      <w:tr w14:paraId="50E1C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2561FB6"/>
        </w:tc>
        <w:tc>
          <w:tcPr>
            <w:tcW w:w="1661" w:type="dxa"/>
          </w:tcPr>
          <w:p w14:paraId="45187EFC">
            <w:pPr>
              <w:pStyle w:val="4"/>
            </w:pPr>
            <w:r>
              <w:t>原型系统演示3</w:t>
            </w:r>
          </w:p>
        </w:tc>
        <w:tc>
          <w:tcPr>
            <w:tcW w:w="2492" w:type="dxa"/>
          </w:tcPr>
          <w:p w14:paraId="41D398E7">
            <w:pPr>
              <w:pStyle w:val="4"/>
            </w:pPr>
            <w:r>
              <w:t>依据功能需求清单演示原型系统。根据投标(报价)供应商演示情况进行评审,最优的得标准分值,其余依次按标准分值的20%递减,最低分为0分。</w:t>
            </w:r>
            <w:r>
              <w:br w:type="textWrapping"/>
            </w:r>
            <w:r>
              <w:t>根据原型系统的人机友好、操作简便、符合应用习惯的情况进行评审。</w:t>
            </w:r>
          </w:p>
        </w:tc>
        <w:tc>
          <w:tcPr>
            <w:tcW w:w="831" w:type="dxa"/>
          </w:tcPr>
          <w:p w14:paraId="1403BF1D">
            <w:pPr>
              <w:pStyle w:val="4"/>
              <w:jc w:val="right"/>
            </w:pPr>
            <w:r>
              <w:t>1.00</w:t>
            </w:r>
          </w:p>
        </w:tc>
        <w:tc>
          <w:tcPr>
            <w:tcW w:w="831" w:type="dxa"/>
          </w:tcPr>
          <w:p w14:paraId="34E45AE7">
            <w:pPr>
              <w:pStyle w:val="4"/>
            </w:pPr>
            <w:r>
              <w:t>主观</w:t>
            </w:r>
          </w:p>
        </w:tc>
        <w:tc>
          <w:tcPr>
            <w:tcW w:w="1661" w:type="dxa"/>
          </w:tcPr>
          <w:p w14:paraId="47F8D948">
            <w:pPr>
              <w:pStyle w:val="4"/>
            </w:pPr>
            <w:r>
              <w:t>其他材料</w:t>
            </w:r>
          </w:p>
        </w:tc>
      </w:tr>
      <w:tr w14:paraId="6E189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B710036"/>
        </w:tc>
        <w:tc>
          <w:tcPr>
            <w:tcW w:w="1661" w:type="dxa"/>
          </w:tcPr>
          <w:p w14:paraId="46697E5D">
            <w:pPr>
              <w:pStyle w:val="4"/>
            </w:pPr>
            <w:r>
              <w:t>技术方案1</w:t>
            </w:r>
          </w:p>
        </w:tc>
        <w:tc>
          <w:tcPr>
            <w:tcW w:w="2492" w:type="dxa"/>
          </w:tcPr>
          <w:p w14:paraId="7DD5B368">
            <w:pPr>
              <w:pStyle w:val="4"/>
            </w:pPr>
            <w:r>
              <w:t>1.根据技术方案对需求分析的全面性、准确性、充分性进行评审。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520FA210">
            <w:pPr>
              <w:pStyle w:val="4"/>
              <w:jc w:val="right"/>
            </w:pPr>
            <w:r>
              <w:t>2.00</w:t>
            </w:r>
          </w:p>
        </w:tc>
        <w:tc>
          <w:tcPr>
            <w:tcW w:w="831" w:type="dxa"/>
          </w:tcPr>
          <w:p w14:paraId="0569B446">
            <w:pPr>
              <w:pStyle w:val="4"/>
            </w:pPr>
            <w:r>
              <w:t>主观</w:t>
            </w:r>
          </w:p>
        </w:tc>
        <w:tc>
          <w:tcPr>
            <w:tcW w:w="1661" w:type="dxa"/>
          </w:tcPr>
          <w:p w14:paraId="79DDB48A">
            <w:pPr>
              <w:pStyle w:val="4"/>
            </w:pPr>
            <w:r>
              <w:t>技术方案</w:t>
            </w:r>
          </w:p>
        </w:tc>
      </w:tr>
      <w:tr w14:paraId="11FD6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CC31226"/>
        </w:tc>
        <w:tc>
          <w:tcPr>
            <w:tcW w:w="1661" w:type="dxa"/>
          </w:tcPr>
          <w:p w14:paraId="3DD92068">
            <w:pPr>
              <w:pStyle w:val="4"/>
            </w:pPr>
            <w:r>
              <w:t>技术方案2</w:t>
            </w:r>
          </w:p>
        </w:tc>
        <w:tc>
          <w:tcPr>
            <w:tcW w:w="2492" w:type="dxa"/>
          </w:tcPr>
          <w:p w14:paraId="30E88871">
            <w:pPr>
              <w:pStyle w:val="4"/>
            </w:pPr>
            <w:r>
              <w:t>2.根据系统总体、业务、逻辑、技术、数据架构设计的全面性、合理性，以及配置灵活性进行评审。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0E51817A">
            <w:pPr>
              <w:pStyle w:val="4"/>
              <w:jc w:val="right"/>
            </w:pPr>
            <w:r>
              <w:t>2.00</w:t>
            </w:r>
          </w:p>
        </w:tc>
        <w:tc>
          <w:tcPr>
            <w:tcW w:w="831" w:type="dxa"/>
          </w:tcPr>
          <w:p w14:paraId="5809C344">
            <w:pPr>
              <w:pStyle w:val="4"/>
            </w:pPr>
            <w:r>
              <w:t>主观</w:t>
            </w:r>
          </w:p>
        </w:tc>
        <w:tc>
          <w:tcPr>
            <w:tcW w:w="1661" w:type="dxa"/>
          </w:tcPr>
          <w:p w14:paraId="057344E0">
            <w:pPr>
              <w:pStyle w:val="4"/>
            </w:pPr>
            <w:r>
              <w:t>技术方案</w:t>
            </w:r>
          </w:p>
        </w:tc>
      </w:tr>
      <w:tr w14:paraId="4ABD9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EC06EF4"/>
        </w:tc>
        <w:tc>
          <w:tcPr>
            <w:tcW w:w="1661" w:type="dxa"/>
          </w:tcPr>
          <w:p w14:paraId="2D0C2E41">
            <w:pPr>
              <w:pStyle w:val="4"/>
            </w:pPr>
            <w:r>
              <w:t>技术方案3</w:t>
            </w:r>
          </w:p>
        </w:tc>
        <w:tc>
          <w:tcPr>
            <w:tcW w:w="2492" w:type="dxa"/>
          </w:tcPr>
          <w:p w14:paraId="7827ED93">
            <w:pPr>
              <w:pStyle w:val="4"/>
            </w:pPr>
            <w:r>
              <w:t>3.根据业务和数据处理流程图描述情况，符合需求和逻辑清晰综合进行评审。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44CCB41F">
            <w:pPr>
              <w:pStyle w:val="4"/>
              <w:jc w:val="right"/>
            </w:pPr>
            <w:r>
              <w:t>2.00</w:t>
            </w:r>
          </w:p>
        </w:tc>
        <w:tc>
          <w:tcPr>
            <w:tcW w:w="831" w:type="dxa"/>
          </w:tcPr>
          <w:p w14:paraId="351FB792">
            <w:pPr>
              <w:pStyle w:val="4"/>
            </w:pPr>
            <w:r>
              <w:t>主观</w:t>
            </w:r>
          </w:p>
        </w:tc>
        <w:tc>
          <w:tcPr>
            <w:tcW w:w="1661" w:type="dxa"/>
          </w:tcPr>
          <w:p w14:paraId="514DF568">
            <w:pPr>
              <w:pStyle w:val="4"/>
            </w:pPr>
            <w:r>
              <w:t>技术方案</w:t>
            </w:r>
          </w:p>
        </w:tc>
      </w:tr>
      <w:tr w14:paraId="2C0F1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0C8CD42"/>
        </w:tc>
        <w:tc>
          <w:tcPr>
            <w:tcW w:w="1661" w:type="dxa"/>
          </w:tcPr>
          <w:p w14:paraId="19DE2441">
            <w:pPr>
              <w:pStyle w:val="4"/>
            </w:pPr>
            <w:r>
              <w:t>技术方案4</w:t>
            </w:r>
          </w:p>
        </w:tc>
        <w:tc>
          <w:tcPr>
            <w:tcW w:w="2492" w:type="dxa"/>
          </w:tcPr>
          <w:p w14:paraId="4572366B">
            <w:pPr>
              <w:pStyle w:val="4"/>
            </w:pPr>
            <w:r>
              <w:t>4.对系统接口理解的准确性、数据交互设计合理性进行评审。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03239372">
            <w:pPr>
              <w:pStyle w:val="4"/>
              <w:jc w:val="right"/>
            </w:pPr>
            <w:r>
              <w:t>2.00</w:t>
            </w:r>
          </w:p>
        </w:tc>
        <w:tc>
          <w:tcPr>
            <w:tcW w:w="831" w:type="dxa"/>
          </w:tcPr>
          <w:p w14:paraId="0C25C54C">
            <w:pPr>
              <w:pStyle w:val="4"/>
            </w:pPr>
            <w:r>
              <w:t>主观</w:t>
            </w:r>
          </w:p>
        </w:tc>
        <w:tc>
          <w:tcPr>
            <w:tcW w:w="1661" w:type="dxa"/>
          </w:tcPr>
          <w:p w14:paraId="57888265">
            <w:pPr>
              <w:pStyle w:val="4"/>
            </w:pPr>
            <w:r>
              <w:t>技术方案</w:t>
            </w:r>
          </w:p>
        </w:tc>
      </w:tr>
      <w:tr w14:paraId="74F15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1942866"/>
        </w:tc>
        <w:tc>
          <w:tcPr>
            <w:tcW w:w="1661" w:type="dxa"/>
          </w:tcPr>
          <w:p w14:paraId="6E7C1408">
            <w:pPr>
              <w:pStyle w:val="4"/>
            </w:pPr>
            <w:r>
              <w:t>技术方案5</w:t>
            </w:r>
          </w:p>
        </w:tc>
        <w:tc>
          <w:tcPr>
            <w:tcW w:w="2492" w:type="dxa"/>
          </w:tcPr>
          <w:p w14:paraId="2F5E8E5D">
            <w:pPr>
              <w:pStyle w:val="4"/>
            </w:pPr>
            <w:r>
              <w:t>5.根据部署方案的灵活性进行评审。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2313885D">
            <w:pPr>
              <w:pStyle w:val="4"/>
              <w:jc w:val="right"/>
            </w:pPr>
            <w:r>
              <w:t>1.00</w:t>
            </w:r>
          </w:p>
        </w:tc>
        <w:tc>
          <w:tcPr>
            <w:tcW w:w="831" w:type="dxa"/>
          </w:tcPr>
          <w:p w14:paraId="159EDE0C">
            <w:pPr>
              <w:pStyle w:val="4"/>
            </w:pPr>
            <w:r>
              <w:t>主观</w:t>
            </w:r>
          </w:p>
        </w:tc>
        <w:tc>
          <w:tcPr>
            <w:tcW w:w="1661" w:type="dxa"/>
          </w:tcPr>
          <w:p w14:paraId="7F6E3200">
            <w:pPr>
              <w:pStyle w:val="4"/>
            </w:pPr>
            <w:r>
              <w:t>技术方案</w:t>
            </w:r>
          </w:p>
        </w:tc>
      </w:tr>
      <w:tr w14:paraId="762ED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0FF6BAF"/>
        </w:tc>
        <w:tc>
          <w:tcPr>
            <w:tcW w:w="1661" w:type="dxa"/>
          </w:tcPr>
          <w:p w14:paraId="360F1420">
            <w:pPr>
              <w:pStyle w:val="4"/>
            </w:pPr>
            <w:r>
              <w:t>技术方案6</w:t>
            </w:r>
          </w:p>
        </w:tc>
        <w:tc>
          <w:tcPr>
            <w:tcW w:w="2492" w:type="dxa"/>
          </w:tcPr>
          <w:p w14:paraId="35C010E2">
            <w:pPr>
              <w:pStyle w:val="4"/>
            </w:pPr>
            <w:r>
              <w:t>6.根据项目安全设计的针对性、合理性进行评审。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0EDCD5B5">
            <w:pPr>
              <w:pStyle w:val="4"/>
              <w:jc w:val="right"/>
            </w:pPr>
            <w:r>
              <w:t>0.50</w:t>
            </w:r>
          </w:p>
        </w:tc>
        <w:tc>
          <w:tcPr>
            <w:tcW w:w="831" w:type="dxa"/>
          </w:tcPr>
          <w:p w14:paraId="2D0BA899">
            <w:pPr>
              <w:pStyle w:val="4"/>
            </w:pPr>
            <w:r>
              <w:t>主观</w:t>
            </w:r>
          </w:p>
        </w:tc>
        <w:tc>
          <w:tcPr>
            <w:tcW w:w="1661" w:type="dxa"/>
          </w:tcPr>
          <w:p w14:paraId="4C537D76">
            <w:pPr>
              <w:pStyle w:val="4"/>
            </w:pPr>
            <w:r>
              <w:t>技术方案</w:t>
            </w:r>
          </w:p>
        </w:tc>
      </w:tr>
      <w:tr w14:paraId="3E23B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F075F64"/>
        </w:tc>
        <w:tc>
          <w:tcPr>
            <w:tcW w:w="1661" w:type="dxa"/>
          </w:tcPr>
          <w:p w14:paraId="685918B2">
            <w:pPr>
              <w:pStyle w:val="4"/>
            </w:pPr>
            <w:r>
              <w:t>技术方案7</w:t>
            </w:r>
          </w:p>
        </w:tc>
        <w:tc>
          <w:tcPr>
            <w:tcW w:w="2492" w:type="dxa"/>
          </w:tcPr>
          <w:p w14:paraId="3A52C423">
            <w:pPr>
              <w:pStyle w:val="4"/>
            </w:pPr>
            <w:r>
              <w:t>7.提供但不限于以下工具：软件开发、需求分析、软件设计、数据建模、软件测试等工具（提供购置发票或合作协议或承诺书），有一类得0.2分，最多得标准分值。</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5DCDBE90">
            <w:pPr>
              <w:pStyle w:val="4"/>
              <w:jc w:val="right"/>
            </w:pPr>
            <w:r>
              <w:t>1.00</w:t>
            </w:r>
          </w:p>
        </w:tc>
        <w:tc>
          <w:tcPr>
            <w:tcW w:w="831" w:type="dxa"/>
          </w:tcPr>
          <w:p w14:paraId="5DA9037E">
            <w:pPr>
              <w:pStyle w:val="4"/>
            </w:pPr>
            <w:r>
              <w:t>客观</w:t>
            </w:r>
          </w:p>
        </w:tc>
        <w:tc>
          <w:tcPr>
            <w:tcW w:w="1661" w:type="dxa"/>
          </w:tcPr>
          <w:p w14:paraId="34746C15">
            <w:pPr>
              <w:pStyle w:val="4"/>
            </w:pPr>
            <w:r>
              <w:t>技术方案</w:t>
            </w:r>
          </w:p>
        </w:tc>
      </w:tr>
      <w:tr w14:paraId="40CB9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D8B9DB2"/>
        </w:tc>
        <w:tc>
          <w:tcPr>
            <w:tcW w:w="1661" w:type="dxa"/>
          </w:tcPr>
          <w:p w14:paraId="54520125">
            <w:pPr>
              <w:pStyle w:val="4"/>
            </w:pPr>
            <w:r>
              <w:t>技术方案8</w:t>
            </w:r>
          </w:p>
        </w:tc>
        <w:tc>
          <w:tcPr>
            <w:tcW w:w="2492" w:type="dxa"/>
          </w:tcPr>
          <w:p w14:paraId="7C256C77">
            <w:pPr>
              <w:pStyle w:val="4"/>
            </w:pPr>
            <w:r>
              <w:t>8.根据关键技术分析可行性、合理性、创新性及与需求的相关性进行评审。</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05F7CFDD">
            <w:pPr>
              <w:pStyle w:val="4"/>
              <w:jc w:val="right"/>
            </w:pPr>
            <w:r>
              <w:t>1.00</w:t>
            </w:r>
          </w:p>
        </w:tc>
        <w:tc>
          <w:tcPr>
            <w:tcW w:w="831" w:type="dxa"/>
          </w:tcPr>
          <w:p w14:paraId="10842034">
            <w:pPr>
              <w:pStyle w:val="4"/>
            </w:pPr>
            <w:r>
              <w:t>主观</w:t>
            </w:r>
          </w:p>
        </w:tc>
        <w:tc>
          <w:tcPr>
            <w:tcW w:w="1661" w:type="dxa"/>
          </w:tcPr>
          <w:p w14:paraId="6352A013">
            <w:pPr>
              <w:pStyle w:val="4"/>
            </w:pPr>
            <w:r>
              <w:t>技术方案</w:t>
            </w:r>
          </w:p>
        </w:tc>
      </w:tr>
      <w:tr w14:paraId="30D8E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EB62CC0"/>
        </w:tc>
        <w:tc>
          <w:tcPr>
            <w:tcW w:w="1661" w:type="dxa"/>
          </w:tcPr>
          <w:p w14:paraId="2E6784C1">
            <w:pPr>
              <w:pStyle w:val="4"/>
            </w:pPr>
            <w:r>
              <w:t>技术方案9</w:t>
            </w:r>
          </w:p>
        </w:tc>
        <w:tc>
          <w:tcPr>
            <w:tcW w:w="2492" w:type="dxa"/>
          </w:tcPr>
          <w:p w14:paraId="549A2AF5">
            <w:pPr>
              <w:pStyle w:val="4"/>
            </w:pPr>
            <w:r>
              <w:t>9.功能，根据对采购需求的符合情况和详细设计进行评审。</w:t>
            </w:r>
            <w:r>
              <w:br w:type="textWrapping"/>
            </w:r>
            <w:r>
              <w:t>①统一门户与身份认证平台（含用户注册管理、账号安全管理、第三方身份认证集成服务）；</w:t>
            </w:r>
            <w:r>
              <w:br w:type="textWrapping"/>
            </w:r>
            <w:r>
              <w:t>②数据资源管理平台（或数据中台）（含数据采集、数据维护、数据分析）；</w:t>
            </w:r>
            <w:r>
              <w:br w:type="textWrapping"/>
            </w:r>
            <w:r>
              <w:t>③教学保障管理系统（含教材管理、资产管理）</w:t>
            </w:r>
            <w:r>
              <w:br w:type="textWrapping"/>
            </w:r>
            <w:r>
              <w:t>根据投标（报价）供应商技术方案内容及介绍进行评审，最优的得标准分值，其余依次按标准分值的20%递减，最低分为0分。</w:t>
            </w:r>
            <w:r>
              <w:br w:type="textWrapping"/>
            </w:r>
            <w:r>
              <w:t>注：</w:t>
            </w:r>
            <w:r>
              <w:br w:type="textWrapping"/>
            </w:r>
            <w:r>
              <w:t>1.技术方案应对采购文件技术要求全面响应。</w:t>
            </w:r>
            <w:r>
              <w:br w:type="textWrapping"/>
            </w:r>
            <w:r>
              <w:t>2.技术方案内容要求，可包括需求分析、架构设计（业务、技术架构）、系统功能、部署方案、安全设计（网络安全、保密性等）、关键技术等。</w:t>
            </w:r>
          </w:p>
        </w:tc>
        <w:tc>
          <w:tcPr>
            <w:tcW w:w="831" w:type="dxa"/>
          </w:tcPr>
          <w:p w14:paraId="3BFE7455">
            <w:pPr>
              <w:pStyle w:val="4"/>
              <w:jc w:val="right"/>
            </w:pPr>
            <w:r>
              <w:t>3.00</w:t>
            </w:r>
          </w:p>
        </w:tc>
        <w:tc>
          <w:tcPr>
            <w:tcW w:w="831" w:type="dxa"/>
          </w:tcPr>
          <w:p w14:paraId="4854C95A">
            <w:pPr>
              <w:pStyle w:val="4"/>
            </w:pPr>
            <w:r>
              <w:t>主观</w:t>
            </w:r>
          </w:p>
        </w:tc>
        <w:tc>
          <w:tcPr>
            <w:tcW w:w="1661" w:type="dxa"/>
          </w:tcPr>
          <w:p w14:paraId="2357A1C3">
            <w:pPr>
              <w:pStyle w:val="4"/>
            </w:pPr>
            <w:r>
              <w:t>技术方案</w:t>
            </w:r>
          </w:p>
        </w:tc>
      </w:tr>
      <w:tr w14:paraId="0651C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041B3E2"/>
        </w:tc>
        <w:tc>
          <w:tcPr>
            <w:tcW w:w="1661" w:type="dxa"/>
          </w:tcPr>
          <w:p w14:paraId="3E6E58E2">
            <w:pPr>
              <w:pStyle w:val="4"/>
            </w:pPr>
            <w:r>
              <w:t>技术指标正偏离评分</w:t>
            </w:r>
          </w:p>
        </w:tc>
        <w:tc>
          <w:tcPr>
            <w:tcW w:w="2492" w:type="dxa"/>
          </w:tcPr>
          <w:p w14:paraId="2E38D93F">
            <w:pPr>
              <w:pStyle w:val="4"/>
            </w:pPr>
            <w:r>
              <w:t>设基准分值为0分。一般参数指标正偏离加分规则：在基准分值的基础上，正偏离一项加0.3分，最高为标准分值。</w:t>
            </w:r>
          </w:p>
        </w:tc>
        <w:tc>
          <w:tcPr>
            <w:tcW w:w="831" w:type="dxa"/>
          </w:tcPr>
          <w:p w14:paraId="572C19AB">
            <w:pPr>
              <w:pStyle w:val="4"/>
              <w:jc w:val="right"/>
            </w:pPr>
            <w:r>
              <w:t>3.00</w:t>
            </w:r>
          </w:p>
        </w:tc>
        <w:tc>
          <w:tcPr>
            <w:tcW w:w="831" w:type="dxa"/>
          </w:tcPr>
          <w:p w14:paraId="577520FA">
            <w:pPr>
              <w:pStyle w:val="4"/>
            </w:pPr>
            <w:r>
              <w:t>客观</w:t>
            </w:r>
          </w:p>
        </w:tc>
        <w:tc>
          <w:tcPr>
            <w:tcW w:w="1661" w:type="dxa"/>
          </w:tcPr>
          <w:p w14:paraId="709D921E">
            <w:pPr>
              <w:pStyle w:val="4"/>
            </w:pPr>
            <w:r>
              <w:t>技术支持材料</w:t>
            </w:r>
          </w:p>
          <w:p w14:paraId="247A3285">
            <w:pPr>
              <w:pStyle w:val="4"/>
            </w:pPr>
            <w:r>
              <w:t>技术指标参数响应偏离表</w:t>
            </w:r>
          </w:p>
        </w:tc>
      </w:tr>
      <w:tr w14:paraId="10C9D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E8BDB5B"/>
        </w:tc>
        <w:tc>
          <w:tcPr>
            <w:tcW w:w="1661" w:type="dxa"/>
          </w:tcPr>
          <w:p w14:paraId="64043DE8">
            <w:pPr>
              <w:pStyle w:val="4"/>
            </w:pPr>
            <w:r>
              <w:t>技术指标负偏离得分</w:t>
            </w:r>
          </w:p>
        </w:tc>
        <w:tc>
          <w:tcPr>
            <w:tcW w:w="2492" w:type="dxa"/>
          </w:tcPr>
          <w:p w14:paraId="4375D796">
            <w:pPr>
              <w:pStyle w:val="4"/>
            </w:pPr>
            <w:r>
              <w:t>全部满足采购文件要求的得基准分值（标准分值），一般技术指标负偏离一项扣0.4分，最低为0分。</w:t>
            </w:r>
          </w:p>
        </w:tc>
        <w:tc>
          <w:tcPr>
            <w:tcW w:w="831" w:type="dxa"/>
          </w:tcPr>
          <w:p w14:paraId="3C67EAC1">
            <w:pPr>
              <w:pStyle w:val="4"/>
              <w:jc w:val="right"/>
            </w:pPr>
            <w:r>
              <w:t>2.00</w:t>
            </w:r>
          </w:p>
        </w:tc>
        <w:tc>
          <w:tcPr>
            <w:tcW w:w="831" w:type="dxa"/>
          </w:tcPr>
          <w:p w14:paraId="092FE7C3">
            <w:pPr>
              <w:pStyle w:val="4"/>
            </w:pPr>
            <w:r>
              <w:t>客观</w:t>
            </w:r>
          </w:p>
        </w:tc>
        <w:tc>
          <w:tcPr>
            <w:tcW w:w="1661" w:type="dxa"/>
          </w:tcPr>
          <w:p w14:paraId="16852F58">
            <w:pPr>
              <w:pStyle w:val="4"/>
            </w:pPr>
            <w:r>
              <w:t>技术支持材料</w:t>
            </w:r>
          </w:p>
          <w:p w14:paraId="5D48C88D">
            <w:pPr>
              <w:pStyle w:val="4"/>
            </w:pPr>
            <w:r>
              <w:t>技术指标参数响应偏离表</w:t>
            </w:r>
          </w:p>
        </w:tc>
      </w:tr>
      <w:tr w14:paraId="3F68E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36AD2BB"/>
        </w:tc>
        <w:tc>
          <w:tcPr>
            <w:tcW w:w="1661" w:type="dxa"/>
          </w:tcPr>
          <w:p w14:paraId="6789FA4B">
            <w:pPr>
              <w:pStyle w:val="4"/>
            </w:pPr>
            <w:r>
              <w:t>项目管理和实施1</w:t>
            </w:r>
          </w:p>
        </w:tc>
        <w:tc>
          <w:tcPr>
            <w:tcW w:w="2492" w:type="dxa"/>
          </w:tcPr>
          <w:p w14:paraId="3C150A39">
            <w:pPr>
              <w:pStyle w:val="4"/>
            </w:pPr>
            <w:r>
              <w:t>1.实施周期：根据投标（报价）供应商提供的项目实施进度表，对进度管理方法措施的清晰度和合理性进行评审。具体包括：项目关键环节分析、项目人力资源分配、项目关键过程管理和控制策略、需要用户提供的支持与其他参与方的主要协作工作。最优的得标准分值，其余依次按标准分值的20%递减，最低分为0分。</w:t>
            </w:r>
          </w:p>
        </w:tc>
        <w:tc>
          <w:tcPr>
            <w:tcW w:w="831" w:type="dxa"/>
          </w:tcPr>
          <w:p w14:paraId="74823DE7">
            <w:pPr>
              <w:pStyle w:val="4"/>
              <w:jc w:val="right"/>
            </w:pPr>
            <w:r>
              <w:t>1.00</w:t>
            </w:r>
          </w:p>
        </w:tc>
        <w:tc>
          <w:tcPr>
            <w:tcW w:w="831" w:type="dxa"/>
          </w:tcPr>
          <w:p w14:paraId="2338B787">
            <w:pPr>
              <w:pStyle w:val="4"/>
            </w:pPr>
            <w:r>
              <w:t>主观</w:t>
            </w:r>
          </w:p>
        </w:tc>
        <w:tc>
          <w:tcPr>
            <w:tcW w:w="1661" w:type="dxa"/>
          </w:tcPr>
          <w:p w14:paraId="4AABC7FE">
            <w:pPr>
              <w:pStyle w:val="4"/>
            </w:pPr>
            <w:r>
              <w:t>项目管理与实施</w:t>
            </w:r>
          </w:p>
        </w:tc>
      </w:tr>
      <w:tr w14:paraId="15B83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A371332"/>
        </w:tc>
        <w:tc>
          <w:tcPr>
            <w:tcW w:w="1661" w:type="dxa"/>
          </w:tcPr>
          <w:p w14:paraId="536C228F">
            <w:pPr>
              <w:pStyle w:val="4"/>
            </w:pPr>
            <w:r>
              <w:t>项目管理和实施2</w:t>
            </w:r>
          </w:p>
        </w:tc>
        <w:tc>
          <w:tcPr>
            <w:tcW w:w="2492" w:type="dxa"/>
          </w:tcPr>
          <w:p w14:paraId="26095CC0">
            <w:pPr>
              <w:pStyle w:val="4"/>
            </w:pPr>
            <w:r>
              <w:t>2.项目风险控制：根据投标（报价）供应商提供的项目风险评估及控制方案进行评审。具体包括：风险因素分析、风险评估防范及风险控制措施等内容。最优的得标准分值，其余依次按标准分值的20%递减，最低分为0分。</w:t>
            </w:r>
          </w:p>
        </w:tc>
        <w:tc>
          <w:tcPr>
            <w:tcW w:w="831" w:type="dxa"/>
          </w:tcPr>
          <w:p w14:paraId="42AB823A">
            <w:pPr>
              <w:pStyle w:val="4"/>
              <w:jc w:val="right"/>
            </w:pPr>
            <w:r>
              <w:t>1.00</w:t>
            </w:r>
          </w:p>
        </w:tc>
        <w:tc>
          <w:tcPr>
            <w:tcW w:w="831" w:type="dxa"/>
          </w:tcPr>
          <w:p w14:paraId="794655E8">
            <w:pPr>
              <w:pStyle w:val="4"/>
            </w:pPr>
            <w:r>
              <w:t>主观</w:t>
            </w:r>
          </w:p>
        </w:tc>
        <w:tc>
          <w:tcPr>
            <w:tcW w:w="1661" w:type="dxa"/>
          </w:tcPr>
          <w:p w14:paraId="20311931">
            <w:pPr>
              <w:pStyle w:val="4"/>
            </w:pPr>
            <w:r>
              <w:t>项目管理与实施</w:t>
            </w:r>
          </w:p>
        </w:tc>
      </w:tr>
      <w:tr w14:paraId="13ABD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F420962"/>
        </w:tc>
        <w:tc>
          <w:tcPr>
            <w:tcW w:w="1661" w:type="dxa"/>
          </w:tcPr>
          <w:p w14:paraId="5BC69BA6">
            <w:pPr>
              <w:pStyle w:val="4"/>
            </w:pPr>
            <w:r>
              <w:t>项目管理和实施3</w:t>
            </w:r>
          </w:p>
        </w:tc>
        <w:tc>
          <w:tcPr>
            <w:tcW w:w="2492" w:type="dxa"/>
          </w:tcPr>
          <w:p w14:paraId="2559E142">
            <w:pPr>
              <w:pStyle w:val="4"/>
            </w:pPr>
            <w:r>
              <w:t>3.质量控制：根据投标（报价）供应商质量保证措施进行评审。具体包括：质量管理体系、质量管理人员配备、质量计划、设计开发过程质量控制的方法措施、测试过程质量控制、交付和售后服务质量控制等内容。最优的得标准分值，其余依次按标准分值的20%递减，最低分为0分。</w:t>
            </w:r>
          </w:p>
        </w:tc>
        <w:tc>
          <w:tcPr>
            <w:tcW w:w="831" w:type="dxa"/>
          </w:tcPr>
          <w:p w14:paraId="2EB77432">
            <w:pPr>
              <w:pStyle w:val="4"/>
              <w:jc w:val="right"/>
            </w:pPr>
            <w:r>
              <w:t>1.00</w:t>
            </w:r>
          </w:p>
        </w:tc>
        <w:tc>
          <w:tcPr>
            <w:tcW w:w="831" w:type="dxa"/>
          </w:tcPr>
          <w:p w14:paraId="6DBF08EA">
            <w:pPr>
              <w:pStyle w:val="4"/>
            </w:pPr>
            <w:r>
              <w:t>主观</w:t>
            </w:r>
          </w:p>
        </w:tc>
        <w:tc>
          <w:tcPr>
            <w:tcW w:w="1661" w:type="dxa"/>
          </w:tcPr>
          <w:p w14:paraId="6B740213">
            <w:pPr>
              <w:pStyle w:val="4"/>
            </w:pPr>
            <w:r>
              <w:t>项目管理与实施</w:t>
            </w:r>
          </w:p>
        </w:tc>
      </w:tr>
      <w:tr w14:paraId="6C186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32CA9A0"/>
        </w:tc>
        <w:tc>
          <w:tcPr>
            <w:tcW w:w="1661" w:type="dxa"/>
          </w:tcPr>
          <w:p w14:paraId="0A40100B">
            <w:pPr>
              <w:pStyle w:val="4"/>
            </w:pPr>
            <w:r>
              <w:t>项目负责人1</w:t>
            </w:r>
          </w:p>
        </w:tc>
        <w:tc>
          <w:tcPr>
            <w:tcW w:w="2492" w:type="dxa"/>
          </w:tcPr>
          <w:p w14:paraId="70CD599C">
            <w:pPr>
              <w:pStyle w:val="4"/>
            </w:pPr>
            <w:r>
              <w:t>1.本项目负责人取得高级职称且在本投标（报价）供应商工作2年以上的得标准分值，没有或无效的为0分。</w:t>
            </w:r>
          </w:p>
        </w:tc>
        <w:tc>
          <w:tcPr>
            <w:tcW w:w="831" w:type="dxa"/>
          </w:tcPr>
          <w:p w14:paraId="30038552">
            <w:pPr>
              <w:pStyle w:val="4"/>
              <w:jc w:val="right"/>
            </w:pPr>
            <w:r>
              <w:t>1.00</w:t>
            </w:r>
          </w:p>
        </w:tc>
        <w:tc>
          <w:tcPr>
            <w:tcW w:w="831" w:type="dxa"/>
          </w:tcPr>
          <w:p w14:paraId="3D6BFDC3">
            <w:pPr>
              <w:pStyle w:val="4"/>
            </w:pPr>
            <w:r>
              <w:t>客观</w:t>
            </w:r>
          </w:p>
        </w:tc>
        <w:tc>
          <w:tcPr>
            <w:tcW w:w="1661" w:type="dxa"/>
          </w:tcPr>
          <w:p w14:paraId="740317E6">
            <w:pPr>
              <w:pStyle w:val="4"/>
            </w:pPr>
            <w:r>
              <w:t>项目负责人</w:t>
            </w:r>
          </w:p>
        </w:tc>
      </w:tr>
      <w:tr w14:paraId="10497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CBC6F09"/>
        </w:tc>
        <w:tc>
          <w:tcPr>
            <w:tcW w:w="1661" w:type="dxa"/>
          </w:tcPr>
          <w:p w14:paraId="4E23A6CB">
            <w:pPr>
              <w:pStyle w:val="4"/>
            </w:pPr>
            <w:r>
              <w:t>项目负责人2</w:t>
            </w:r>
          </w:p>
        </w:tc>
        <w:tc>
          <w:tcPr>
            <w:tcW w:w="2492" w:type="dxa"/>
          </w:tcPr>
          <w:p w14:paraId="5C9A7523">
            <w:pPr>
              <w:pStyle w:val="4"/>
            </w:pPr>
            <w:r>
              <w:t>2.本项目负责人取得关键证书2个（关键证书如：系统架构师、软件设计师、信息系统项目管理师、数据库系统工程师、系统集成项目管理工程师等）的得标准分值，没有或无效的为0分。</w:t>
            </w:r>
          </w:p>
        </w:tc>
        <w:tc>
          <w:tcPr>
            <w:tcW w:w="831" w:type="dxa"/>
          </w:tcPr>
          <w:p w14:paraId="2DC75AF4">
            <w:pPr>
              <w:pStyle w:val="4"/>
              <w:jc w:val="right"/>
            </w:pPr>
            <w:r>
              <w:t>2.00</w:t>
            </w:r>
          </w:p>
        </w:tc>
        <w:tc>
          <w:tcPr>
            <w:tcW w:w="831" w:type="dxa"/>
          </w:tcPr>
          <w:p w14:paraId="302E6E11">
            <w:pPr>
              <w:pStyle w:val="4"/>
            </w:pPr>
            <w:r>
              <w:t>客观</w:t>
            </w:r>
          </w:p>
        </w:tc>
        <w:tc>
          <w:tcPr>
            <w:tcW w:w="1661" w:type="dxa"/>
          </w:tcPr>
          <w:p w14:paraId="7694A39D">
            <w:pPr>
              <w:pStyle w:val="4"/>
            </w:pPr>
            <w:r>
              <w:t>项目负责人</w:t>
            </w:r>
          </w:p>
        </w:tc>
      </w:tr>
      <w:tr w14:paraId="00873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45784F4"/>
        </w:tc>
        <w:tc>
          <w:tcPr>
            <w:tcW w:w="1661" w:type="dxa"/>
          </w:tcPr>
          <w:p w14:paraId="46BAF187">
            <w:pPr>
              <w:pStyle w:val="4"/>
            </w:pPr>
            <w:r>
              <w:t>项目负责人3</w:t>
            </w:r>
          </w:p>
        </w:tc>
        <w:tc>
          <w:tcPr>
            <w:tcW w:w="2492" w:type="dxa"/>
          </w:tcPr>
          <w:p w14:paraId="11974AC9">
            <w:pPr>
              <w:pStyle w:val="4"/>
            </w:pPr>
            <w:r>
              <w:t>3.比较投标（报价）截止时间前，投标（报价）供应商拟派项目负责人承担同类软件项目（包含在军地高校&lt;含军队院校、地方高校、高（中）职院校&gt;开发的统一门户与身份认证平台&lt;系统&gt;、数据资源管理平台（或数据中台）&lt;系统&gt;、资产管理平台&lt;或教学保障管理系统&gt;（其中一种或多种））的累计业绩的数量（以提供的销售合同、验收报告和不低于合同金额30%相关银行收款进账凭证复印件为准，合同方必须与投标（报价）供应商名称完全一致；验收报告需体现项目负责人姓名或附合同甲方出具的体现该项目负责人的证明材料；最多提供5份业绩。根据案例数量由多至少排序，排名第一的得标准分值，其余依次按标准分值的20%递减，最低分为0分。</w:t>
            </w:r>
          </w:p>
        </w:tc>
        <w:tc>
          <w:tcPr>
            <w:tcW w:w="831" w:type="dxa"/>
          </w:tcPr>
          <w:p w14:paraId="7BB0FD3A">
            <w:pPr>
              <w:pStyle w:val="4"/>
              <w:jc w:val="right"/>
            </w:pPr>
            <w:r>
              <w:t>2.50</w:t>
            </w:r>
          </w:p>
        </w:tc>
        <w:tc>
          <w:tcPr>
            <w:tcW w:w="831" w:type="dxa"/>
          </w:tcPr>
          <w:p w14:paraId="617171D3">
            <w:pPr>
              <w:pStyle w:val="4"/>
            </w:pPr>
            <w:r>
              <w:t>客观</w:t>
            </w:r>
          </w:p>
        </w:tc>
        <w:tc>
          <w:tcPr>
            <w:tcW w:w="1661" w:type="dxa"/>
          </w:tcPr>
          <w:p w14:paraId="54B76017">
            <w:pPr>
              <w:pStyle w:val="4"/>
            </w:pPr>
            <w:r>
              <w:t>项目负责人</w:t>
            </w:r>
          </w:p>
        </w:tc>
      </w:tr>
      <w:tr w14:paraId="7DFDB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92D6C10"/>
        </w:tc>
        <w:tc>
          <w:tcPr>
            <w:tcW w:w="1661" w:type="dxa"/>
          </w:tcPr>
          <w:p w14:paraId="7B2EE692">
            <w:pPr>
              <w:pStyle w:val="4"/>
            </w:pPr>
            <w:r>
              <w:t>开发项目团队和人员1</w:t>
            </w:r>
          </w:p>
        </w:tc>
        <w:tc>
          <w:tcPr>
            <w:tcW w:w="2492" w:type="dxa"/>
          </w:tcPr>
          <w:p w14:paraId="7F4B612B">
            <w:pPr>
              <w:pStyle w:val="4"/>
            </w:pPr>
            <w:r>
              <w:t>1.投标（报价）供应商在软件开发期间投入本项目人员（不含项目负责人）取得关键证书之一（关键证书如：系统架构师、软件设计师、信息系统项目管理师、数据库系统工程师、系统集成项目管理工程师等）的人员不少于8人的基础上，每增加1个取得关键证书人员得标准分值的10%（1个人取得多个证书的按1个人计算），最高得标准分值。</w:t>
            </w:r>
          </w:p>
        </w:tc>
        <w:tc>
          <w:tcPr>
            <w:tcW w:w="831" w:type="dxa"/>
          </w:tcPr>
          <w:p w14:paraId="64F92CAE">
            <w:pPr>
              <w:pStyle w:val="4"/>
              <w:jc w:val="right"/>
            </w:pPr>
            <w:r>
              <w:t>4.00</w:t>
            </w:r>
          </w:p>
        </w:tc>
        <w:tc>
          <w:tcPr>
            <w:tcW w:w="831" w:type="dxa"/>
          </w:tcPr>
          <w:p w14:paraId="6405BC2B">
            <w:pPr>
              <w:pStyle w:val="4"/>
            </w:pPr>
            <w:r>
              <w:t>客观</w:t>
            </w:r>
          </w:p>
        </w:tc>
        <w:tc>
          <w:tcPr>
            <w:tcW w:w="1661" w:type="dxa"/>
          </w:tcPr>
          <w:p w14:paraId="4D62C014">
            <w:pPr>
              <w:pStyle w:val="4"/>
            </w:pPr>
            <w:r>
              <w:t>其他材料</w:t>
            </w:r>
          </w:p>
          <w:p w14:paraId="28F9FFE2">
            <w:pPr>
              <w:pStyle w:val="4"/>
            </w:pPr>
            <w:r>
              <w:t>开发项目团队和人员</w:t>
            </w:r>
          </w:p>
        </w:tc>
      </w:tr>
      <w:tr w14:paraId="059B8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91B97AC"/>
        </w:tc>
        <w:tc>
          <w:tcPr>
            <w:tcW w:w="1661" w:type="dxa"/>
          </w:tcPr>
          <w:p w14:paraId="3DF1E25F">
            <w:pPr>
              <w:pStyle w:val="4"/>
            </w:pPr>
            <w:r>
              <w:t>开发项目团队和人员2</w:t>
            </w:r>
          </w:p>
        </w:tc>
        <w:tc>
          <w:tcPr>
            <w:tcW w:w="2492" w:type="dxa"/>
          </w:tcPr>
          <w:p w14:paraId="3FD3590E">
            <w:pPr>
              <w:pStyle w:val="4"/>
            </w:pPr>
            <w:r>
              <w:t>2.投标（报价）供应商在软件开发期间投入本项目驻场人员（不含项目负责人）不少于3人的基础上，每增加1人得标准分值的25%，最高得标准分值。</w:t>
            </w:r>
          </w:p>
        </w:tc>
        <w:tc>
          <w:tcPr>
            <w:tcW w:w="831" w:type="dxa"/>
          </w:tcPr>
          <w:p w14:paraId="33C2FF00">
            <w:pPr>
              <w:pStyle w:val="4"/>
              <w:jc w:val="right"/>
            </w:pPr>
            <w:r>
              <w:t>3.00</w:t>
            </w:r>
          </w:p>
        </w:tc>
        <w:tc>
          <w:tcPr>
            <w:tcW w:w="831" w:type="dxa"/>
          </w:tcPr>
          <w:p w14:paraId="7EA0A051">
            <w:pPr>
              <w:pStyle w:val="4"/>
            </w:pPr>
            <w:r>
              <w:t>客观</w:t>
            </w:r>
          </w:p>
        </w:tc>
        <w:tc>
          <w:tcPr>
            <w:tcW w:w="1661" w:type="dxa"/>
          </w:tcPr>
          <w:p w14:paraId="005FDA77">
            <w:pPr>
              <w:pStyle w:val="4"/>
            </w:pPr>
            <w:r>
              <w:t>开发项目团队和人员</w:t>
            </w:r>
          </w:p>
        </w:tc>
      </w:tr>
      <w:tr w14:paraId="28C30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56E0504"/>
        </w:tc>
        <w:tc>
          <w:tcPr>
            <w:tcW w:w="1661" w:type="dxa"/>
          </w:tcPr>
          <w:p w14:paraId="41FD9788">
            <w:pPr>
              <w:pStyle w:val="4"/>
            </w:pPr>
            <w:r>
              <w:t>培训和售后服务1</w:t>
            </w:r>
          </w:p>
        </w:tc>
        <w:tc>
          <w:tcPr>
            <w:tcW w:w="2492" w:type="dxa"/>
          </w:tcPr>
          <w:p w14:paraId="4BB3F549">
            <w:pPr>
              <w:pStyle w:val="4"/>
            </w:pPr>
            <w:r>
              <w:t>1.根据培训计划方案进行评审，最优的得标准分值，其余依次按标准分值的20%递减，最低分为0分。</w:t>
            </w:r>
          </w:p>
        </w:tc>
        <w:tc>
          <w:tcPr>
            <w:tcW w:w="831" w:type="dxa"/>
          </w:tcPr>
          <w:p w14:paraId="46592D0E">
            <w:pPr>
              <w:pStyle w:val="4"/>
              <w:jc w:val="right"/>
            </w:pPr>
            <w:r>
              <w:t>1.00</w:t>
            </w:r>
          </w:p>
        </w:tc>
        <w:tc>
          <w:tcPr>
            <w:tcW w:w="831" w:type="dxa"/>
          </w:tcPr>
          <w:p w14:paraId="3435744D">
            <w:pPr>
              <w:pStyle w:val="4"/>
            </w:pPr>
            <w:r>
              <w:t>主观</w:t>
            </w:r>
          </w:p>
        </w:tc>
        <w:tc>
          <w:tcPr>
            <w:tcW w:w="1661" w:type="dxa"/>
          </w:tcPr>
          <w:p w14:paraId="6BF03E87">
            <w:pPr>
              <w:pStyle w:val="4"/>
            </w:pPr>
            <w:r>
              <w:t>培训及售后服务方案</w:t>
            </w:r>
          </w:p>
        </w:tc>
      </w:tr>
      <w:tr w14:paraId="2F305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8A2A9B0"/>
        </w:tc>
        <w:tc>
          <w:tcPr>
            <w:tcW w:w="1661" w:type="dxa"/>
          </w:tcPr>
          <w:p w14:paraId="607DADA8">
            <w:pPr>
              <w:pStyle w:val="4"/>
            </w:pPr>
            <w:r>
              <w:t>培训和售后服务2</w:t>
            </w:r>
          </w:p>
        </w:tc>
        <w:tc>
          <w:tcPr>
            <w:tcW w:w="2492" w:type="dxa"/>
          </w:tcPr>
          <w:p w14:paraId="44C31A56">
            <w:pPr>
              <w:pStyle w:val="4"/>
            </w:pPr>
            <w:r>
              <w:t>2.根据投标（报价）供应商服务方式、现场支持、服务等级等因素进行评审，最优的得标准分值，其余依次按标准分值的20%递减，最低分为0分。</w:t>
            </w:r>
          </w:p>
        </w:tc>
        <w:tc>
          <w:tcPr>
            <w:tcW w:w="831" w:type="dxa"/>
          </w:tcPr>
          <w:p w14:paraId="2082AD38">
            <w:pPr>
              <w:pStyle w:val="4"/>
              <w:jc w:val="right"/>
            </w:pPr>
            <w:r>
              <w:t>1.00</w:t>
            </w:r>
          </w:p>
        </w:tc>
        <w:tc>
          <w:tcPr>
            <w:tcW w:w="831" w:type="dxa"/>
          </w:tcPr>
          <w:p w14:paraId="317D543E">
            <w:pPr>
              <w:pStyle w:val="4"/>
            </w:pPr>
            <w:r>
              <w:t>主观</w:t>
            </w:r>
          </w:p>
        </w:tc>
        <w:tc>
          <w:tcPr>
            <w:tcW w:w="1661" w:type="dxa"/>
          </w:tcPr>
          <w:p w14:paraId="61B9DE24">
            <w:pPr>
              <w:pStyle w:val="4"/>
            </w:pPr>
            <w:r>
              <w:t>培训及售后服务方案</w:t>
            </w:r>
          </w:p>
        </w:tc>
      </w:tr>
      <w:tr w14:paraId="2AAA0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37DEA30"/>
        </w:tc>
        <w:tc>
          <w:tcPr>
            <w:tcW w:w="1661" w:type="dxa"/>
          </w:tcPr>
          <w:p w14:paraId="56B76E24">
            <w:pPr>
              <w:pStyle w:val="4"/>
            </w:pPr>
            <w:r>
              <w:t>培训和售后服务3</w:t>
            </w:r>
          </w:p>
        </w:tc>
        <w:tc>
          <w:tcPr>
            <w:tcW w:w="2492" w:type="dxa"/>
          </w:tcPr>
          <w:p w14:paraId="10C01567">
            <w:pPr>
              <w:pStyle w:val="4"/>
            </w:pPr>
            <w:r>
              <w:t>3.投标（报价）供应商投入本项目运维人员（不含项目负责人）不少于1人的基础上，每增加1人得标准分值的20%，最高得标准分值。（需提供缴纳社保的凭证复印件）</w:t>
            </w:r>
          </w:p>
        </w:tc>
        <w:tc>
          <w:tcPr>
            <w:tcW w:w="831" w:type="dxa"/>
          </w:tcPr>
          <w:p w14:paraId="5C19DDFE">
            <w:pPr>
              <w:pStyle w:val="4"/>
              <w:jc w:val="right"/>
            </w:pPr>
            <w:r>
              <w:t>1.00</w:t>
            </w:r>
          </w:p>
        </w:tc>
        <w:tc>
          <w:tcPr>
            <w:tcW w:w="831" w:type="dxa"/>
          </w:tcPr>
          <w:p w14:paraId="7CD1645E">
            <w:pPr>
              <w:pStyle w:val="4"/>
            </w:pPr>
            <w:r>
              <w:t>客观</w:t>
            </w:r>
          </w:p>
        </w:tc>
        <w:tc>
          <w:tcPr>
            <w:tcW w:w="1661" w:type="dxa"/>
          </w:tcPr>
          <w:p w14:paraId="10F9985B">
            <w:pPr>
              <w:pStyle w:val="4"/>
            </w:pPr>
            <w:r>
              <w:t>培训及售后服务方案</w:t>
            </w:r>
          </w:p>
        </w:tc>
      </w:tr>
      <w:tr w14:paraId="2C879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A4D1B5C"/>
        </w:tc>
        <w:tc>
          <w:tcPr>
            <w:tcW w:w="1661" w:type="dxa"/>
          </w:tcPr>
          <w:p w14:paraId="3BD93B01">
            <w:pPr>
              <w:pStyle w:val="4"/>
            </w:pPr>
            <w:r>
              <w:t>培训和售后服务4</w:t>
            </w:r>
          </w:p>
        </w:tc>
        <w:tc>
          <w:tcPr>
            <w:tcW w:w="2492" w:type="dxa"/>
          </w:tcPr>
          <w:p w14:paraId="78B1CB8F">
            <w:pPr>
              <w:pStyle w:val="4"/>
            </w:pPr>
            <w:r>
              <w:t>4.升级服务期限：质保期不低于5年，每增加6个月得0.5分，最多得标准分值。</w:t>
            </w:r>
          </w:p>
        </w:tc>
        <w:tc>
          <w:tcPr>
            <w:tcW w:w="831" w:type="dxa"/>
          </w:tcPr>
          <w:p w14:paraId="722FC1E3">
            <w:pPr>
              <w:pStyle w:val="4"/>
              <w:jc w:val="right"/>
            </w:pPr>
            <w:r>
              <w:t>2.00</w:t>
            </w:r>
          </w:p>
        </w:tc>
        <w:tc>
          <w:tcPr>
            <w:tcW w:w="831" w:type="dxa"/>
          </w:tcPr>
          <w:p w14:paraId="3886851E">
            <w:pPr>
              <w:pStyle w:val="4"/>
            </w:pPr>
            <w:r>
              <w:t>客观</w:t>
            </w:r>
          </w:p>
        </w:tc>
        <w:tc>
          <w:tcPr>
            <w:tcW w:w="1661" w:type="dxa"/>
          </w:tcPr>
          <w:p w14:paraId="01DB4CD5">
            <w:pPr>
              <w:pStyle w:val="4"/>
            </w:pPr>
            <w:r>
              <w:t>培训及售后服务方案</w:t>
            </w:r>
          </w:p>
        </w:tc>
      </w:tr>
      <w:tr w14:paraId="68557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492" w:type="dxa"/>
            <w:gridSpan w:val="2"/>
          </w:tcPr>
          <w:p w14:paraId="7E59656A">
            <w:pPr>
              <w:pStyle w:val="4"/>
              <w:jc w:val="center"/>
            </w:pPr>
            <w:r>
              <w:t xml:space="preserve"> 合计</w:t>
            </w:r>
          </w:p>
        </w:tc>
        <w:tc>
          <w:tcPr>
            <w:tcW w:w="5815" w:type="dxa"/>
            <w:gridSpan w:val="4"/>
          </w:tcPr>
          <w:p w14:paraId="47E77E2D">
            <w:pPr>
              <w:pStyle w:val="4"/>
              <w:jc w:val="center"/>
            </w:pPr>
            <w:r>
              <w:t>61.00分</w:t>
            </w:r>
          </w:p>
        </w:tc>
      </w:tr>
    </w:tbl>
    <w:p w14:paraId="4877AB3D">
      <w:pPr>
        <w:pStyle w:val="4"/>
        <w:jc w:val="left"/>
      </w:pPr>
      <w:r>
        <w:t>其他说明：</w:t>
      </w:r>
    </w:p>
    <w:p w14:paraId="57FB959A">
      <w:pPr>
        <w:pStyle w:val="4"/>
        <w:jc w:val="left"/>
      </w:pPr>
      <w:r>
        <w:t>案例系统演示：必须演示已验收交付的系统（需提供验收和交付证明材料。可以使用测试环境和模拟数据），未演示的或采用PPT、视频、截图等事先准备好材料等形式的不得分。演示总时间不得超过30分钟。供应商参与演示的工作人员数量不多于3人。</w:t>
      </w:r>
      <w:r>
        <w:br w:type="textWrapping"/>
      </w:r>
      <w:r>
        <w:t xml:space="preserve"> 原型系统演示：演示总时间不得超过30分钟。</w:t>
      </w:r>
      <w:r>
        <w:br w:type="textWrapping"/>
      </w:r>
      <w:r>
        <w:t xml:space="preserve"> 项目负责人说明：拟派项目负责人须为投标（报价）供应商正式员工，提供项目负责人身份证复印件、相关证书复印件或网上查询截图及对应年限的由投标（报价）供应商缴纳社保证明材料的复印件（代缴社保证明材料不予认可），相关证明材料没有或无效的为0分。</w:t>
      </w:r>
      <w:r>
        <w:br w:type="textWrapping"/>
      </w:r>
      <w:r>
        <w:t xml:space="preserve"> 开发项目团队和人员说明：开发项目团队和人员需为投标（报价）供应商正式员工，提供在投标（报价）前4个月内（不含投标（报价）当月）连续3个月由投标（报价）供应商缴纳社保证明材料的复印件（代缴社保证明材料不予认可）。</w:t>
      </w:r>
    </w:p>
    <w:p w14:paraId="663CFDB2">
      <w:pPr>
        <w:pStyle w:val="4"/>
        <w:jc w:val="left"/>
        <w:outlineLvl w:val="2"/>
      </w:pPr>
      <w:r>
        <w:rPr>
          <w:b/>
          <w:sz w:val="28"/>
        </w:rPr>
        <w:t>附表5 价格评审标准表（综合评分法/质量优先法）</w:t>
      </w:r>
    </w:p>
    <w:p w14:paraId="706C93D8">
      <w:pPr>
        <w:pStyle w:val="4"/>
        <w:jc w:val="center"/>
        <w:outlineLvl w:val="1"/>
      </w:pPr>
      <w:r>
        <w:rPr>
          <w:b/>
          <w:sz w:val="36"/>
        </w:rPr>
        <w:t>价格评审标准表（综合评分法/质量优先法）</w:t>
      </w:r>
    </w:p>
    <w:p w14:paraId="6C1DCE68">
      <w:pPr>
        <w:pStyle w:val="4"/>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831"/>
        <w:gridCol w:w="831"/>
        <w:gridCol w:w="1661"/>
      </w:tblGrid>
      <w:tr w14:paraId="32698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47E5F206">
            <w:pPr>
              <w:pStyle w:val="4"/>
              <w:jc w:val="center"/>
            </w:pPr>
            <w:r>
              <w:t xml:space="preserve"> 评审因素</w:t>
            </w:r>
          </w:p>
        </w:tc>
        <w:tc>
          <w:tcPr>
            <w:tcW w:w="5815" w:type="dxa"/>
            <w:gridSpan w:val="4"/>
          </w:tcPr>
          <w:p w14:paraId="133C765A">
            <w:pPr>
              <w:pStyle w:val="4"/>
              <w:jc w:val="center"/>
            </w:pPr>
            <w:r>
              <w:t xml:space="preserve"> 评审标准</w:t>
            </w:r>
          </w:p>
        </w:tc>
      </w:tr>
      <w:tr w14:paraId="6DBF9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C4E19C">
            <w:pPr>
              <w:pStyle w:val="4"/>
              <w:jc w:val="center"/>
            </w:pPr>
            <w:r>
              <w:t xml:space="preserve"> 评审因素分类</w:t>
            </w:r>
          </w:p>
        </w:tc>
        <w:tc>
          <w:tcPr>
            <w:tcW w:w="1661" w:type="dxa"/>
          </w:tcPr>
          <w:p w14:paraId="3175E927">
            <w:pPr>
              <w:pStyle w:val="4"/>
              <w:jc w:val="center"/>
            </w:pPr>
            <w:r>
              <w:t xml:space="preserve"> 评审项</w:t>
            </w:r>
          </w:p>
        </w:tc>
        <w:tc>
          <w:tcPr>
            <w:tcW w:w="2492" w:type="dxa"/>
          </w:tcPr>
          <w:p w14:paraId="03181D15">
            <w:pPr>
              <w:pStyle w:val="4"/>
              <w:jc w:val="center"/>
            </w:pPr>
            <w:r>
              <w:t xml:space="preserve"> 详细描述</w:t>
            </w:r>
          </w:p>
        </w:tc>
        <w:tc>
          <w:tcPr>
            <w:tcW w:w="831" w:type="dxa"/>
          </w:tcPr>
          <w:p w14:paraId="34D511AE">
            <w:pPr>
              <w:pStyle w:val="4"/>
              <w:jc w:val="center"/>
            </w:pPr>
            <w:r>
              <w:t xml:space="preserve"> 分值</w:t>
            </w:r>
          </w:p>
        </w:tc>
        <w:tc>
          <w:tcPr>
            <w:tcW w:w="831" w:type="dxa"/>
          </w:tcPr>
          <w:p w14:paraId="61896C6C">
            <w:pPr>
              <w:pStyle w:val="4"/>
              <w:jc w:val="center"/>
            </w:pPr>
            <w:r>
              <w:t xml:space="preserve"> 客观/主观</w:t>
            </w:r>
          </w:p>
        </w:tc>
        <w:tc>
          <w:tcPr>
            <w:tcW w:w="1661" w:type="dxa"/>
          </w:tcPr>
          <w:p w14:paraId="0D3F0F46">
            <w:pPr>
              <w:pStyle w:val="4"/>
              <w:jc w:val="center"/>
            </w:pPr>
            <w:r>
              <w:t xml:space="preserve"> 关联格式</w:t>
            </w:r>
          </w:p>
        </w:tc>
      </w:tr>
      <w:tr w14:paraId="5F295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6673C9">
            <w:pPr>
              <w:pStyle w:val="4"/>
            </w:pPr>
            <w:r>
              <w:t>价格分</w:t>
            </w:r>
          </w:p>
        </w:tc>
        <w:tc>
          <w:tcPr>
            <w:tcW w:w="1661" w:type="dxa"/>
          </w:tcPr>
          <w:p w14:paraId="35FBE304">
            <w:pPr>
              <w:pStyle w:val="4"/>
            </w:pPr>
            <w:r>
              <w:t>投标价格得分</w:t>
            </w:r>
          </w:p>
        </w:tc>
        <w:tc>
          <w:tcPr>
            <w:tcW w:w="2492" w:type="dxa"/>
          </w:tcPr>
          <w:p w14:paraId="4FA7CA26">
            <w:pPr>
              <w:pStyle w:val="4"/>
            </w:pPr>
            <w:r>
              <w:t>采用基准价评审法，正偏离系数为0.5，负偏离系数为0.5。</w:t>
            </w:r>
            <w:r>
              <w:br w:type="textWrapping"/>
            </w:r>
            <w:r>
              <w:t>满足采购文件实质性要求的所有供应商有效报价的算术平均值为评审基准价，供应商报价等于评审基准价的为满分，其他报价按照与评审基准价的偏离度计算，得分四舍五入保留小数点后两位，最低得0分。</w:t>
            </w:r>
            <w:r>
              <w:br w:type="textWrapping"/>
            </w:r>
            <w:r>
              <w:br w:type="textWrapping"/>
            </w:r>
            <w:r>
              <w:t>当投标价格高于评审基准价时，每偏离 X%，得分=价格评审分值-正偏离系数*X；</w:t>
            </w:r>
            <w:r>
              <w:br w:type="textWrapping"/>
            </w:r>
            <w:r>
              <w:br w:type="textWrapping"/>
            </w:r>
            <w:r>
              <w:t>当投标价格低于评审基准价时，每偏离 Y%，得分=价格评审分值-负偏离系数*Y；</w:t>
            </w:r>
            <w:r>
              <w:br w:type="textWrapping"/>
            </w:r>
            <w:r>
              <w:br w:type="textWrapping"/>
            </w:r>
            <w:r>
              <w:t>X%=(|投标价格-评审 基准价|/评审基准价 ) *100%；</w:t>
            </w:r>
            <w:r>
              <w:br w:type="textWrapping"/>
            </w:r>
            <w:r>
              <w:br w:type="textWrapping"/>
            </w:r>
            <w:r>
              <w:t>Y%=(|投标价格-评审基准价|/评审基准价) *100%。</w:t>
            </w:r>
          </w:p>
        </w:tc>
        <w:tc>
          <w:tcPr>
            <w:tcW w:w="831" w:type="dxa"/>
          </w:tcPr>
          <w:p w14:paraId="703CE659">
            <w:pPr>
              <w:pStyle w:val="4"/>
              <w:jc w:val="right"/>
            </w:pPr>
            <w:r>
              <w:t>24.00</w:t>
            </w:r>
          </w:p>
        </w:tc>
        <w:tc>
          <w:tcPr>
            <w:tcW w:w="831" w:type="dxa"/>
          </w:tcPr>
          <w:p w14:paraId="30E1CF1D">
            <w:pPr>
              <w:pStyle w:val="4"/>
            </w:pPr>
            <w:r>
              <w:t>客观</w:t>
            </w:r>
          </w:p>
        </w:tc>
        <w:tc>
          <w:tcPr>
            <w:tcW w:w="1661" w:type="dxa"/>
          </w:tcPr>
          <w:p w14:paraId="20898BED">
            <w:pPr>
              <w:pStyle w:val="4"/>
            </w:pPr>
            <w:r>
              <w:t>开标一览表</w:t>
            </w:r>
          </w:p>
          <w:p w14:paraId="4EA3FAFE">
            <w:pPr>
              <w:pStyle w:val="4"/>
            </w:pPr>
            <w:r>
              <w:t>价格构成表</w:t>
            </w:r>
          </w:p>
        </w:tc>
      </w:tr>
      <w:tr w14:paraId="03CE8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2FD6974E">
            <w:pPr>
              <w:pStyle w:val="4"/>
              <w:jc w:val="center"/>
            </w:pPr>
            <w:r>
              <w:t xml:space="preserve"> 合计</w:t>
            </w:r>
          </w:p>
        </w:tc>
        <w:tc>
          <w:tcPr>
            <w:tcW w:w="5815" w:type="dxa"/>
            <w:gridSpan w:val="4"/>
          </w:tcPr>
          <w:p w14:paraId="769B6F63">
            <w:pPr>
              <w:pStyle w:val="4"/>
              <w:jc w:val="center"/>
            </w:pPr>
            <w:r>
              <w:t>24.00分</w:t>
            </w:r>
          </w:p>
        </w:tc>
      </w:tr>
    </w:tbl>
    <w:p w14:paraId="01F029DE">
      <w:pPr>
        <w:pStyle w:val="4"/>
        <w:jc w:val="left"/>
      </w:pPr>
      <w:r>
        <w:t>其他说明：</w:t>
      </w:r>
    </w:p>
    <w:p w14:paraId="419A415C">
      <w:pPr>
        <w:pStyle w:val="4"/>
        <w:jc w:val="left"/>
      </w:pPr>
      <w:r>
        <w:t>无</w:t>
      </w:r>
    </w:p>
    <w:p w14:paraId="227BCA90">
      <w:pPr>
        <w:pStyle w:val="4"/>
      </w:pPr>
      <w:r>
        <w:t xml:space="preserve"> </w:t>
      </w:r>
    </w:p>
    <w:p w14:paraId="774804AA">
      <w:pPr>
        <w:pStyle w:val="4"/>
        <w:jc w:val="center"/>
        <w:outlineLvl w:val="1"/>
      </w:pPr>
      <w:r>
        <w:rPr>
          <w:b/>
          <w:sz w:val="36"/>
        </w:rPr>
        <w:t>第五章 招标公告</w:t>
      </w:r>
    </w:p>
    <w:p w14:paraId="3CB619B8">
      <w:pPr>
        <w:pStyle w:val="4"/>
        <w:ind w:firstLine="480"/>
        <w:jc w:val="both"/>
      </w:pPr>
      <w:r>
        <w:t>我部就以下项目进行国内公开招标，采购资金已全部落实，欢迎符合条件的供应商参加投标。</w:t>
      </w:r>
    </w:p>
    <w:p w14:paraId="43D56999">
      <w:pPr>
        <w:pStyle w:val="4"/>
        <w:ind w:firstLine="480"/>
        <w:jc w:val="left"/>
        <w:outlineLvl w:val="2"/>
      </w:pPr>
      <w:r>
        <w:rPr>
          <w:b/>
          <w:sz w:val="28"/>
        </w:rPr>
        <w:t>一、项目名称 ：智慧校园软件底座（包一）</w:t>
      </w:r>
    </w:p>
    <w:p w14:paraId="1D73CA2B">
      <w:pPr>
        <w:pStyle w:val="4"/>
        <w:ind w:firstLine="480"/>
        <w:jc w:val="left"/>
        <w:outlineLvl w:val="2"/>
      </w:pPr>
      <w:r>
        <w:rPr>
          <w:b/>
          <w:sz w:val="28"/>
        </w:rPr>
        <w:t>二、项目编号： 2026-JQ03-F1038（01）</w:t>
      </w:r>
    </w:p>
    <w:p w14:paraId="6F1A9C48">
      <w:pPr>
        <w:pStyle w:val="4"/>
        <w:ind w:firstLine="480"/>
        <w:jc w:val="left"/>
        <w:outlineLvl w:val="2"/>
      </w:pPr>
      <w:r>
        <w:rPr>
          <w:b/>
          <w:sz w:val="28"/>
        </w:rPr>
        <w:t>三、项目概况：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5"/>
        <w:gridCol w:w="905"/>
        <w:gridCol w:w="905"/>
        <w:gridCol w:w="1279"/>
        <w:gridCol w:w="905"/>
        <w:gridCol w:w="905"/>
        <w:gridCol w:w="905"/>
        <w:gridCol w:w="906"/>
      </w:tblGrid>
      <w:tr w14:paraId="66878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15D0AFB">
            <w:pPr>
              <w:pStyle w:val="4"/>
              <w:jc w:val="center"/>
            </w:pPr>
            <w:r>
              <w:t>包号/序号</w:t>
            </w:r>
          </w:p>
        </w:tc>
        <w:tc>
          <w:tcPr>
            <w:tcW w:w="923" w:type="dxa"/>
          </w:tcPr>
          <w:p w14:paraId="3D368961">
            <w:pPr>
              <w:pStyle w:val="4"/>
              <w:jc w:val="center"/>
            </w:pPr>
            <w:r>
              <w:t>服务名称</w:t>
            </w:r>
          </w:p>
        </w:tc>
        <w:tc>
          <w:tcPr>
            <w:tcW w:w="923" w:type="dxa"/>
          </w:tcPr>
          <w:p w14:paraId="6F72AEF3">
            <w:pPr>
              <w:pStyle w:val="4"/>
              <w:jc w:val="center"/>
            </w:pPr>
            <w:r>
              <w:t>服务要求</w:t>
            </w:r>
          </w:p>
        </w:tc>
        <w:tc>
          <w:tcPr>
            <w:tcW w:w="923" w:type="dxa"/>
          </w:tcPr>
          <w:p w14:paraId="0BF32873">
            <w:pPr>
              <w:pStyle w:val="4"/>
              <w:jc w:val="center"/>
            </w:pPr>
            <w:r>
              <w:t>计量单位</w:t>
            </w:r>
          </w:p>
        </w:tc>
        <w:tc>
          <w:tcPr>
            <w:tcW w:w="923" w:type="dxa"/>
          </w:tcPr>
          <w:p w14:paraId="2598BED9">
            <w:pPr>
              <w:pStyle w:val="4"/>
              <w:jc w:val="center"/>
            </w:pPr>
            <w:r>
              <w:t>单价(元)</w:t>
            </w:r>
          </w:p>
        </w:tc>
        <w:tc>
          <w:tcPr>
            <w:tcW w:w="923" w:type="dxa"/>
          </w:tcPr>
          <w:p w14:paraId="01493D21">
            <w:pPr>
              <w:pStyle w:val="4"/>
              <w:jc w:val="center"/>
            </w:pPr>
            <w:r>
              <w:t>数量</w:t>
            </w:r>
          </w:p>
        </w:tc>
        <w:tc>
          <w:tcPr>
            <w:tcW w:w="923" w:type="dxa"/>
          </w:tcPr>
          <w:p w14:paraId="723F8632">
            <w:pPr>
              <w:pStyle w:val="4"/>
              <w:jc w:val="center"/>
            </w:pPr>
            <w:r>
              <w:t>交付时间/服务期限</w:t>
            </w:r>
          </w:p>
        </w:tc>
        <w:tc>
          <w:tcPr>
            <w:tcW w:w="923" w:type="dxa"/>
          </w:tcPr>
          <w:p w14:paraId="5BF95DEB">
            <w:pPr>
              <w:pStyle w:val="4"/>
              <w:jc w:val="center"/>
            </w:pPr>
            <w:r>
              <w:t>服务地点</w:t>
            </w:r>
          </w:p>
        </w:tc>
        <w:tc>
          <w:tcPr>
            <w:tcW w:w="923" w:type="dxa"/>
          </w:tcPr>
          <w:p w14:paraId="2A294F13">
            <w:pPr>
              <w:pStyle w:val="4"/>
              <w:jc w:val="center"/>
            </w:pPr>
            <w:r>
              <w:t>备注</w:t>
            </w:r>
          </w:p>
        </w:tc>
      </w:tr>
      <w:tr w14:paraId="7D946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C7F2391">
            <w:pPr>
              <w:pStyle w:val="4"/>
              <w:jc w:val="center"/>
            </w:pPr>
            <w:r>
              <w:t>1-1</w:t>
            </w:r>
          </w:p>
        </w:tc>
        <w:tc>
          <w:tcPr>
            <w:tcW w:w="923" w:type="dxa"/>
          </w:tcPr>
          <w:p w14:paraId="2F5B6369">
            <w:pPr>
              <w:pStyle w:val="4"/>
              <w:jc w:val="left"/>
            </w:pPr>
            <w:r>
              <w:t>统一门户与身份认证平台</w:t>
            </w:r>
          </w:p>
        </w:tc>
        <w:tc>
          <w:tcPr>
            <w:tcW w:w="923" w:type="dxa"/>
          </w:tcPr>
          <w:p w14:paraId="2F343C09">
            <w:pPr>
              <w:pStyle w:val="4"/>
              <w:jc w:val="center"/>
            </w:pPr>
            <w:r>
              <w:t>详见采购文件第六章 采购项目商务和技术要求</w:t>
            </w:r>
          </w:p>
        </w:tc>
        <w:tc>
          <w:tcPr>
            <w:tcW w:w="923" w:type="dxa"/>
          </w:tcPr>
          <w:p w14:paraId="47C1FF37">
            <w:pPr>
              <w:pStyle w:val="4"/>
              <w:jc w:val="left"/>
            </w:pPr>
            <w:r>
              <w:t>套</w:t>
            </w:r>
          </w:p>
        </w:tc>
        <w:tc>
          <w:tcPr>
            <w:tcW w:w="923" w:type="dxa"/>
          </w:tcPr>
          <w:p w14:paraId="6B1473F3">
            <w:pPr>
              <w:pStyle w:val="4"/>
              <w:jc w:val="right"/>
            </w:pPr>
            <w:r>
              <w:t>2,110,000.00</w:t>
            </w:r>
          </w:p>
        </w:tc>
        <w:tc>
          <w:tcPr>
            <w:tcW w:w="923" w:type="dxa"/>
          </w:tcPr>
          <w:p w14:paraId="4119E68D">
            <w:pPr>
              <w:pStyle w:val="4"/>
              <w:jc w:val="right"/>
            </w:pPr>
            <w:r>
              <w:t>1</w:t>
            </w:r>
          </w:p>
        </w:tc>
        <w:tc>
          <w:tcPr>
            <w:tcW w:w="923" w:type="dxa"/>
          </w:tcPr>
          <w:p w14:paraId="3E638A65">
            <w:pPr>
              <w:pStyle w:val="4"/>
              <w:jc w:val="center"/>
            </w:pPr>
            <w:r>
              <w:t>详见商务要求</w:t>
            </w:r>
          </w:p>
        </w:tc>
        <w:tc>
          <w:tcPr>
            <w:tcW w:w="923" w:type="dxa"/>
          </w:tcPr>
          <w:p w14:paraId="0E22F728">
            <w:pPr>
              <w:pStyle w:val="4"/>
              <w:jc w:val="center"/>
            </w:pPr>
            <w:r>
              <w:t>详见商务要求</w:t>
            </w:r>
          </w:p>
        </w:tc>
        <w:tc>
          <w:tcPr>
            <w:tcW w:w="923" w:type="dxa"/>
          </w:tcPr>
          <w:p w14:paraId="0AD06C35"/>
        </w:tc>
      </w:tr>
      <w:tr w14:paraId="41C38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629CB25">
            <w:pPr>
              <w:pStyle w:val="4"/>
              <w:jc w:val="center"/>
            </w:pPr>
            <w:r>
              <w:t>1-2</w:t>
            </w:r>
          </w:p>
        </w:tc>
        <w:tc>
          <w:tcPr>
            <w:tcW w:w="923" w:type="dxa"/>
          </w:tcPr>
          <w:p w14:paraId="2D42408C">
            <w:pPr>
              <w:pStyle w:val="4"/>
              <w:jc w:val="left"/>
            </w:pPr>
            <w:r>
              <w:t>数据资源管理平台</w:t>
            </w:r>
          </w:p>
        </w:tc>
        <w:tc>
          <w:tcPr>
            <w:tcW w:w="923" w:type="dxa"/>
          </w:tcPr>
          <w:p w14:paraId="465B1D9C">
            <w:pPr>
              <w:pStyle w:val="4"/>
              <w:jc w:val="center"/>
            </w:pPr>
            <w:r>
              <w:t>详见采购文件第六章 采购项目商务和技术要求</w:t>
            </w:r>
          </w:p>
        </w:tc>
        <w:tc>
          <w:tcPr>
            <w:tcW w:w="923" w:type="dxa"/>
          </w:tcPr>
          <w:p w14:paraId="20D6ACB4">
            <w:pPr>
              <w:pStyle w:val="4"/>
              <w:jc w:val="left"/>
            </w:pPr>
            <w:r>
              <w:t>套</w:t>
            </w:r>
          </w:p>
        </w:tc>
        <w:tc>
          <w:tcPr>
            <w:tcW w:w="923" w:type="dxa"/>
          </w:tcPr>
          <w:p w14:paraId="67BBEEFE">
            <w:pPr>
              <w:pStyle w:val="4"/>
              <w:jc w:val="right"/>
            </w:pPr>
            <w:r>
              <w:t>3,333,000.00</w:t>
            </w:r>
          </w:p>
        </w:tc>
        <w:tc>
          <w:tcPr>
            <w:tcW w:w="923" w:type="dxa"/>
          </w:tcPr>
          <w:p w14:paraId="64BD7723">
            <w:pPr>
              <w:pStyle w:val="4"/>
              <w:jc w:val="right"/>
            </w:pPr>
            <w:r>
              <w:t>1</w:t>
            </w:r>
          </w:p>
        </w:tc>
        <w:tc>
          <w:tcPr>
            <w:tcW w:w="923" w:type="dxa"/>
          </w:tcPr>
          <w:p w14:paraId="6CC029E8">
            <w:pPr>
              <w:pStyle w:val="4"/>
              <w:jc w:val="center"/>
            </w:pPr>
            <w:r>
              <w:t>详见商务要求</w:t>
            </w:r>
          </w:p>
        </w:tc>
        <w:tc>
          <w:tcPr>
            <w:tcW w:w="923" w:type="dxa"/>
          </w:tcPr>
          <w:p w14:paraId="4B4FB7DE">
            <w:pPr>
              <w:pStyle w:val="4"/>
              <w:jc w:val="center"/>
            </w:pPr>
            <w:r>
              <w:t>详见商务要求</w:t>
            </w:r>
          </w:p>
        </w:tc>
        <w:tc>
          <w:tcPr>
            <w:tcW w:w="923" w:type="dxa"/>
          </w:tcPr>
          <w:p w14:paraId="12CE1C5B"/>
        </w:tc>
      </w:tr>
      <w:tr w14:paraId="1264F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38D107E">
            <w:pPr>
              <w:pStyle w:val="4"/>
              <w:jc w:val="center"/>
            </w:pPr>
            <w:r>
              <w:t>1-3</w:t>
            </w:r>
          </w:p>
        </w:tc>
        <w:tc>
          <w:tcPr>
            <w:tcW w:w="923" w:type="dxa"/>
          </w:tcPr>
          <w:p w14:paraId="703D9CB9">
            <w:pPr>
              <w:pStyle w:val="4"/>
              <w:jc w:val="left"/>
            </w:pPr>
            <w:r>
              <w:t>信息共享服务平台</w:t>
            </w:r>
          </w:p>
        </w:tc>
        <w:tc>
          <w:tcPr>
            <w:tcW w:w="923" w:type="dxa"/>
          </w:tcPr>
          <w:p w14:paraId="70CF1D08">
            <w:pPr>
              <w:pStyle w:val="4"/>
              <w:jc w:val="center"/>
            </w:pPr>
            <w:r>
              <w:t>详见采购文件第六章 采购项目商务和技术要求</w:t>
            </w:r>
          </w:p>
        </w:tc>
        <w:tc>
          <w:tcPr>
            <w:tcW w:w="923" w:type="dxa"/>
          </w:tcPr>
          <w:p w14:paraId="563B9235">
            <w:pPr>
              <w:pStyle w:val="4"/>
              <w:jc w:val="left"/>
            </w:pPr>
            <w:r>
              <w:t>套</w:t>
            </w:r>
          </w:p>
        </w:tc>
        <w:tc>
          <w:tcPr>
            <w:tcW w:w="923" w:type="dxa"/>
          </w:tcPr>
          <w:p w14:paraId="5D5AD0D1">
            <w:pPr>
              <w:pStyle w:val="4"/>
              <w:jc w:val="right"/>
            </w:pPr>
            <w:r>
              <w:t>500,000.00</w:t>
            </w:r>
          </w:p>
        </w:tc>
        <w:tc>
          <w:tcPr>
            <w:tcW w:w="923" w:type="dxa"/>
          </w:tcPr>
          <w:p w14:paraId="09A82831">
            <w:pPr>
              <w:pStyle w:val="4"/>
              <w:jc w:val="right"/>
            </w:pPr>
            <w:r>
              <w:t>1</w:t>
            </w:r>
          </w:p>
        </w:tc>
        <w:tc>
          <w:tcPr>
            <w:tcW w:w="923" w:type="dxa"/>
          </w:tcPr>
          <w:p w14:paraId="62D2F754">
            <w:pPr>
              <w:pStyle w:val="4"/>
              <w:jc w:val="center"/>
            </w:pPr>
            <w:r>
              <w:t>详见商务要求</w:t>
            </w:r>
          </w:p>
        </w:tc>
        <w:tc>
          <w:tcPr>
            <w:tcW w:w="923" w:type="dxa"/>
          </w:tcPr>
          <w:p w14:paraId="52E67396">
            <w:pPr>
              <w:pStyle w:val="4"/>
              <w:jc w:val="center"/>
            </w:pPr>
            <w:r>
              <w:t>详见商务要求</w:t>
            </w:r>
          </w:p>
        </w:tc>
        <w:tc>
          <w:tcPr>
            <w:tcW w:w="923" w:type="dxa"/>
          </w:tcPr>
          <w:p w14:paraId="4F437BD8"/>
        </w:tc>
      </w:tr>
      <w:tr w14:paraId="2159A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3AAB460">
            <w:pPr>
              <w:pStyle w:val="4"/>
              <w:jc w:val="center"/>
            </w:pPr>
            <w:r>
              <w:t>1-4</w:t>
            </w:r>
          </w:p>
        </w:tc>
        <w:tc>
          <w:tcPr>
            <w:tcW w:w="923" w:type="dxa"/>
          </w:tcPr>
          <w:p w14:paraId="79A5192B">
            <w:pPr>
              <w:pStyle w:val="4"/>
              <w:jc w:val="left"/>
            </w:pPr>
            <w:r>
              <w:t>智慧服务支撑平台</w:t>
            </w:r>
          </w:p>
        </w:tc>
        <w:tc>
          <w:tcPr>
            <w:tcW w:w="923" w:type="dxa"/>
          </w:tcPr>
          <w:p w14:paraId="033C3E54">
            <w:pPr>
              <w:pStyle w:val="4"/>
              <w:jc w:val="center"/>
            </w:pPr>
            <w:r>
              <w:t>详见采购文件第六章 采购项目商务和技术要求</w:t>
            </w:r>
          </w:p>
        </w:tc>
        <w:tc>
          <w:tcPr>
            <w:tcW w:w="923" w:type="dxa"/>
          </w:tcPr>
          <w:p w14:paraId="085DC10B">
            <w:pPr>
              <w:pStyle w:val="4"/>
              <w:jc w:val="left"/>
            </w:pPr>
            <w:r>
              <w:t>套</w:t>
            </w:r>
          </w:p>
        </w:tc>
        <w:tc>
          <w:tcPr>
            <w:tcW w:w="923" w:type="dxa"/>
          </w:tcPr>
          <w:p w14:paraId="333582DC">
            <w:pPr>
              <w:pStyle w:val="4"/>
              <w:jc w:val="right"/>
            </w:pPr>
            <w:r>
              <w:t>4,177,000.00</w:t>
            </w:r>
          </w:p>
        </w:tc>
        <w:tc>
          <w:tcPr>
            <w:tcW w:w="923" w:type="dxa"/>
          </w:tcPr>
          <w:p w14:paraId="6879546E">
            <w:pPr>
              <w:pStyle w:val="4"/>
              <w:jc w:val="right"/>
            </w:pPr>
            <w:r>
              <w:t>1</w:t>
            </w:r>
          </w:p>
        </w:tc>
        <w:tc>
          <w:tcPr>
            <w:tcW w:w="923" w:type="dxa"/>
          </w:tcPr>
          <w:p w14:paraId="660D6F50">
            <w:pPr>
              <w:pStyle w:val="4"/>
              <w:jc w:val="center"/>
            </w:pPr>
            <w:r>
              <w:t>详见商务要求</w:t>
            </w:r>
          </w:p>
        </w:tc>
        <w:tc>
          <w:tcPr>
            <w:tcW w:w="923" w:type="dxa"/>
          </w:tcPr>
          <w:p w14:paraId="40B53CC9">
            <w:pPr>
              <w:pStyle w:val="4"/>
              <w:jc w:val="center"/>
            </w:pPr>
            <w:r>
              <w:t>详见商务要求</w:t>
            </w:r>
          </w:p>
        </w:tc>
        <w:tc>
          <w:tcPr>
            <w:tcW w:w="923" w:type="dxa"/>
          </w:tcPr>
          <w:p w14:paraId="637FB430"/>
        </w:tc>
      </w:tr>
      <w:tr w14:paraId="62D6B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3D5D517">
            <w:pPr>
              <w:pStyle w:val="4"/>
              <w:jc w:val="center"/>
            </w:pPr>
            <w:r>
              <w:t>1-5</w:t>
            </w:r>
          </w:p>
        </w:tc>
        <w:tc>
          <w:tcPr>
            <w:tcW w:w="923" w:type="dxa"/>
          </w:tcPr>
          <w:p w14:paraId="7106AFA3">
            <w:pPr>
              <w:pStyle w:val="4"/>
              <w:jc w:val="left"/>
            </w:pPr>
            <w:r>
              <w:t>智慧教学保障管理平台</w:t>
            </w:r>
          </w:p>
        </w:tc>
        <w:tc>
          <w:tcPr>
            <w:tcW w:w="923" w:type="dxa"/>
          </w:tcPr>
          <w:p w14:paraId="78DF3742">
            <w:pPr>
              <w:pStyle w:val="4"/>
              <w:jc w:val="center"/>
            </w:pPr>
            <w:r>
              <w:t>详见采购文件第六章 采购项目商务和技术要求</w:t>
            </w:r>
          </w:p>
        </w:tc>
        <w:tc>
          <w:tcPr>
            <w:tcW w:w="923" w:type="dxa"/>
          </w:tcPr>
          <w:p w14:paraId="74D14890">
            <w:pPr>
              <w:pStyle w:val="4"/>
              <w:jc w:val="left"/>
            </w:pPr>
            <w:r>
              <w:t>套</w:t>
            </w:r>
          </w:p>
        </w:tc>
        <w:tc>
          <w:tcPr>
            <w:tcW w:w="923" w:type="dxa"/>
          </w:tcPr>
          <w:p w14:paraId="584BE356">
            <w:pPr>
              <w:pStyle w:val="4"/>
              <w:jc w:val="right"/>
            </w:pPr>
            <w:r>
              <w:t>1,000,000.00</w:t>
            </w:r>
          </w:p>
        </w:tc>
        <w:tc>
          <w:tcPr>
            <w:tcW w:w="923" w:type="dxa"/>
          </w:tcPr>
          <w:p w14:paraId="6A39C424">
            <w:pPr>
              <w:pStyle w:val="4"/>
              <w:jc w:val="right"/>
            </w:pPr>
            <w:r>
              <w:t>1</w:t>
            </w:r>
          </w:p>
        </w:tc>
        <w:tc>
          <w:tcPr>
            <w:tcW w:w="923" w:type="dxa"/>
          </w:tcPr>
          <w:p w14:paraId="087BB451">
            <w:pPr>
              <w:pStyle w:val="4"/>
              <w:jc w:val="center"/>
            </w:pPr>
            <w:r>
              <w:t>详见商务要求</w:t>
            </w:r>
          </w:p>
        </w:tc>
        <w:tc>
          <w:tcPr>
            <w:tcW w:w="923" w:type="dxa"/>
          </w:tcPr>
          <w:p w14:paraId="01AEFB70">
            <w:pPr>
              <w:pStyle w:val="4"/>
              <w:jc w:val="center"/>
            </w:pPr>
            <w:r>
              <w:t>详见商务要求</w:t>
            </w:r>
          </w:p>
        </w:tc>
        <w:tc>
          <w:tcPr>
            <w:tcW w:w="923" w:type="dxa"/>
          </w:tcPr>
          <w:p w14:paraId="2C495A31"/>
        </w:tc>
      </w:tr>
      <w:tr w14:paraId="075B0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9"/>
          </w:tcPr>
          <w:p w14:paraId="0954E24B">
            <w:pPr>
              <w:pStyle w:val="4"/>
              <w:jc w:val="left"/>
            </w:pPr>
            <w:r>
              <w:t>说明：投标供应商应当对所投包内所有服务内容进行唯一报价，否则视为无效投标。</w:t>
            </w:r>
          </w:p>
        </w:tc>
      </w:tr>
    </w:tbl>
    <w:p w14:paraId="136A22AE">
      <w:pPr>
        <w:pStyle w:val="4"/>
        <w:jc w:val="left"/>
      </w:pPr>
      <w:r>
        <w:t>1.本项目是否接受联合体投标:</w:t>
      </w:r>
    </w:p>
    <w:p w14:paraId="76FF65FA">
      <w:pPr>
        <w:pStyle w:val="4"/>
        <w:ind w:firstLine="480"/>
        <w:jc w:val="left"/>
      </w:pPr>
      <w:r>
        <w:t>采购包1：否</w:t>
      </w:r>
    </w:p>
    <w:p w14:paraId="18CF5045">
      <w:pPr>
        <w:pStyle w:val="4"/>
        <w:ind w:firstLine="480"/>
        <w:jc w:val="both"/>
      </w:pPr>
      <w:r>
        <w:t>2.项目预算： 11,120,000.00元，壹仟壹佰壹拾贰万元整 ；</w:t>
      </w:r>
    </w:p>
    <w:p w14:paraId="68D89363">
      <w:pPr>
        <w:pStyle w:val="4"/>
        <w:ind w:firstLine="480"/>
        <w:jc w:val="both"/>
      </w:pPr>
      <w:r>
        <w:t>3.最高限价：</w:t>
      </w:r>
    </w:p>
    <w:p w14:paraId="60D22CCC">
      <w:pPr>
        <w:pStyle w:val="4"/>
      </w:pPr>
      <w:r>
        <w:t>采购包1：11,120,000.00元，壹仟壹佰壹拾贰万元整；</w:t>
      </w:r>
    </w:p>
    <w:p w14:paraId="248094FB">
      <w:pPr>
        <w:pStyle w:val="4"/>
        <w:ind w:firstLine="480"/>
        <w:jc w:val="both"/>
      </w:pPr>
      <w:r>
        <w:t>4.中标(成交)供应商信息:</w:t>
      </w:r>
    </w:p>
    <w:p w14:paraId="323D02F4">
      <w:pPr>
        <w:pStyle w:val="4"/>
      </w:pPr>
      <w:r>
        <w:t>本项目第1包确定1家供应商中标。</w:t>
      </w:r>
    </w:p>
    <w:p w14:paraId="786F990D">
      <w:pPr>
        <w:pStyle w:val="4"/>
        <w:ind w:firstLine="480"/>
        <w:jc w:val="left"/>
        <w:outlineLvl w:val="2"/>
      </w:pPr>
      <w:r>
        <w:rPr>
          <w:b/>
          <w:sz w:val="28"/>
        </w:rPr>
        <w:t>四、投标供应商资格条件</w:t>
      </w:r>
    </w:p>
    <w:p w14:paraId="47B5DCFE">
      <w:pPr>
        <w:pStyle w:val="4"/>
        <w:ind w:firstLine="480"/>
        <w:jc w:val="both"/>
      </w:pPr>
      <w:r>
        <w:t>（一）具有企（事）业法人资格（有行业特殊情况的银行、保险、电力、电信等法人分支机构，会计师、律师等非法人组织，行业协会等社会团体法人除外）；</w:t>
      </w:r>
    </w:p>
    <w:p w14:paraId="7511BEE4">
      <w:pPr>
        <w:pStyle w:val="4"/>
        <w:ind w:firstLine="480"/>
        <w:jc w:val="both"/>
      </w:pPr>
      <w:r>
        <w:t>（二）国有企业；事业单位；军队单位；成立三年以上的非外资（含港澳台）独资或控股企业；</w:t>
      </w:r>
    </w:p>
    <w:p w14:paraId="67F3FB0A">
      <w:pPr>
        <w:pStyle w:val="4"/>
        <w:ind w:firstLine="480"/>
        <w:jc w:val="both"/>
      </w:pPr>
      <w:r>
        <w:t>（三）具有良好的商业信誉和健全的财务会计制度；</w:t>
      </w:r>
    </w:p>
    <w:p w14:paraId="3C642183">
      <w:pPr>
        <w:pStyle w:val="4"/>
        <w:ind w:firstLine="480"/>
        <w:jc w:val="both"/>
      </w:pPr>
      <w:r>
        <w:t>（四）具有履行合同所必需的设施设备、专业技术能力、质量保证体系和固定的生产经营、服务场地；</w:t>
      </w:r>
    </w:p>
    <w:p w14:paraId="28D8BABE">
      <w:pPr>
        <w:pStyle w:val="4"/>
        <w:ind w:firstLine="480"/>
        <w:jc w:val="both"/>
      </w:pPr>
      <w:r>
        <w:t>（五）有依法缴纳税收和社会保障资金的良好记录；</w:t>
      </w:r>
    </w:p>
    <w:p w14:paraId="2898F96A">
      <w:pPr>
        <w:pStyle w:val="4"/>
        <w:ind w:firstLine="480"/>
        <w:jc w:val="both"/>
      </w:pPr>
      <w:r>
        <w:t>（六）参加军队采购活动前3年内，在经营活动中没有受到刑事处罚或者责令停产停业、吊销许可证或者执照、较大数额罚款（200万元以上）等重大违法记录；</w:t>
      </w:r>
    </w:p>
    <w:p w14:paraId="357F55A1">
      <w:pPr>
        <w:pStyle w:val="4"/>
        <w:ind w:firstLine="480"/>
        <w:jc w:val="both"/>
      </w:pPr>
      <w: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57C40675">
      <w:pPr>
        <w:pStyle w:val="4"/>
        <w:ind w:firstLine="480"/>
        <w:jc w:val="both"/>
      </w:pPr>
      <w:r>
        <w:t>（八）本项目特定资格：详见招标文件第四章《资格性审查表》</w:t>
      </w:r>
    </w:p>
    <w:p w14:paraId="40CE6CE8">
      <w:pPr>
        <w:pStyle w:val="4"/>
        <w:ind w:firstLine="480"/>
        <w:jc w:val="left"/>
      </w:pPr>
      <w:r>
        <w:t>（九）投标企业应当具备服务履约的能力</w:t>
      </w:r>
    </w:p>
    <w:p w14:paraId="30D850E7">
      <w:pPr>
        <w:pStyle w:val="4"/>
        <w:jc w:val="left"/>
        <w:outlineLvl w:val="2"/>
      </w:pPr>
      <w:r>
        <w:rPr>
          <w:b/>
          <w:sz w:val="28"/>
        </w:rPr>
        <w:t>五、招标文件申领时间、地点、方式</w:t>
      </w:r>
    </w:p>
    <w:p w14:paraId="21F482E9">
      <w:pPr>
        <w:pStyle w:val="4"/>
        <w:ind w:firstLine="480"/>
        <w:jc w:val="both"/>
      </w:pPr>
      <w:r>
        <w:t>（一）申领时间：详见公告。</w:t>
      </w:r>
    </w:p>
    <w:p w14:paraId="282F7043">
      <w:pPr>
        <w:pStyle w:val="4"/>
        <w:ind w:firstLine="480"/>
        <w:jc w:val="both"/>
      </w:pPr>
      <w:r>
        <w:t>（二）申领地点：详见公告。</w:t>
      </w:r>
    </w:p>
    <w:p w14:paraId="52E1DC94">
      <w:pPr>
        <w:pStyle w:val="4"/>
        <w:ind w:firstLine="480"/>
        <w:jc w:val="both"/>
      </w:pPr>
      <w:r>
        <w:t>（三）申领方式：</w:t>
      </w:r>
    </w:p>
    <w:p w14:paraId="333669FA">
      <w:pPr>
        <w:pStyle w:val="4"/>
        <w:ind w:firstLine="480"/>
        <w:jc w:val="left"/>
      </w:pPr>
      <w:r>
        <w:t>线上申领。先从军队采购网（门户: http://plap.mil.cn/；IP地址: http://118.64.254.72/）的供应商入口免费登记注册，填报相关资料并通过审核后注册成功。登录物资服务招投标系统报名、按要求提交报名材料、经审核（如有）符合项目资质要求的可线上下载招标文件。（本项目为电子招投标项目，供应商必须先完成注册，才能领取采购文件）</w:t>
      </w:r>
    </w:p>
    <w:p w14:paraId="49184124">
      <w:pPr>
        <w:pStyle w:val="4"/>
        <w:ind w:firstLine="480"/>
        <w:jc w:val="both"/>
      </w:pPr>
      <w:r>
        <w:t>（四）本项目特定资格材料</w:t>
      </w:r>
    </w:p>
    <w:p w14:paraId="5D51395D">
      <w:pPr>
        <w:pStyle w:val="4"/>
        <w:ind w:firstLine="480"/>
        <w:jc w:val="left"/>
      </w:pPr>
      <w:r>
        <w:t>采购包1：无</w:t>
      </w:r>
    </w:p>
    <w:p w14:paraId="63910066">
      <w:pPr>
        <w:pStyle w:val="4"/>
        <w:jc w:val="left"/>
        <w:outlineLvl w:val="2"/>
      </w:pPr>
      <w:r>
        <w:rPr>
          <w:b/>
          <w:sz w:val="28"/>
        </w:rPr>
        <w:t>六、投标受理时间及地点、方式</w:t>
      </w:r>
    </w:p>
    <w:p w14:paraId="34AD1D33">
      <w:pPr>
        <w:pStyle w:val="4"/>
        <w:ind w:firstLine="480"/>
        <w:jc w:val="both"/>
      </w:pPr>
      <w:r>
        <w:t>（一）投标受理开始时间：详见公告。</w:t>
      </w:r>
    </w:p>
    <w:p w14:paraId="4A1BDFB9">
      <w:pPr>
        <w:pStyle w:val="4"/>
        <w:ind w:firstLine="480"/>
        <w:jc w:val="both"/>
      </w:pPr>
      <w:r>
        <w:t>（二）投标截止时间：详见公告。</w:t>
      </w:r>
    </w:p>
    <w:p w14:paraId="238926FD">
      <w:pPr>
        <w:pStyle w:val="4"/>
        <w:ind w:firstLine="480"/>
        <w:jc w:val="left"/>
      </w:pPr>
      <w:r>
        <w:t>（三）投标地点： 四川省成都市成华区华彩路1号</w:t>
      </w:r>
    </w:p>
    <w:p w14:paraId="6534B9C4">
      <w:pPr>
        <w:pStyle w:val="4"/>
        <w:ind w:firstLine="480"/>
        <w:jc w:val="both"/>
      </w:pPr>
      <w:r>
        <w:t>（四）提交方式：详见公告</w:t>
      </w:r>
    </w:p>
    <w:p w14:paraId="1B0A4BC6">
      <w:pPr>
        <w:pStyle w:val="4"/>
        <w:jc w:val="left"/>
        <w:outlineLvl w:val="2"/>
      </w:pPr>
      <w:r>
        <w:rPr>
          <w:b/>
          <w:sz w:val="28"/>
        </w:rPr>
        <w:t>七、开标时间、地点</w:t>
      </w:r>
    </w:p>
    <w:p w14:paraId="16EFFE9D">
      <w:pPr>
        <w:pStyle w:val="4"/>
        <w:ind w:firstLine="480"/>
        <w:jc w:val="both"/>
      </w:pPr>
      <w:r>
        <w:t>（一）开标时间：详见公告。</w:t>
      </w:r>
    </w:p>
    <w:p w14:paraId="0354D6C8">
      <w:pPr>
        <w:pStyle w:val="4"/>
        <w:ind w:firstLine="480"/>
        <w:jc w:val="left"/>
      </w:pPr>
      <w:r>
        <w:t>（二）开标地点： 四川省成都市成华区华彩路1号</w:t>
      </w:r>
    </w:p>
    <w:p w14:paraId="3C9FEBB4">
      <w:pPr>
        <w:pStyle w:val="4"/>
        <w:jc w:val="left"/>
        <w:outlineLvl w:val="2"/>
      </w:pPr>
      <w:r>
        <w:rPr>
          <w:b/>
          <w:sz w:val="28"/>
        </w:rPr>
        <w:t>八、样品</w:t>
      </w:r>
    </w:p>
    <w:p w14:paraId="146D09C1">
      <w:pPr>
        <w:pStyle w:val="4"/>
        <w:jc w:val="left"/>
      </w:pPr>
      <w:r>
        <w:t>采购包1：本采购包无需提交样品</w:t>
      </w:r>
    </w:p>
    <w:p w14:paraId="65852417">
      <w:pPr>
        <w:pStyle w:val="4"/>
        <w:jc w:val="left"/>
        <w:outlineLvl w:val="2"/>
      </w:pPr>
      <w:r>
        <w:rPr>
          <w:b/>
          <w:sz w:val="28"/>
        </w:rPr>
        <w:t>九、现场踏勘</w:t>
      </w:r>
    </w:p>
    <w:p w14:paraId="5AA0843E">
      <w:pPr>
        <w:pStyle w:val="4"/>
        <w:ind w:firstLine="480"/>
        <w:jc w:val="both"/>
      </w:pPr>
      <w:r>
        <w:t>采购包1：不组织现场踏勘</w:t>
      </w:r>
    </w:p>
    <w:p w14:paraId="519C175A">
      <w:pPr>
        <w:pStyle w:val="4"/>
        <w:jc w:val="left"/>
        <w:outlineLvl w:val="2"/>
      </w:pPr>
      <w:r>
        <w:rPr>
          <w:b/>
          <w:sz w:val="28"/>
        </w:rPr>
        <w:t>十、标前答疑会</w:t>
      </w:r>
    </w:p>
    <w:p w14:paraId="4065A544">
      <w:pPr>
        <w:pStyle w:val="4"/>
        <w:ind w:firstLine="480"/>
        <w:jc w:val="left"/>
      </w:pPr>
      <w:r>
        <w:t>不组织标前答疑</w:t>
      </w:r>
    </w:p>
    <w:p w14:paraId="3B19AB8B">
      <w:pPr>
        <w:pStyle w:val="4"/>
        <w:jc w:val="left"/>
        <w:outlineLvl w:val="2"/>
      </w:pPr>
      <w:r>
        <w:rPr>
          <w:b/>
          <w:sz w:val="28"/>
        </w:rPr>
        <w:t>十一、本采购项目相关信息在《军队采购网》（www.plap.mil.cn）上发布。</w:t>
      </w:r>
    </w:p>
    <w:p w14:paraId="652DBF4B">
      <w:pPr>
        <w:pStyle w:val="4"/>
        <w:jc w:val="left"/>
        <w:outlineLvl w:val="2"/>
      </w:pPr>
      <w:r>
        <w:rPr>
          <w:b/>
          <w:sz w:val="28"/>
        </w:rPr>
        <w:t>十二、其他补充事宜</w:t>
      </w:r>
    </w:p>
    <w:p w14:paraId="570B5C75">
      <w:pPr>
        <w:pStyle w:val="4"/>
        <w:ind w:firstLine="480"/>
        <w:jc w:val="both"/>
      </w:pPr>
      <w:r>
        <w:t>1.本项目采用全流程电子化采购方式，不接受纸质投标文件。请投标供应商认真学习军队采购网（www.plap.mil.cn）发布的电子招投标相关操作手册，详细了解办理数字证书和电子签章、下载驱动和军采平台编标工具、获取电子招标文件、编制电子投标文件和电子开标等流程要求。</w:t>
      </w:r>
    </w:p>
    <w:p w14:paraId="56F1D374">
      <w:pPr>
        <w:pStyle w:val="4"/>
        <w:ind w:firstLine="480"/>
        <w:jc w:val="both"/>
      </w:pPr>
      <w:r>
        <w:t>2.投标供应商在投标过程中涉及系统平台操作的技术问题，可致电技术支持热线咨询，电话：010-21728181-2，投标供应商应使用电子投标客户端编制投标文件。</w:t>
      </w:r>
    </w:p>
    <w:p w14:paraId="39157537">
      <w:pPr>
        <w:pStyle w:val="4"/>
        <w:jc w:val="left"/>
        <w:outlineLvl w:val="2"/>
      </w:pPr>
      <w:r>
        <w:rPr>
          <w:b/>
          <w:sz w:val="28"/>
        </w:rPr>
        <w:t>十三、采购机构联系方式</w:t>
      </w:r>
    </w:p>
    <w:p w14:paraId="0534CED3">
      <w:pPr>
        <w:pStyle w:val="4"/>
        <w:ind w:firstLine="480"/>
        <w:jc w:val="left"/>
      </w:pPr>
      <w:r>
        <w:t xml:space="preserve"> 联系人： 孙助理（电话无法接通时，请编辑短信“项目名称及编号、咨询问题“发送至移动电话）</w:t>
      </w:r>
    </w:p>
    <w:p w14:paraId="2BA72BC7">
      <w:pPr>
        <w:pStyle w:val="4"/>
        <w:jc w:val="left"/>
      </w:pPr>
      <w:r>
        <w:t xml:space="preserve"> 办公电话： 028-86598675（服务热线值班电话）；028-86598623（联系人办公电话）</w:t>
      </w:r>
    </w:p>
    <w:p w14:paraId="0125EE41">
      <w:pPr>
        <w:pStyle w:val="4"/>
        <w:jc w:val="left"/>
      </w:pPr>
      <w:r>
        <w:t xml:space="preserve"> 移动电话： 19182006680（投标保证金退付事宜请拨打采购结果公示上联系人或服务热线值班电话，请勿反复拨打此电话咨询投标保证金退付事宜）</w:t>
      </w:r>
    </w:p>
    <w:p w14:paraId="0C123C46">
      <w:pPr>
        <w:pStyle w:val="4"/>
        <w:jc w:val="left"/>
      </w:pPr>
      <w:r>
        <w:t xml:space="preserve"> 传真： 028-86598698</w:t>
      </w:r>
    </w:p>
    <w:p w14:paraId="398C84E2">
      <w:pPr>
        <w:pStyle w:val="4"/>
        <w:jc w:val="left"/>
      </w:pPr>
      <w:r>
        <w:t xml:space="preserve"> 地址： 四川省成都市成华区华彩路1号</w:t>
      </w:r>
    </w:p>
    <w:p w14:paraId="374FE555">
      <w:pPr>
        <w:pStyle w:val="4"/>
        <w:jc w:val="left"/>
        <w:outlineLvl w:val="2"/>
      </w:pPr>
      <w:r>
        <w:rPr>
          <w:b/>
          <w:sz w:val="28"/>
        </w:rPr>
        <w:t>十四、监督部门联系方式</w:t>
      </w:r>
    </w:p>
    <w:p w14:paraId="2E0E6AF7">
      <w:pPr>
        <w:pStyle w:val="4"/>
        <w:ind w:firstLine="480"/>
        <w:jc w:val="left"/>
      </w:pPr>
      <w:r>
        <w:t xml:space="preserve"> 项目监督人： 蔡干事</w:t>
      </w:r>
    </w:p>
    <w:p w14:paraId="75013E96">
      <w:pPr>
        <w:pStyle w:val="4"/>
        <w:jc w:val="left"/>
      </w:pPr>
      <w:r>
        <w:t xml:space="preserve"> 办公电话： 028-86598609</w:t>
      </w:r>
    </w:p>
    <w:p w14:paraId="650296E9">
      <w:pPr>
        <w:pStyle w:val="4"/>
        <w:jc w:val="left"/>
      </w:pPr>
      <w:r>
        <w:t xml:space="preserve"> 移动电话： 无</w:t>
      </w:r>
    </w:p>
    <w:p w14:paraId="5C4038F2">
      <w:pPr>
        <w:pStyle w:val="4"/>
      </w:pPr>
      <w:r>
        <w:t xml:space="preserve"> </w:t>
      </w:r>
    </w:p>
    <w:p w14:paraId="67724404">
      <w:pPr>
        <w:pStyle w:val="4"/>
        <w:jc w:val="center"/>
        <w:outlineLvl w:val="1"/>
      </w:pPr>
      <w:r>
        <w:rPr>
          <w:b/>
          <w:sz w:val="36"/>
        </w:rPr>
        <w:t>第六章 采购项目商务和技术要求</w:t>
      </w:r>
    </w:p>
    <w:p w14:paraId="0C45A197">
      <w:pPr>
        <w:pStyle w:val="4"/>
        <w:jc w:val="left"/>
        <w:outlineLvl w:val="2"/>
      </w:pPr>
      <w:r>
        <w:rPr>
          <w:b/>
          <w:sz w:val="28"/>
        </w:rPr>
        <w:t>一、商务要求</w:t>
      </w:r>
    </w:p>
    <w:p w14:paraId="6B2563EE">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8"/>
        <w:gridCol w:w="1668"/>
        <w:gridCol w:w="1717"/>
        <w:gridCol w:w="3469"/>
      </w:tblGrid>
      <w:tr w14:paraId="396E6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0FCC3E">
            <w:pPr>
              <w:pStyle w:val="4"/>
              <w:jc w:val="left"/>
            </w:pPr>
            <w:r>
              <w:t>序号</w:t>
            </w:r>
          </w:p>
        </w:tc>
        <w:tc>
          <w:tcPr>
            <w:tcW w:w="2076" w:type="dxa"/>
          </w:tcPr>
          <w:p w14:paraId="22B81864">
            <w:pPr>
              <w:pStyle w:val="4"/>
              <w:jc w:val="left"/>
            </w:pPr>
            <w:r>
              <w:t>参数性质</w:t>
            </w:r>
          </w:p>
        </w:tc>
        <w:tc>
          <w:tcPr>
            <w:tcW w:w="2076" w:type="dxa"/>
          </w:tcPr>
          <w:p w14:paraId="5B98F39D">
            <w:pPr>
              <w:pStyle w:val="4"/>
              <w:jc w:val="left"/>
            </w:pPr>
            <w:r>
              <w:t>类型</w:t>
            </w:r>
          </w:p>
        </w:tc>
        <w:tc>
          <w:tcPr>
            <w:tcW w:w="2076" w:type="dxa"/>
          </w:tcPr>
          <w:p w14:paraId="7332B3DB">
            <w:pPr>
              <w:pStyle w:val="4"/>
              <w:jc w:val="left"/>
            </w:pPr>
            <w:r>
              <w:t>要求</w:t>
            </w:r>
          </w:p>
        </w:tc>
      </w:tr>
      <w:tr w14:paraId="3EAA0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472166">
            <w:pPr>
              <w:pStyle w:val="4"/>
              <w:jc w:val="left"/>
            </w:pPr>
            <w:r>
              <w:t>1</w:t>
            </w:r>
          </w:p>
        </w:tc>
        <w:tc>
          <w:tcPr>
            <w:tcW w:w="2076" w:type="dxa"/>
          </w:tcPr>
          <w:p w14:paraId="436B4A48">
            <w:pPr>
              <w:pStyle w:val="4"/>
              <w:jc w:val="left"/>
            </w:pPr>
            <w:r>
              <w:t>★</w:t>
            </w:r>
          </w:p>
        </w:tc>
        <w:tc>
          <w:tcPr>
            <w:tcW w:w="2076" w:type="dxa"/>
          </w:tcPr>
          <w:p w14:paraId="5D01B74F">
            <w:pPr>
              <w:pStyle w:val="4"/>
              <w:jc w:val="left"/>
            </w:pPr>
            <w:r>
              <w:t>交付（服务）时间、地点和方式</w:t>
            </w:r>
          </w:p>
        </w:tc>
        <w:tc>
          <w:tcPr>
            <w:tcW w:w="2076" w:type="dxa"/>
          </w:tcPr>
          <w:p w14:paraId="096B596C">
            <w:pPr>
              <w:pStyle w:val="4"/>
              <w:jc w:val="left"/>
            </w:pPr>
            <w:r>
              <w:t>（1）交付（服务）时间：计划合同签订后150个自然日内完成建设；</w:t>
            </w:r>
            <w:r>
              <w:br w:type="textWrapping"/>
            </w:r>
            <w:r>
              <w:t>（2）交付（服务）地点服务地点：重庆市沙坪坝区、天津市河东区、安徽蚌埠市；</w:t>
            </w:r>
            <w:r>
              <w:br w:type="textWrapping"/>
            </w:r>
            <w:r>
              <w:t>（3）交付（服务）方式：中标供应商提供货架产品与驻场开发相结合</w:t>
            </w:r>
          </w:p>
        </w:tc>
      </w:tr>
      <w:tr w14:paraId="16E31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6A3B30">
            <w:pPr>
              <w:pStyle w:val="4"/>
              <w:jc w:val="left"/>
            </w:pPr>
            <w:r>
              <w:t>2</w:t>
            </w:r>
          </w:p>
        </w:tc>
        <w:tc>
          <w:tcPr>
            <w:tcW w:w="2076" w:type="dxa"/>
          </w:tcPr>
          <w:p w14:paraId="39505CF3">
            <w:pPr>
              <w:pStyle w:val="4"/>
              <w:jc w:val="left"/>
            </w:pPr>
            <w:r>
              <w:t>★</w:t>
            </w:r>
          </w:p>
        </w:tc>
        <w:tc>
          <w:tcPr>
            <w:tcW w:w="2076" w:type="dxa"/>
          </w:tcPr>
          <w:p w14:paraId="24167981">
            <w:pPr>
              <w:pStyle w:val="4"/>
              <w:jc w:val="left"/>
            </w:pPr>
            <w:r>
              <w:t>售后服务</w:t>
            </w:r>
          </w:p>
        </w:tc>
        <w:tc>
          <w:tcPr>
            <w:tcW w:w="2076" w:type="dxa"/>
          </w:tcPr>
          <w:p w14:paraId="724C4F57">
            <w:pPr>
              <w:pStyle w:val="4"/>
              <w:jc w:val="left"/>
            </w:pPr>
            <w:r>
              <w:t>（1）自软件验收合格之日起，软件质保期不少于60个月。</w:t>
            </w:r>
            <w:r>
              <w:br w:type="textWrapping"/>
            </w:r>
            <w:r>
              <w:t>（2）在质保期内，乙方按照有关法律、法规和合同约定，承担软件维护责任。乙方对提供的软件在质保期内，因产品质量而导致的缺陷，必须免费提供升级服务，因此导致的损失，甲方有权向乙方追偿。</w:t>
            </w:r>
            <w:r>
              <w:br w:type="textWrapping"/>
            </w:r>
            <w:r>
              <w:t>（3）超出质保期后，乙方应当提供上门维护服务，仅收取成本费。</w:t>
            </w:r>
            <w:r>
              <w:br w:type="textWrapping"/>
            </w:r>
            <w:r>
              <w:t>（4）乙方应当提供7×24的实时故障或缺陷响应。质保期内出现故障或缺陷问题，甲方提出后，乙方应当在0.5小时内响应，4小时内到达现场，12小时内完成维护等服务。乙方不能按约定期限派人提供服务的，甲方在技术允许的范围内自行处理，费用由乙方承担。</w:t>
            </w:r>
            <w:r>
              <w:br w:type="textWrapping"/>
            </w:r>
            <w:r>
              <w:t>（5）乙方在军事行动中提供应急支援保障服务，保障服务内容包括在甲方承担重大任务或活动时提供现场保障服务 。</w:t>
            </w:r>
            <w:r>
              <w:br w:type="textWrapping"/>
            </w:r>
            <w:r>
              <w:t>（6）免费培训,乙方应当根据投标文件的相关培训承诺及项目实施进度，对甲方相关人员进行培训。</w:t>
            </w:r>
          </w:p>
        </w:tc>
      </w:tr>
      <w:tr w14:paraId="5506B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D0AE08">
            <w:pPr>
              <w:pStyle w:val="4"/>
              <w:jc w:val="left"/>
            </w:pPr>
            <w:r>
              <w:t>3</w:t>
            </w:r>
          </w:p>
        </w:tc>
        <w:tc>
          <w:tcPr>
            <w:tcW w:w="2076" w:type="dxa"/>
          </w:tcPr>
          <w:p w14:paraId="504C7BBC">
            <w:pPr>
              <w:pStyle w:val="4"/>
              <w:jc w:val="left"/>
            </w:pPr>
            <w:r>
              <w:t>★</w:t>
            </w:r>
          </w:p>
        </w:tc>
        <w:tc>
          <w:tcPr>
            <w:tcW w:w="2076" w:type="dxa"/>
          </w:tcPr>
          <w:p w14:paraId="54EEB02C">
            <w:pPr>
              <w:pStyle w:val="4"/>
              <w:jc w:val="left"/>
            </w:pPr>
            <w:r>
              <w:t>知识产权和保密要求</w:t>
            </w:r>
          </w:p>
        </w:tc>
        <w:tc>
          <w:tcPr>
            <w:tcW w:w="2076" w:type="dxa"/>
          </w:tcPr>
          <w:p w14:paraId="3650E0AC">
            <w:pPr>
              <w:pStyle w:val="4"/>
              <w:jc w:val="left"/>
            </w:pPr>
            <w:r>
              <w:t>知识产权</w:t>
            </w:r>
            <w:r>
              <w:br w:type="textWrapping"/>
            </w:r>
            <w:r>
              <w:t>（1）基于本合同履行形成的技术成果、知识产权及软件著作权，归甲方所有，未经甲方书面同意，乙方不得向第三方转让相关技术，否则须承担相应的经济和法律责任。（项目实施过程中新增的软件著作权、技术成果、知识产权等为甲方所有。未约定的,按有关法律规定,技术成果由双方共有;专利申请权归属乙方,被授予专利的,甲方可以依法实施该专利）。</w:t>
            </w:r>
            <w:r>
              <w:br w:type="textWrapping"/>
            </w:r>
            <w:r>
              <w:t>（2）乙方应当保证甲方在使用乙方交付的服务成果时不受第三方提出侵犯其知识产权的指控。如发生此种情形，甲方不承担任何责任。同时，如因此给甲方造成的损失及费用，全部由乙方承担。损失的范围包括但不限于：甲方因赔偿第三方而产生的损失、甲方因处理争议而产生的损失（包括但不限于：律师费、诉讼费、财产保全费等）、甲方因乙方软件不能正常使用而产生的损失等。</w:t>
            </w:r>
            <w:r>
              <w:br w:type="textWrapping"/>
            </w:r>
            <w:r>
              <w:br w:type="textWrapping"/>
            </w:r>
            <w:r>
              <w:t>保密要求</w:t>
            </w:r>
            <w:r>
              <w:br w:type="textWrapping"/>
            </w:r>
            <w: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r>
              <w:br w:type="textWrapping"/>
            </w:r>
            <w:r>
              <w:t>（1）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r>
              <w:br w:type="textWrapping"/>
            </w:r>
            <w:r>
              <w:t>（2）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r>
              <w:br w:type="textWrapping"/>
            </w:r>
            <w:r>
              <w:t>（3）本采购项目及其合同订立履行保密信息，包括以手写、打印、软件、磁盘、光盘、胶片、图片、音视频或者其他可读取方式记载的数据信息和文档资料，实行专人管理、专室专柜存放、定期审核销毁，不擅自复制留存。</w:t>
            </w:r>
            <w:r>
              <w:br w:type="textWrapping"/>
            </w:r>
            <w:r>
              <w:t>（4）不在联接互联网计算机中存储、处理、传递，不通过普通电话、传真、快递等非保密渠道传递本采购项目及其合同订立履行保密信息。</w:t>
            </w:r>
            <w:r>
              <w:br w:type="textWrapping"/>
            </w:r>
            <w:r>
              <w:t>（5）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tc>
      </w:tr>
      <w:tr w14:paraId="22414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4A3041">
            <w:pPr>
              <w:pStyle w:val="4"/>
              <w:jc w:val="left"/>
            </w:pPr>
            <w:r>
              <w:t>4</w:t>
            </w:r>
          </w:p>
        </w:tc>
        <w:tc>
          <w:tcPr>
            <w:tcW w:w="2076" w:type="dxa"/>
          </w:tcPr>
          <w:p w14:paraId="03463C73">
            <w:pPr>
              <w:pStyle w:val="4"/>
              <w:jc w:val="left"/>
            </w:pPr>
            <w:r>
              <w:t>★</w:t>
            </w:r>
          </w:p>
        </w:tc>
        <w:tc>
          <w:tcPr>
            <w:tcW w:w="2076" w:type="dxa"/>
          </w:tcPr>
          <w:p w14:paraId="68B583A3">
            <w:pPr>
              <w:pStyle w:val="4"/>
              <w:jc w:val="left"/>
            </w:pPr>
            <w:r>
              <w:t>物资编目编码、打码贴签要求</w:t>
            </w:r>
          </w:p>
        </w:tc>
        <w:tc>
          <w:tcPr>
            <w:tcW w:w="2076" w:type="dxa"/>
          </w:tcPr>
          <w:p w14:paraId="62B4FBF0">
            <w:pPr>
              <w:pStyle w:val="4"/>
              <w:jc w:val="left"/>
            </w:pPr>
            <w:r>
              <w:t>（1）中标供应商应当按照统一要求，提供货物相关数据信息，配合军方做好编目数据采集工作。</w:t>
            </w:r>
            <w:r>
              <w:br w:type="textWrapping"/>
            </w:r>
            <w:r>
              <w:t>①中标供应商可通过军队采购网互联网网站(http://www.plap.cn)或“通用物资编目数据平台”(http://www.ngcode.cn/catalog)，下载编目用户终端软件。使用涉密专用计算机安装软件，按要求录入采购物资数据（已编目物资品种须填写编目码，已在“通用物资编目数据平台”上注册的产品数据可直接导入编目用户终端软件），导入技术规范、产品说明书、图片等电子文件，生成并导出编目申请数据包，提交采购单位或承担军用物资编目职能的单位。</w:t>
            </w:r>
            <w:r>
              <w:br w:type="textWrapping"/>
            </w:r>
            <w:r>
              <w:t>②中标供应商应当配合承担军用物资编目职能的单位，补充完善编目数据。</w:t>
            </w:r>
            <w:r>
              <w:br w:type="textWrapping"/>
            </w:r>
            <w:r>
              <w:t>③中标供应商通过甲方接收赋码后的编目数据包，导入编目用户终端软件，获取编目码，用于打码贴签、验收结算等。</w:t>
            </w:r>
            <w:r>
              <w:br w:type="textWrapping"/>
            </w:r>
            <w:r>
              <w:t>（2）中标供应商应当按照统一要求在货物交付前完成打码贴签工作。</w:t>
            </w:r>
            <w:r>
              <w:br w:type="textWrapping"/>
            </w:r>
            <w:r>
              <w:t>①货物标签格式、张挂位置、材质、码制等内容，应当符合军队有关要求。</w:t>
            </w:r>
            <w:r>
              <w:br w:type="textWrapping"/>
            </w:r>
            <w:r>
              <w:t>②货物标签上的编目码应当与合同物资明细表中的编目码完全一致。</w:t>
            </w:r>
            <w:r>
              <w:br w:type="textWrapping"/>
            </w:r>
            <w:r>
              <w:t>（3）承担军用物资编目职能的单位，按照职责分工，负责审核中标供应商提供的货物编目数据、根据需要联系中标供应商补充完善数据，核准完善后出具《编目确认单》（采购单位通过“军用物资和装备编目系统”下载)，作为结算凭证之一。</w:t>
            </w:r>
            <w:r>
              <w:br w:type="textWrapping"/>
            </w:r>
            <w:r>
              <w:t>（4）货物编目数据填报和打码贴签情况，列入出厂验收、接收验收项目;编目数据、标识标签不符合规范要求的，验收不予通过，不得进入物资储存单位。中标供应商应在7日内完成整改，重新协调甲方组织验收。</w:t>
            </w:r>
            <w:r>
              <w:br w:type="textWrapping"/>
            </w:r>
            <w:r>
              <w:t>（5）合同结算时，甲方应获取合同对应的《编目确认单》，生成导出数据。财务部门（资金集中收付管理构）在结算合同款项时，检查核对合同和《编目确认单》，并将相关数据导入资产管理、结算报销信息系统。若无《编目确认单》或《编目确认单》中的“合同编号”与合同不一致的，不予结算。</w:t>
            </w:r>
          </w:p>
        </w:tc>
      </w:tr>
      <w:tr w14:paraId="21583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B4C2A4">
            <w:pPr>
              <w:pStyle w:val="4"/>
              <w:jc w:val="left"/>
            </w:pPr>
            <w:r>
              <w:t>5</w:t>
            </w:r>
          </w:p>
        </w:tc>
        <w:tc>
          <w:tcPr>
            <w:tcW w:w="2076" w:type="dxa"/>
          </w:tcPr>
          <w:p w14:paraId="0F410198">
            <w:pPr>
              <w:pStyle w:val="4"/>
              <w:jc w:val="left"/>
            </w:pPr>
            <w:r>
              <w:t>★</w:t>
            </w:r>
          </w:p>
        </w:tc>
        <w:tc>
          <w:tcPr>
            <w:tcW w:w="2076" w:type="dxa"/>
          </w:tcPr>
          <w:p w14:paraId="52890C67">
            <w:pPr>
              <w:pStyle w:val="4"/>
              <w:jc w:val="left"/>
            </w:pPr>
            <w:r>
              <w:t>付款及结算方式</w:t>
            </w:r>
          </w:p>
        </w:tc>
        <w:tc>
          <w:tcPr>
            <w:tcW w:w="2076" w:type="dxa"/>
          </w:tcPr>
          <w:p w14:paraId="3B19B0D4">
            <w:pPr>
              <w:pStyle w:val="4"/>
              <w:jc w:val="left"/>
            </w:pPr>
            <w:r>
              <w:t>分阶段付款，第一阶段，乙方完成深化设计方案拟制并通过专家评审后 ，提交方案评审意见表等结算材料，甲方支付合同金额的 10%；第二阶段，乙方完成开发和测试确认后，甲方组织系统管理、使用单位相关人员，根据《软件开发服务考核要求（包1）》（见附件软件开发服务考核要求（包1））对中标供应商进行考核（考核以打分形式形成考核结论，项目建设期间组织一次服务考核，该考核周期为项目开工后至验收前。考核总分为1000分，900分至1000分为优秀，每分按照1000元扣取；800分至900分为良好，每分按2000元扣取；800分至600分为合格，每分按3000元扣取。考核总分低于600分为不合格，甲方有权解除合同），提交考核分数记录表等结算材料，甲方支付合同金额的75%并按照考核总分扣取相应罚款；第三阶段乙方完成该项目与所有其他系统平台的对接并通过验收后 ，提交验收报告等结算材料，甲方支付合同金额的15%。</w:t>
            </w:r>
          </w:p>
        </w:tc>
      </w:tr>
      <w:tr w14:paraId="0A4B6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42043F5">
            <w:pPr>
              <w:pStyle w:val="4"/>
              <w:jc w:val="left"/>
            </w:pPr>
            <w:r>
              <w:t>6</w:t>
            </w:r>
          </w:p>
        </w:tc>
        <w:tc>
          <w:tcPr>
            <w:tcW w:w="2076" w:type="dxa"/>
          </w:tcPr>
          <w:p w14:paraId="26DFB676">
            <w:pPr>
              <w:pStyle w:val="4"/>
              <w:jc w:val="left"/>
            </w:pPr>
            <w:r>
              <w:t>★</w:t>
            </w:r>
          </w:p>
        </w:tc>
        <w:tc>
          <w:tcPr>
            <w:tcW w:w="2076" w:type="dxa"/>
          </w:tcPr>
          <w:p w14:paraId="52F6E3F5">
            <w:pPr>
              <w:pStyle w:val="4"/>
              <w:jc w:val="left"/>
            </w:pPr>
            <w:r>
              <w:t>履约保证金</w:t>
            </w:r>
          </w:p>
        </w:tc>
        <w:tc>
          <w:tcPr>
            <w:tcW w:w="2076" w:type="dxa"/>
          </w:tcPr>
          <w:p w14:paraId="06F3C9F3">
            <w:pPr>
              <w:pStyle w:val="4"/>
              <w:jc w:val="left"/>
            </w:pPr>
            <w:r>
              <w:t>（1）本合同履约保证金为合同金额的5%。乙方应当在签订合同前15日内缴纳履约保证金。</w:t>
            </w:r>
            <w:r>
              <w:br w:type="textWrapping"/>
            </w:r>
            <w:r>
              <w:t>（2）乙方在合同履行过程中存在违约行为，合同被甲方终止的，甲方有权没收乙方履约保证金。</w:t>
            </w:r>
            <w:r>
              <w:br w:type="textWrapping"/>
            </w:r>
            <w:r>
              <w:t>（3）履约保证金在合同最终支付结算时，转为质量保证金。</w:t>
            </w:r>
            <w:r>
              <w:br w:type="textWrapping"/>
            </w:r>
            <w:r>
              <w:t>（4）乙方应当向甲方支付合同项下的违约金或赔偿金时，甲方有权从履约保证金中予以扣除。</w:t>
            </w:r>
          </w:p>
        </w:tc>
      </w:tr>
      <w:tr w14:paraId="75014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8C191F">
            <w:pPr>
              <w:pStyle w:val="4"/>
              <w:jc w:val="left"/>
            </w:pPr>
            <w:r>
              <w:t>7</w:t>
            </w:r>
          </w:p>
        </w:tc>
        <w:tc>
          <w:tcPr>
            <w:tcW w:w="2076" w:type="dxa"/>
          </w:tcPr>
          <w:p w14:paraId="4285E8FA">
            <w:pPr>
              <w:pStyle w:val="4"/>
              <w:jc w:val="left"/>
            </w:pPr>
            <w:r>
              <w:t>★</w:t>
            </w:r>
          </w:p>
        </w:tc>
        <w:tc>
          <w:tcPr>
            <w:tcW w:w="2076" w:type="dxa"/>
          </w:tcPr>
          <w:p w14:paraId="0F99C2A6">
            <w:pPr>
              <w:pStyle w:val="4"/>
              <w:jc w:val="left"/>
            </w:pPr>
            <w:r>
              <w:t>其他</w:t>
            </w:r>
          </w:p>
        </w:tc>
        <w:tc>
          <w:tcPr>
            <w:tcW w:w="2076" w:type="dxa"/>
          </w:tcPr>
          <w:p w14:paraId="13E8D6BF">
            <w:pPr>
              <w:pStyle w:val="4"/>
              <w:jc w:val="left"/>
            </w:pPr>
            <w:r>
              <w:t>其他实施意见：</w:t>
            </w:r>
            <w:r>
              <w:br w:type="textWrapping"/>
            </w:r>
            <w:r>
              <w:t>在本合同项目建设实施期间，凡增加任务量对应合同金额在10%以内，不计入结算价格；减少的按核减量降价结算。增加任务量对应合同金额在10%-50%以内（不含10%），甲方经评估符合单一来源采购条件的，中标供应商需提供15%的优惠比例（即中标供应商在正常市场报价基础上下浮15%），由甲方按规定自行组织采购，另行签订合同，按审价有关规定和优惠比例结算。若中标供应商拒绝按照本合同约定的优惠比例承接后续开发任务，或中标供应商的技术服务无法满足甲方要求，甲方有权引入第三方供应商进行开发，中标供应商须向第三方提供必要的技术文档、接口说明及源代码，并配合完成技术交接，由此产生的合理配合费用由双方在交接前协商确定。</w:t>
            </w:r>
          </w:p>
        </w:tc>
      </w:tr>
      <w:tr w14:paraId="08B9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239877">
            <w:pPr>
              <w:pStyle w:val="4"/>
              <w:jc w:val="left"/>
            </w:pPr>
            <w:r>
              <w:t>8</w:t>
            </w:r>
          </w:p>
        </w:tc>
        <w:tc>
          <w:tcPr>
            <w:tcW w:w="2076" w:type="dxa"/>
          </w:tcPr>
          <w:p w14:paraId="091170A0">
            <w:pPr>
              <w:pStyle w:val="4"/>
              <w:jc w:val="left"/>
            </w:pPr>
            <w:r>
              <w:t>★</w:t>
            </w:r>
          </w:p>
        </w:tc>
        <w:tc>
          <w:tcPr>
            <w:tcW w:w="2076" w:type="dxa"/>
          </w:tcPr>
          <w:p w14:paraId="57F02B22">
            <w:pPr>
              <w:pStyle w:val="4"/>
              <w:jc w:val="left"/>
            </w:pPr>
            <w:r>
              <w:t>报价要求</w:t>
            </w:r>
          </w:p>
        </w:tc>
        <w:tc>
          <w:tcPr>
            <w:tcW w:w="2076" w:type="dxa"/>
          </w:tcPr>
          <w:p w14:paraId="357756B0">
            <w:pPr>
              <w:pStyle w:val="4"/>
              <w:jc w:val="left"/>
            </w:pPr>
            <w:r>
              <w:t>报价须为人民币报价，投标报价包含项目所需的调研、设计、硬件设备、软件平台开发部署、文档编制、售后服务和培训相关的直接费、间接费、技术处理措施费、利润、税金、安装调试费、安全测评费、专项测试费、运输费及完成本项目所需要的其他一切费用。因投标供应商自身原因造成的漏报、少报皆由投标供应商自行承担责任，甲方不再补偿。</w:t>
            </w:r>
          </w:p>
        </w:tc>
      </w:tr>
      <w:tr w14:paraId="3FC8C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268B2A">
            <w:pPr>
              <w:pStyle w:val="4"/>
              <w:jc w:val="left"/>
            </w:pPr>
            <w:r>
              <w:t>9</w:t>
            </w:r>
          </w:p>
        </w:tc>
        <w:tc>
          <w:tcPr>
            <w:tcW w:w="2076" w:type="dxa"/>
          </w:tcPr>
          <w:p w14:paraId="53F87853">
            <w:pPr>
              <w:pStyle w:val="4"/>
              <w:jc w:val="left"/>
            </w:pPr>
            <w:r>
              <w:t>★</w:t>
            </w:r>
          </w:p>
        </w:tc>
        <w:tc>
          <w:tcPr>
            <w:tcW w:w="2076" w:type="dxa"/>
          </w:tcPr>
          <w:p w14:paraId="20360DBB">
            <w:pPr>
              <w:pStyle w:val="4"/>
              <w:jc w:val="left"/>
            </w:pPr>
            <w:r>
              <w:t>其他</w:t>
            </w:r>
          </w:p>
        </w:tc>
        <w:tc>
          <w:tcPr>
            <w:tcW w:w="2076" w:type="dxa"/>
          </w:tcPr>
          <w:p w14:paraId="51154426">
            <w:pPr>
              <w:pStyle w:val="4"/>
              <w:jc w:val="left"/>
            </w:pPr>
            <w:r>
              <w:t>质量保证金：</w:t>
            </w:r>
            <w:r>
              <w:br w:type="textWrapping"/>
            </w:r>
            <w:r>
              <w:t>（1）服务验收合格并交付甲方后：</w:t>
            </w:r>
            <w:r>
              <w:br w:type="textWrapping"/>
            </w:r>
            <w:r>
              <w:t>①乙方提供合同金额的5%作为质量保证金。</w:t>
            </w:r>
            <w:r>
              <w:br w:type="textWrapping"/>
            </w:r>
            <w:r>
              <w:t>②质量保证金从履约保证金中扣留。</w:t>
            </w:r>
            <w:r>
              <w:br w:type="textWrapping"/>
            </w:r>
            <w:r>
              <w:t>在质保期内，软件因乙方责任产生质量问题未予以补救，或者予以补救后仍然造成损失的，甲方有权直接从质量保证金扣除相应损失。</w:t>
            </w:r>
            <w:r>
              <w:br w:type="textWrapping"/>
            </w:r>
            <w:r>
              <w:t>（2）质量保证金在质保期满且无质量问题时全额无息退还。本合同约定的质保期满，甲方接到乙方质量保证金返还申请后，应当于30日内核实质量情况，办理质量保证金返还。</w:t>
            </w:r>
          </w:p>
        </w:tc>
      </w:tr>
      <w:tr w14:paraId="3FA7A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197774">
            <w:pPr>
              <w:pStyle w:val="4"/>
              <w:jc w:val="left"/>
            </w:pPr>
            <w:r>
              <w:t>10</w:t>
            </w:r>
          </w:p>
        </w:tc>
        <w:tc>
          <w:tcPr>
            <w:tcW w:w="2076" w:type="dxa"/>
          </w:tcPr>
          <w:p w14:paraId="0DE3A07B">
            <w:pPr>
              <w:pStyle w:val="4"/>
              <w:jc w:val="left"/>
            </w:pPr>
            <w:r>
              <w:t>★</w:t>
            </w:r>
          </w:p>
        </w:tc>
        <w:tc>
          <w:tcPr>
            <w:tcW w:w="2076" w:type="dxa"/>
          </w:tcPr>
          <w:p w14:paraId="66F655C2">
            <w:pPr>
              <w:pStyle w:val="4"/>
              <w:jc w:val="left"/>
            </w:pPr>
            <w:r>
              <w:t>其他</w:t>
            </w:r>
          </w:p>
        </w:tc>
        <w:tc>
          <w:tcPr>
            <w:tcW w:w="2076" w:type="dxa"/>
          </w:tcPr>
          <w:p w14:paraId="4A870308">
            <w:pPr>
              <w:pStyle w:val="4"/>
              <w:jc w:val="left"/>
            </w:pPr>
            <w:r>
              <w:t>（1）验收后5年内，针对本项目交付的系统和应用，提供免费的版本升级服务，保证技术的可持续发展。如果是货架产品，甲方有权要求与最近2个月内官方发布的最新版本保持一致。</w:t>
            </w:r>
            <w:r>
              <w:br w:type="textWrapping"/>
            </w:r>
            <w:r>
              <w:t>（2）验收后5年内，针对本项目交付的系统和应用，如果出现安全漏洞，应提供免费的安全漏洞修补服务。</w:t>
            </w:r>
            <w:r>
              <w:br w:type="textWrapping"/>
            </w:r>
            <w:r>
              <w:t>（3）针对本项目交付的系统和应用，出现高危漏洞，终身提供免费的安全漏洞检查及修补服务。</w:t>
            </w:r>
            <w:r>
              <w:br w:type="textWrapping"/>
            </w:r>
            <w:r>
              <w:t>（4）针对本项目交付的系统和应用，存在漏洞、缺陷等，致使不能正常运行，应终身提供免费的修正和消缺服务。</w:t>
            </w:r>
          </w:p>
        </w:tc>
      </w:tr>
      <w:tr w14:paraId="29FD3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762AB0">
            <w:pPr>
              <w:pStyle w:val="4"/>
              <w:jc w:val="left"/>
            </w:pPr>
            <w:r>
              <w:t>11</w:t>
            </w:r>
          </w:p>
        </w:tc>
        <w:tc>
          <w:tcPr>
            <w:tcW w:w="2076" w:type="dxa"/>
          </w:tcPr>
          <w:p w14:paraId="05E8D2EA">
            <w:pPr>
              <w:pStyle w:val="4"/>
              <w:jc w:val="left"/>
            </w:pPr>
            <w:r>
              <w:t>★</w:t>
            </w:r>
          </w:p>
        </w:tc>
        <w:tc>
          <w:tcPr>
            <w:tcW w:w="2076" w:type="dxa"/>
          </w:tcPr>
          <w:p w14:paraId="7FA59E0D">
            <w:pPr>
              <w:pStyle w:val="4"/>
              <w:jc w:val="left"/>
            </w:pPr>
            <w:r>
              <w:t>其他</w:t>
            </w:r>
          </w:p>
        </w:tc>
        <w:tc>
          <w:tcPr>
            <w:tcW w:w="2076" w:type="dxa"/>
          </w:tcPr>
          <w:p w14:paraId="1BFA8B78">
            <w:pPr>
              <w:pStyle w:val="4"/>
              <w:jc w:val="left"/>
            </w:pPr>
            <w:r>
              <w:t>违约责任：</w:t>
            </w:r>
            <w:r>
              <w:br w:type="textWrapping"/>
            </w:r>
            <w:r>
              <w:t>（1）在履行合同过程中发生下列情形之一的，属乙方违约。乙方违约应当向甲方偿付违约金，违约金每天按合同总金额的 1‰计算，违约金最高限额为合同总金额的 5% 。如果达到违约金最高限额时仍存在下列违约情形时，甲方可以终止合同，而由此给甲方造成的实际损失，乙方应给予足额赔偿：</w:t>
            </w:r>
            <w:r>
              <w:br w:type="textWrapping"/>
            </w:r>
            <w:r>
              <w:t>a.乙方交付服务成果文件不符合合同约定；</w:t>
            </w:r>
            <w:r>
              <w:br w:type="textWrapping"/>
            </w:r>
            <w:r>
              <w:t>b.乙方违反合同约定，将合同转让给第三方；</w:t>
            </w:r>
            <w:r>
              <w:br w:type="textWrapping"/>
            </w:r>
            <w:r>
              <w:t>c.乙方违反合同约定，将合同项下的工作分包给第三人；</w:t>
            </w:r>
            <w:r>
              <w:br w:type="textWrapping"/>
            </w:r>
            <w:r>
              <w:t>d.乙方未能按合同约定的期限交付服务成果文件；</w:t>
            </w:r>
            <w:r>
              <w:br w:type="textWrapping"/>
            </w:r>
            <w:r>
              <w:t>e.乙方无法继续履行或明确表示不履行或实质上停止履行合同；</w:t>
            </w:r>
            <w:r>
              <w:br w:type="textWrapping"/>
            </w:r>
            <w:r>
              <w:t>f.乙方不按合同约定履行义务的其他情况。</w:t>
            </w:r>
            <w:r>
              <w:br w:type="textWrapping"/>
            </w:r>
            <w:r>
              <w:t>（2）乙方为甲方实施的服务，不能按合同约定进场提供服务，或不能满足合同约定的服务内容和标准等要求的，甲方可按合同约定的分期考核标准扣减相应的服务酬金。因乙方违反合同约定给甲方造成损失的，乙方应当赔偿甲方损失。</w:t>
            </w:r>
            <w:r>
              <w:br w:type="textWrapping"/>
            </w:r>
            <w:r>
              <w:t>（3）甲方需按约定及时足额支付服务款，未按约定及时足额支付服务款时，甲方向乙方偿付违约金。每迟付一天按合同总金额1‰向乙方偿付违约金，违约金最高限额为合同总金额的5%。有特殊情况的，可根据项目情况由甲乙双方自行协商约定。</w:t>
            </w:r>
            <w:r>
              <w:br w:type="textWrapping"/>
            </w:r>
            <w:r>
              <w:t>（4）若因乙方所交付的货物/服务质量问题或乙方其他原因造成甲方损失（包括但不限于质量问题造成甲方的损失、推迟使用的损失、支付第三方的索赔以及追究乙方违约责任所支付的律师费、调查取证费、保全费、担保费、诉讼费、仲裁费、差旅费等费用），甲方有权要求乙方予以全额赔偿。</w:t>
            </w:r>
          </w:p>
        </w:tc>
      </w:tr>
      <w:tr w14:paraId="07CB6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316833">
            <w:pPr>
              <w:pStyle w:val="4"/>
              <w:jc w:val="left"/>
            </w:pPr>
            <w:r>
              <w:t>12</w:t>
            </w:r>
          </w:p>
        </w:tc>
        <w:tc>
          <w:tcPr>
            <w:tcW w:w="2076" w:type="dxa"/>
          </w:tcPr>
          <w:p w14:paraId="02ADF432">
            <w:pPr>
              <w:pStyle w:val="4"/>
              <w:jc w:val="left"/>
            </w:pPr>
            <w:r>
              <w:t>★</w:t>
            </w:r>
          </w:p>
        </w:tc>
        <w:tc>
          <w:tcPr>
            <w:tcW w:w="2076" w:type="dxa"/>
          </w:tcPr>
          <w:p w14:paraId="65D7A918">
            <w:pPr>
              <w:pStyle w:val="4"/>
              <w:jc w:val="left"/>
            </w:pPr>
            <w:r>
              <w:t>其他</w:t>
            </w:r>
          </w:p>
        </w:tc>
        <w:tc>
          <w:tcPr>
            <w:tcW w:w="2076" w:type="dxa"/>
          </w:tcPr>
          <w:p w14:paraId="0C067F61">
            <w:pPr>
              <w:pStyle w:val="4"/>
              <w:jc w:val="left"/>
            </w:pPr>
            <w:r>
              <w:t>争议处理：</w:t>
            </w:r>
            <w:r>
              <w:br w:type="textWrapping"/>
            </w:r>
            <w:r>
              <w:t>合同履行过程中发生争议，调解不成功的，甲方或者乙方可以向甲方所在地人民法院提起诉讼。</w:t>
            </w:r>
          </w:p>
        </w:tc>
      </w:tr>
      <w:tr w14:paraId="294F9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E98ED6">
            <w:pPr>
              <w:pStyle w:val="4"/>
              <w:jc w:val="left"/>
            </w:pPr>
            <w:r>
              <w:t>13</w:t>
            </w:r>
          </w:p>
        </w:tc>
        <w:tc>
          <w:tcPr>
            <w:tcW w:w="2076" w:type="dxa"/>
          </w:tcPr>
          <w:p w14:paraId="45F5FC23">
            <w:pPr>
              <w:pStyle w:val="4"/>
              <w:jc w:val="left"/>
            </w:pPr>
            <w:r>
              <w:t>★</w:t>
            </w:r>
          </w:p>
        </w:tc>
        <w:tc>
          <w:tcPr>
            <w:tcW w:w="2076" w:type="dxa"/>
          </w:tcPr>
          <w:p w14:paraId="06FA70C9">
            <w:pPr>
              <w:pStyle w:val="4"/>
              <w:jc w:val="left"/>
            </w:pPr>
            <w:r>
              <w:t>其他</w:t>
            </w:r>
          </w:p>
        </w:tc>
        <w:tc>
          <w:tcPr>
            <w:tcW w:w="2076" w:type="dxa"/>
          </w:tcPr>
          <w:p w14:paraId="727ED2E7">
            <w:pPr>
              <w:pStyle w:val="4"/>
              <w:jc w:val="left"/>
            </w:pPr>
            <w:r>
              <w:t>第三方测试</w:t>
            </w:r>
            <w:r>
              <w:br w:type="textWrapping"/>
            </w:r>
            <w:r>
              <w:t>(1)乙方编制软件测试大纲，提交甲方审核和确认。</w:t>
            </w:r>
            <w:r>
              <w:br w:type="textWrapping"/>
            </w:r>
            <w:r>
              <w:t>(2)甲方成立由甲方代表和有关专家等人员组成的验收小组,负责软件测试验收工作，乙方应当全程参与测试验收。按照审定的软件测试大纲，由第三方专业机构对软件进行测试，相关费用由甲方承担。</w:t>
            </w:r>
            <w:r>
              <w:br w:type="textWrapping"/>
            </w:r>
            <w:r>
              <w:t>(3)软件测试完成后，第三方专业机构出具测试报告,作为合同最终验收的依据。测试结果表明软件存在故障或缺陷的，乙方应当予以改进和纠正，因此造成交付延期或给甲方造成损失的，按本合同有关条款承担违约责任。</w:t>
            </w:r>
            <w:r>
              <w:br w:type="textWrapping"/>
            </w:r>
            <w:r>
              <w:t>(4)甲方组织软件试运行，时间1个月，试运行情况作为合同最终验收的依据。期间，乙方应全程配合并对出现的故障或缺陷，进行改进和纠正，确保软件正常运行。</w:t>
            </w:r>
          </w:p>
        </w:tc>
      </w:tr>
    </w:tbl>
    <w:p w14:paraId="2D103287">
      <w:pPr>
        <w:pStyle w:val="4"/>
        <w:jc w:val="left"/>
        <w:outlineLvl w:val="2"/>
      </w:pPr>
      <w:r>
        <w:rPr>
          <w:b/>
          <w:sz w:val="28"/>
        </w:rPr>
        <w:t>二、技术要求</w:t>
      </w:r>
    </w:p>
    <w:p w14:paraId="15DCDC0D">
      <w:pPr>
        <w:pStyle w:val="4"/>
        <w:jc w:val="left"/>
      </w:pPr>
      <w:r>
        <w:t>概述：</w:t>
      </w:r>
    </w:p>
    <w:p w14:paraId="1CFC971F">
      <w:pPr>
        <w:pStyle w:val="4"/>
        <w:jc w:val="left"/>
      </w:pPr>
      <w:r>
        <w:t>无</w:t>
      </w:r>
    </w:p>
    <w:p w14:paraId="3B8FA46B">
      <w:pPr>
        <w:pStyle w:val="4"/>
        <w:jc w:val="left"/>
      </w:pPr>
      <w:r>
        <w:t>采购包1：</w:t>
      </w:r>
    </w:p>
    <w:p w14:paraId="258429B7">
      <w:pPr>
        <w:pStyle w:val="4"/>
      </w:pPr>
      <w:r>
        <w:t>1-1 标的名称：统一门户与身份认证平台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34F0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637AC2">
            <w:pPr>
              <w:pStyle w:val="4"/>
              <w:jc w:val="center"/>
            </w:pPr>
            <w:r>
              <w:t xml:space="preserve"> 参数性质</w:t>
            </w:r>
          </w:p>
        </w:tc>
        <w:tc>
          <w:tcPr>
            <w:tcW w:w="2769" w:type="dxa"/>
          </w:tcPr>
          <w:p w14:paraId="197298D1">
            <w:pPr>
              <w:pStyle w:val="4"/>
              <w:jc w:val="center"/>
            </w:pPr>
            <w:r>
              <w:t xml:space="preserve"> 序号</w:t>
            </w:r>
          </w:p>
        </w:tc>
        <w:tc>
          <w:tcPr>
            <w:tcW w:w="2769" w:type="dxa"/>
          </w:tcPr>
          <w:p w14:paraId="00FCEDE7">
            <w:pPr>
              <w:pStyle w:val="4"/>
              <w:jc w:val="center"/>
            </w:pPr>
            <w:r>
              <w:t xml:space="preserve"> 技术参数与性能指标</w:t>
            </w:r>
          </w:p>
        </w:tc>
      </w:tr>
      <w:tr w14:paraId="6F352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C2BF7C"/>
        </w:tc>
        <w:tc>
          <w:tcPr>
            <w:tcW w:w="2769" w:type="dxa"/>
          </w:tcPr>
          <w:p w14:paraId="493E5D68">
            <w:pPr>
              <w:pStyle w:val="4"/>
              <w:jc w:val="center"/>
            </w:pPr>
            <w:r>
              <w:t>1</w:t>
            </w:r>
          </w:p>
        </w:tc>
        <w:tc>
          <w:tcPr>
            <w:tcW w:w="2769" w:type="dxa"/>
          </w:tcPr>
          <w:p w14:paraId="37F4D28F">
            <w:pPr>
              <w:pStyle w:val="4"/>
            </w:pPr>
            <w:r>
              <w:t>智慧校园软件底座项目性能指标</w:t>
            </w:r>
          </w:p>
          <w:p w14:paraId="117CDE43">
            <w:pPr>
              <w:pStyle w:val="4"/>
            </w:pPr>
            <w:r>
              <w:t>1通用性能指标</w:t>
            </w:r>
          </w:p>
          <w:p w14:paraId="41BA8E11">
            <w:pPr>
              <w:pStyle w:val="4"/>
            </w:pPr>
            <w:r>
              <w:t>（1）最大支持同时在线人数：≥5000人；</w:t>
            </w:r>
          </w:p>
          <w:p w14:paraId="04C3DD6B">
            <w:pPr>
              <w:pStyle w:val="4"/>
            </w:pPr>
            <w:r>
              <w:t>（2）有效工作时间：≥99%；</w:t>
            </w:r>
          </w:p>
          <w:p w14:paraId="7936E02E">
            <w:pPr>
              <w:pStyle w:val="4"/>
            </w:pPr>
            <w:r>
              <w:t>（3）系统故障平均间隔时间：≥200天；</w:t>
            </w:r>
          </w:p>
          <w:p w14:paraId="2EC12400">
            <w:pPr>
              <w:pStyle w:val="4"/>
            </w:pPr>
            <w:r>
              <w:t>（4）业务操作平均响应时间小于3秒钟，数据统计时间小于20秒钟；</w:t>
            </w:r>
          </w:p>
          <w:p w14:paraId="168F6528">
            <w:pPr>
              <w:pStyle w:val="4"/>
            </w:pPr>
            <w:r>
              <w:t>（5）系统支持7*24小时运行，年故障时间≤24小时/年，故障恢复时间&lt;12小时；</w:t>
            </w:r>
          </w:p>
          <w:p w14:paraId="1858685E">
            <w:pPr>
              <w:pStyle w:val="4"/>
            </w:pPr>
            <w:r>
              <w:t>（6）各类固定统计报表形成时间：≤2分钟；</w:t>
            </w:r>
          </w:p>
          <w:p w14:paraId="692D9B0E">
            <w:pPr>
              <w:pStyle w:val="4"/>
            </w:pPr>
            <w:r>
              <w:t>（7）地图查询定位时间：≤5秒；</w:t>
            </w:r>
          </w:p>
          <w:p w14:paraId="6BCB889B">
            <w:pPr>
              <w:pStyle w:val="4"/>
            </w:pPr>
            <w:r>
              <w:t>（8）系统能提供标准化的接口，能提供与其他业务系统的必要接口；</w:t>
            </w:r>
          </w:p>
          <w:p w14:paraId="0BE28240">
            <w:pPr>
              <w:pStyle w:val="4"/>
            </w:pPr>
            <w:r>
              <w:t>（9）系统故障恢复时间：≤30分钟；</w:t>
            </w:r>
          </w:p>
          <w:p w14:paraId="1B51F074">
            <w:pPr>
              <w:pStyle w:val="4"/>
            </w:pPr>
            <w:r>
              <w:t>（10）系统不会出现因为程序本身有错误而造成的功能不正常、死机、数据丢失、非正常中断、资源无法释放等现象，不能出现数据不一致的错误；</w:t>
            </w:r>
          </w:p>
          <w:p w14:paraId="75710E86">
            <w:pPr>
              <w:pStyle w:val="4"/>
            </w:pPr>
            <w:r>
              <w:t>（11）具有良好的数据安全保障机制，对数据采取集中管理和存储的模式，数据库结构设计良好，具有迅速的数据检索能力；</w:t>
            </w:r>
          </w:p>
          <w:p w14:paraId="6557B9B4">
            <w:pPr>
              <w:pStyle w:val="4"/>
            </w:pPr>
            <w:r>
              <w:t>（12）系统需具备故障快速恢复能力。在发生一般性服务中断（非数据丢失）时，平均修复时间应≤30分钟，在发生严重故障（如服务器宕机时），恢复服务时间应≤2小时；</w:t>
            </w:r>
          </w:p>
          <w:p w14:paraId="0DB8B84D">
            <w:pPr>
              <w:pStyle w:val="4"/>
            </w:pPr>
            <w:r>
              <w:t>（13）系统在用户出现错误操作时能进行提示，并自动停止该操作。</w:t>
            </w:r>
          </w:p>
          <w:p w14:paraId="67F29CC9">
            <w:pPr>
              <w:pStyle w:val="4"/>
            </w:pPr>
            <w:r>
              <w:t>2安全防护要求</w:t>
            </w:r>
          </w:p>
          <w:p w14:paraId="79B1DABB">
            <w:pPr>
              <w:pStyle w:val="4"/>
            </w:pPr>
            <w:r>
              <w:t>（1）设备的软硬件在安全性、安全审计、日志管理等应满足相关技术规范中的要求；</w:t>
            </w:r>
          </w:p>
          <w:p w14:paraId="71F0185C">
            <w:pPr>
              <w:pStyle w:val="4"/>
            </w:pPr>
            <w:r>
              <w:t>（2）系统应提供有效的安全保密措施，确保系统和数据资源的安全，防止对系统资源的非法侵入。用户数据应采取安全措施，防止用户数据泄密、丢失和被非法修改，保障用户利益。不同的操作员具有不同的数据访问权限和功能操作权限，系统管理员应能对各操作员的权限进行配置和管理；</w:t>
            </w:r>
          </w:p>
          <w:p w14:paraId="3E07CA1A">
            <w:pPr>
              <w:pStyle w:val="4"/>
            </w:pPr>
            <w:r>
              <w:t>（3）确定系统数据的备份方式，以及灾难恢复方式以及所需时间。</w:t>
            </w:r>
          </w:p>
          <w:p w14:paraId="2F56634F">
            <w:pPr>
              <w:pStyle w:val="4"/>
            </w:pPr>
            <w:r>
              <w:t>3国产化要求</w:t>
            </w:r>
          </w:p>
          <w:p w14:paraId="1591DEC5">
            <w:pPr>
              <w:pStyle w:val="4"/>
            </w:pPr>
            <w:r>
              <w:t>与现有国产化软硬件环境（包括不限于国产操作系统、国产数据库、国产中间件、国产服务器）适配。</w:t>
            </w:r>
          </w:p>
          <w:p w14:paraId="7D458534">
            <w:pPr>
              <w:pStyle w:val="4"/>
            </w:pPr>
            <w:r>
              <w:t>4部署要求</w:t>
            </w:r>
          </w:p>
          <w:p w14:paraId="54EE8D1D">
            <w:pPr>
              <w:pStyle w:val="4"/>
            </w:pPr>
            <w:r>
              <w:t>大学在重庆市沙坪坝区、天津市河东区、安徽蚌埠市3个校区，要求各部署一套留存本地数据，重庆市沙坪坝区为中心节点，汇总管理所有校区数据。</w:t>
            </w:r>
          </w:p>
        </w:tc>
      </w:tr>
      <w:tr w14:paraId="33BF8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4FA18F"/>
        </w:tc>
        <w:tc>
          <w:tcPr>
            <w:tcW w:w="2769" w:type="dxa"/>
          </w:tcPr>
          <w:p w14:paraId="5E4DCAF0">
            <w:pPr>
              <w:pStyle w:val="4"/>
              <w:jc w:val="center"/>
            </w:pPr>
            <w:r>
              <w:t>2</w:t>
            </w:r>
          </w:p>
        </w:tc>
        <w:tc>
          <w:tcPr>
            <w:tcW w:w="2769" w:type="dxa"/>
          </w:tcPr>
          <w:p w14:paraId="40A9809B">
            <w:pPr>
              <w:pStyle w:val="4"/>
            </w:pPr>
            <w:r>
              <w:t>统一门户与身份认证平台功能概述</w:t>
            </w:r>
          </w:p>
          <w:p w14:paraId="042CDEDF">
            <w:pPr>
              <w:pStyle w:val="4"/>
            </w:pPr>
            <w:r>
              <w:t>建设统一门户，实现智慧校园入口及认证平台的统一，为校内重要信息系统提供身份认证服务，作为全校身份数据的权威源，为各信息系统提供调用服务，师生员工可凭借统一的账号和口令，通过一个入口实现在校内重要信息系统之间的无缝漫游。</w:t>
            </w:r>
          </w:p>
        </w:tc>
      </w:tr>
      <w:tr w14:paraId="40FF2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F25FA7"/>
        </w:tc>
        <w:tc>
          <w:tcPr>
            <w:tcW w:w="2769" w:type="dxa"/>
          </w:tcPr>
          <w:p w14:paraId="5EEA42CD">
            <w:pPr>
              <w:pStyle w:val="4"/>
              <w:jc w:val="center"/>
            </w:pPr>
            <w:r>
              <w:t>3</w:t>
            </w:r>
          </w:p>
        </w:tc>
        <w:tc>
          <w:tcPr>
            <w:tcW w:w="2769" w:type="dxa"/>
          </w:tcPr>
          <w:p w14:paraId="1F095F67">
            <w:pPr>
              <w:pStyle w:val="4"/>
            </w:pPr>
            <w:r>
              <w:t>信息融合门户</w:t>
            </w:r>
          </w:p>
          <w:p w14:paraId="7E5C0B60">
            <w:pPr>
              <w:pStyle w:val="4"/>
            </w:pPr>
            <w:r>
              <w:t>部署环境为校园网。统一智慧校园软件所有界面风格，出具《UI设计规范文档》。</w:t>
            </w:r>
          </w:p>
          <w:p w14:paraId="06DBC737">
            <w:pPr>
              <w:pStyle w:val="4"/>
            </w:pPr>
            <w:r>
              <w:t>（1）公共门户</w:t>
            </w:r>
          </w:p>
          <w:p w14:paraId="0ACAC122">
            <w:pPr>
              <w:pStyle w:val="4"/>
            </w:pPr>
            <w:r>
              <w:t>公共门户提供集中的平台供师生员工浏览和获取学校的各类公共信息，同时集成网上办事大厅，学校教职工及学员可通过该系统实现跨部门业务办理，主要建设常用服务、重要信息展示、公共发布、以及调用其他需要在公共门户展示的模块。</w:t>
            </w:r>
          </w:p>
          <w:p w14:paraId="2931D5E2">
            <w:pPr>
              <w:pStyle w:val="4"/>
            </w:pPr>
            <w:r>
              <w:t>①常用服务</w:t>
            </w:r>
          </w:p>
          <w:p w14:paraId="7D8E0FCE">
            <w:pPr>
              <w:pStyle w:val="4"/>
            </w:pPr>
            <w:r>
              <w:t>支持自动识别并列出教学、科研等服务领域中教员和学员使用较为频繁的业务系统。用户可通过该功能实现高频业务的精准定位与快速跳转，系统具备基于用户身份特征和行为偏好的智能排序能力，支持根据点击量、办理量等维度进行动态更新。提供个性化服务推荐界面，支持对常用服务进行收藏、置顶等快捷操作，显著提升用户对核心业务系统的访问效率。</w:t>
            </w:r>
          </w:p>
          <w:p w14:paraId="17B08581">
            <w:pPr>
              <w:pStyle w:val="4"/>
            </w:pPr>
            <w:r>
              <w:t>②重要信息展示</w:t>
            </w:r>
          </w:p>
          <w:p w14:paraId="4682D5C6">
            <w:pPr>
              <w:pStyle w:val="4"/>
            </w:pPr>
            <w:r>
              <w:t>提供统一的信息展示与搜索功能，支持在门户显著位置集中查看校内各类重要信息内容，涵盖通知公告、新闻动态、学术讲座、校园活动、通知事项及学术会议等。具备多维度信息聚合能力，支持通过关键词、发布时间、信息类别等条件开展全局搜索，用户可快速定位并获取所需的各类校园资讯。提供灵活的信息分类管理界面，支持对不同来源、不同主题的信息进行集中管理与发布配置。</w:t>
            </w:r>
          </w:p>
          <w:p w14:paraId="2C713A12">
            <w:pPr>
              <w:pStyle w:val="4"/>
            </w:pPr>
            <w:r>
              <w:t>③信息通知</w:t>
            </w:r>
          </w:p>
          <w:p w14:paraId="277E5B3B">
            <w:pPr>
              <w:pStyle w:val="4"/>
            </w:pPr>
            <w:r>
              <w:t>提供消息通知与提醒服务，支持对接校园即时通信软件，实现待办事项、预警信息等关键业务状态的实时推送。具备多渠道消息分发功能，用户可通过即时通信工具实时接收业务审批提醒、系统告警、通知公告等重要资讯，并支持通过点击通知直接跳转至相关业务办理页面。</w:t>
            </w:r>
          </w:p>
          <w:p w14:paraId="35707222">
            <w:pPr>
              <w:pStyle w:val="4"/>
            </w:pPr>
            <w:r>
              <w:t>④公告发布</w:t>
            </w:r>
          </w:p>
          <w:p w14:paraId="437C47D1">
            <w:pPr>
              <w:pStyle w:val="4"/>
            </w:pPr>
            <w:r>
              <w:t>提供完善的信息发布与审核工作流，支持对学校重要通知、校务公告、新闻动态等各类信息进行统一管理。系统内置富文本编辑器，用户可在线开展文字编辑、格式排版，支持在正文中插入图片、多媒体、超链接、附件等多种元素。具备灵活的审核机制，支持自定义多级审核流程，确保信息发布的权威性与合规性。提供公告生命周期管理功能，支持设置置顶、有效期、发布范围及浏览权限，满足学校不同维度的信息公开需求。</w:t>
            </w:r>
          </w:p>
          <w:p w14:paraId="177AE31A">
            <w:pPr>
              <w:pStyle w:val="4"/>
            </w:pPr>
            <w:r>
              <w:t>⑤服务器托管</w:t>
            </w:r>
          </w:p>
          <w:p w14:paraId="5481C5DE">
            <w:pPr>
              <w:pStyle w:val="4"/>
            </w:pPr>
            <w:r>
              <w:t>支持在线提出申请，由相关单位和领导审核通过后，转至服务器运维部门进行反馈处理。</w:t>
            </w:r>
          </w:p>
          <w:p w14:paraId="0AF5A136">
            <w:pPr>
              <w:pStyle w:val="4"/>
            </w:pPr>
            <w:r>
              <w:t>（2）个性化门户</w:t>
            </w:r>
          </w:p>
          <w:p w14:paraId="05DA12F2">
            <w:pPr>
              <w:pStyle w:val="4"/>
            </w:pPr>
            <w:r>
              <w:t>个性化门户根据用户属性不同，由决策门户、教员门户、学员门户和教工门户构成，不同用户进入门户后呈现属于该用户的个性化界面，包括不限于以下功能：</w:t>
            </w:r>
          </w:p>
          <w:p w14:paraId="51FB4B60">
            <w:pPr>
              <w:pStyle w:val="4"/>
            </w:pPr>
            <w:r>
              <w:t>①决策门户</w:t>
            </w:r>
          </w:p>
          <w:p w14:paraId="46958747">
            <w:pPr>
              <w:pStyle w:val="4"/>
            </w:pPr>
            <w:r>
              <w:t>提供面向各级管理者的决策办公平台，支持按照校领导、机关领导、教学系部领导、中心领导、大队领导等多种角色属性进行门户的个性化配置与信息展示。系统通过集成领导驾驶舱统一入口，为不同层级的决策者提供集中管理工作和获取多维信息的专属空间。用户可实现关键业务指标的实时监测、待办工作的集中审批以及管理任务的统一调度。具备强大的决策支持工具集成能力，支持通过图形化看板展示业务运行状态，以满足领导层在行政管理、教学监控及科研指挥等场景下的决策需求。</w:t>
            </w:r>
          </w:p>
          <w:p w14:paraId="3344726D">
            <w:pPr>
              <w:pStyle w:val="4"/>
            </w:pPr>
            <w:r>
              <w:t>②教员门户</w:t>
            </w:r>
          </w:p>
          <w:p w14:paraId="7897AC27">
            <w:pPr>
              <w:pStyle w:val="4"/>
            </w:pPr>
            <w:r>
              <w:t>提供精细化的权限控制与身份识别功能，支持根据教员的角色属性动态构建个性化门户界面。系统具备单点登录应用集成能力，在教员门户内仅显示该教员具备访问权限的业务应用，确保访问的安全与便捷。用户可通过该门户实现对个人名下教学、科研等相关智慧应用服务的快速访问与无缝切换。提供服务支撑平台的功能集成接口，支持将课表查询、科研申报、办公审批等功能组件化展示，为教员提供一站式的便捷工作平台与业务处理环境。</w:t>
            </w:r>
          </w:p>
          <w:p w14:paraId="650F76F1">
            <w:pPr>
              <w:pStyle w:val="4"/>
            </w:pPr>
            <w:r>
              <w:t>③学员门户</w:t>
            </w:r>
          </w:p>
          <w:p w14:paraId="3D5FDF9C">
            <w:pPr>
              <w:pStyle w:val="4"/>
            </w:pPr>
            <w:r>
              <w:t>提供基于学员身份的权限控制与识别功能，支持根据学员的年级、专业、班级等属性动态配置个性化门户内容。系统通过集成单点登录技术，在学员门户中仅展示该学员具备访问权限的业务应用，实现学习应用的快速定位与一键访问。用户可通过该门户获取与其学业相关的智慧应用服务，支持集成课程表、成绩查询、选课系统、在线学习平台等服务入口。具备一站式的任务导向能力，支持将待处理的学习任务、考试提醒、教务通知等进行集中展示，为学员提供便捷的个人学习管理平台。</w:t>
            </w:r>
          </w:p>
          <w:p w14:paraId="763C488A">
            <w:pPr>
              <w:pStyle w:val="4"/>
            </w:pPr>
            <w:r>
              <w:t>④其他教育工作者门户</w:t>
            </w:r>
          </w:p>
          <w:p w14:paraId="4B815C3A">
            <w:pPr>
              <w:pStyle w:val="4"/>
            </w:pPr>
            <w:r>
              <w:t>提供精细化的权限识别与访问控制功能，支持根据不同教育工作者的岗位角色与职责权限，动态展示其具备访问资格的单点登录应用系统。系统通过集成与教职员工岗位相关的智慧应用服务及服务支撑平台功能，实现业务入口的集中化与操作流程的规范化。用户可通过该门户快速发起各类办公申请、查询职能数据并处理相关业务，具备高效的应用导航与任务处理能力，旨在为不同类别的教育辅助及行政人员提供统一、便捷的综合工作平台。</w:t>
            </w:r>
          </w:p>
          <w:p w14:paraId="36E4D84B">
            <w:pPr>
              <w:pStyle w:val="4"/>
            </w:pPr>
            <w:r>
              <w:t>（3）个人数据中心</w:t>
            </w:r>
          </w:p>
          <w:p w14:paraId="5C4BD5AF">
            <w:pPr>
              <w:pStyle w:val="4"/>
            </w:pPr>
            <w:r>
              <w:t>基于对学校业务数据进行数据模型建设，为不同人员提供统一的个人数据中心平台，支持对学校“人”、“财”、“物”等数据进行查询和维护功能，并提供常态化数据维护与纠错入口，让学校数据治理工作形成有效闭环。个人数据中心根据角色属性不同分为管理端、教员端与学员端。</w:t>
            </w:r>
          </w:p>
          <w:p w14:paraId="73D68541">
            <w:pPr>
              <w:pStyle w:val="4"/>
            </w:pPr>
            <w:r>
              <w:t>①管理端</w:t>
            </w:r>
          </w:p>
          <w:p w14:paraId="2B8E3142">
            <w:pPr>
              <w:pStyle w:val="4"/>
            </w:pPr>
            <w:r>
              <w:t>支持按照校领导、机关领导、教学系部领导、中心领导、大队领导等角色属性，可以通过数据的集成看到学校全景范围的数据，管理员端将支持以下功能：</w:t>
            </w:r>
          </w:p>
          <w:p w14:paraId="5422EE59">
            <w:pPr>
              <w:pStyle w:val="4"/>
            </w:pPr>
            <w:r>
              <w:t>支持教员信息查询。根据教职工号、姓名、身份证、校区对教职工进行筛选查询；展示教员职工信息列表；支持下钻获取教员个人信息详情；</w:t>
            </w:r>
          </w:p>
          <w:p w14:paraId="7C4365A4">
            <w:pPr>
              <w:pStyle w:val="4"/>
            </w:pPr>
            <w:r>
              <w:t>支持学员信息查询。可根据学号、姓名、身份证、校区对学员进行筛选；展示学员信息列表；支持下钻获取学员个人信息详情；</w:t>
            </w:r>
          </w:p>
          <w:p w14:paraId="341D0D70">
            <w:pPr>
              <w:pStyle w:val="4"/>
            </w:pPr>
            <w:r>
              <w:t>支持机构信息查询。可按组织机构编号、组织机构名称、级别、父组织机构名称筛选；支持机构动态调整</w:t>
            </w:r>
          </w:p>
          <w:p w14:paraId="18FB4575">
            <w:pPr>
              <w:pStyle w:val="4"/>
            </w:pPr>
            <w:r>
              <w:t>支持教学信息查询。可按教学单位、上课日期、教员姓名查询全校教学计划安排及执行情况。</w:t>
            </w:r>
          </w:p>
          <w:p w14:paraId="36C76503">
            <w:pPr>
              <w:pStyle w:val="4"/>
            </w:pPr>
            <w:r>
              <w:t>支持科研信息查询。可按研究方向、科研项目名称、科研单位、负责人查询科研工作的基本信息、当年人力、经费信息、结题信息，以及全校科研成果登记信息；</w:t>
            </w:r>
          </w:p>
          <w:p w14:paraId="0E5B6978">
            <w:pPr>
              <w:pStyle w:val="4"/>
            </w:pPr>
            <w:r>
              <w:t>支持敏感信息查询功能。可支持对个人进行敏感数据查询；支持查看敏感信息查询记录，可支持教职工号、姓名、查看人等进行筛选。</w:t>
            </w:r>
          </w:p>
          <w:p w14:paraId="5ACE8186">
            <w:pPr>
              <w:pStyle w:val="4"/>
            </w:pPr>
            <w:r>
              <w:t>②教员端</w:t>
            </w:r>
          </w:p>
          <w:p w14:paraId="78F76243">
            <w:pPr>
              <w:pStyle w:val="4"/>
            </w:pPr>
            <w:r>
              <w:t>个人数据中心教员端为在校教员人员进行查看的内容，将实现以下功能：</w:t>
            </w:r>
          </w:p>
          <w:p w14:paraId="66327242">
            <w:pPr>
              <w:pStyle w:val="4"/>
            </w:pPr>
            <w:r>
              <w:t>支持教员个人数据信息分析展示，可支持个人统计数据分析展示，包括教学工作量、桃李天下等，并支持按学年、学期、班级、学员队进行筛选；</w:t>
            </w:r>
          </w:p>
          <w:p w14:paraId="61D26846">
            <w:pPr>
              <w:pStyle w:val="4"/>
            </w:pPr>
            <w:r>
              <w:t>支持展示教员个人的基本信息、人事信息、教学信息、科研信息、政治面貌信息的数据；教员基本信息包括基本信息、学历学位、工作经历、语言能力、联系信息等；教员人事信息包括职务信息、合同信息、校内调动信息、引进人才信息、职称评定、职称聘任、工资信息；教员教学信息包括课程信息（支持学年、学期筛选）、教学班信息、学员教学信息、研究生教学信息；教员科研信息包括科研项目（支持项目状态、项目级别筛选）、论文著作（支持模糊搜索论文）、成果奖励（支持获奖级别、获奖年份筛选）；教员政治面貌信息包括党员信息、党组织信息、党派职务信息；</w:t>
            </w:r>
          </w:p>
          <w:p w14:paraId="29EDAFBA">
            <w:pPr>
              <w:pStyle w:val="4"/>
            </w:pPr>
            <w:r>
              <w:t>支持教员个人信息中敏感信息查看、数据维护与纠错、数据导出、纠错历史查看功能；</w:t>
            </w:r>
          </w:p>
          <w:p w14:paraId="7B2A908F">
            <w:pPr>
              <w:pStyle w:val="4"/>
            </w:pPr>
            <w:r>
              <w:t>③学员端</w:t>
            </w:r>
          </w:p>
          <w:p w14:paraId="3E0EEC3A">
            <w:pPr>
              <w:pStyle w:val="4"/>
            </w:pPr>
            <w:r>
              <w:t>个人数据中心学员端为在校学员人员进行查看的内容，将实现以下功能：</w:t>
            </w:r>
          </w:p>
          <w:p w14:paraId="267C5675">
            <w:pPr>
              <w:pStyle w:val="4"/>
            </w:pPr>
            <w:r>
              <w:t>支持展示学员的个人信息、学籍信息、课程信息、考试信息、活动信息、奖惩助信息、消费信息、毕业信息的数据；其中个人信息包括基本信息、学员联系方式、家庭成员及社会关系信息、教育工作经历；学籍信息包括学籍信息、注册信息、学籍异动、新生信息；课程信息包括课表安排等信息；考试信息包括本科成绩信息、等级考试信息；活动信息包括俱乐部信息、校内活动；奖惩信息包括奖励信息；消费信息包括校园卡信息、消费信息；毕业信息包括毕业信息、就业信息、离校信息、学位信息；</w:t>
            </w:r>
          </w:p>
          <w:p w14:paraId="2E0C20A5">
            <w:pPr>
              <w:pStyle w:val="4"/>
            </w:pPr>
            <w:r>
              <w:t>支持学员个人信息中敏感信息查看、数据维护与纠错、数据导出、纠错历史查看功能；</w:t>
            </w:r>
          </w:p>
          <w:p w14:paraId="3516CFFB">
            <w:pPr>
              <w:pStyle w:val="4"/>
            </w:pPr>
            <w:r>
              <w:t>④数据维护与纠错</w:t>
            </w:r>
          </w:p>
          <w:p w14:paraId="3599B413">
            <w:pPr>
              <w:pStyle w:val="4"/>
            </w:pPr>
            <w:r>
              <w:t>支持个人信息纠错功能，针对个人基本信息、个人联系信息、个人家庭信息、个人学习经历信息等数据提供增、删、改等数据维护与纠错功能；</w:t>
            </w:r>
          </w:p>
          <w:p w14:paraId="3C5576EA">
            <w:pPr>
              <w:pStyle w:val="4"/>
            </w:pPr>
            <w:r>
              <w:t>支持提供数据维护与纠错相应审核流程；</w:t>
            </w:r>
          </w:p>
          <w:p w14:paraId="3E765974">
            <w:pPr>
              <w:pStyle w:val="4"/>
            </w:pPr>
            <w:r>
              <w:t>支持与信息门户平台联通，可实现表级别的数据权责指定；</w:t>
            </w:r>
          </w:p>
          <w:p w14:paraId="5A574E37">
            <w:pPr>
              <w:pStyle w:val="4"/>
            </w:pPr>
            <w:r>
              <w:t>支持数据维护与纠错历史查询，包括纠错字段、原始数据、正确数据、纠错时间、纠错次数等。</w:t>
            </w:r>
          </w:p>
          <w:p w14:paraId="3F7CD842">
            <w:pPr>
              <w:pStyle w:val="4"/>
            </w:pPr>
            <w:r>
              <w:t>（4）数据共享与调用服务</w:t>
            </w:r>
          </w:p>
          <w:p w14:paraId="58BB7908">
            <w:pPr>
              <w:pStyle w:val="4"/>
            </w:pPr>
            <w:r>
              <w:t>统一门户系统应能够提供安全可靠的身份认证和数据调用服务。</w:t>
            </w:r>
          </w:p>
          <w:p w14:paraId="72129E21">
            <w:pPr>
              <w:pStyle w:val="4"/>
            </w:pPr>
            <w:r>
              <w:t>①提供身份认证服务</w:t>
            </w:r>
          </w:p>
          <w:p w14:paraId="61D08F59">
            <w:pPr>
              <w:pStyle w:val="4"/>
            </w:pPr>
            <w:r>
              <w:t>统一门户系统应为各信息系统提供身份认证服务，通过验证用户的身份信息，确保用户具有安全访问权限。该功能提供一个统一的认证接口，其他信息系统可以调用该接口进行身份验证。</w:t>
            </w:r>
          </w:p>
          <w:p w14:paraId="79571F4D">
            <w:pPr>
              <w:pStyle w:val="4"/>
            </w:pPr>
            <w:r>
              <w:t>②提供数据调用服务</w:t>
            </w:r>
          </w:p>
          <w:p w14:paraId="78383DFF">
            <w:pPr>
              <w:pStyle w:val="4"/>
            </w:pPr>
            <w:r>
              <w:t>提供身份数据的调用服务，其他信息系统可以通过调用该服务获取用户的身份数据。该功应能确保数据的一致性和准确性，避免不同系统之间数据冗余和数据不一致的问题。</w:t>
            </w:r>
          </w:p>
          <w:p w14:paraId="62890760">
            <w:pPr>
              <w:pStyle w:val="4"/>
            </w:pPr>
            <w:r>
              <w:t>③提供数据接口</w:t>
            </w:r>
          </w:p>
          <w:p w14:paraId="6C3FFFE6">
            <w:pPr>
              <w:pStyle w:val="4"/>
            </w:pPr>
            <w:r>
              <w:t>为其他信息系统提供数据接口，以便其他系统可以通过接口进行数据的调用和交换。接口可以各种数据格式和协议，实现系统间的数据共享和集成。</w:t>
            </w:r>
          </w:p>
          <w:p w14:paraId="54584A2A">
            <w:pPr>
              <w:pStyle w:val="4"/>
            </w:pPr>
            <w:r>
              <w:t>④提供数据访问权限</w:t>
            </w:r>
          </w:p>
          <w:p w14:paraId="32EA29A9">
            <w:pPr>
              <w:pStyle w:val="4"/>
            </w:pPr>
            <w:r>
              <w:t>为了保护敏感数据的安全性，统一门户系统提供数据权限控制功能。该功能基于用户角色和数据敏感级别，对数据进行访问控制和权限分配。</w:t>
            </w:r>
          </w:p>
          <w:p w14:paraId="347D4A49">
            <w:pPr>
              <w:pStyle w:val="4"/>
            </w:pPr>
            <w:r>
              <w:t>⑤提供数据传输加密服务</w:t>
            </w:r>
          </w:p>
          <w:p w14:paraId="5E561B9C">
            <w:pPr>
              <w:pStyle w:val="4"/>
            </w:pPr>
            <w:r>
              <w:t>为保障数据在传输过程中的安全性，统一门户系统应采用符合国家相关标准的加密技术对数据进行加密处理。使用安全的传输协议和加密算法，确保数据在网络传输中不被窃取和篡改，保护用户数据的机密性和完整性。</w:t>
            </w:r>
          </w:p>
          <w:p w14:paraId="54CEE2C3">
            <w:pPr>
              <w:pStyle w:val="4"/>
            </w:pPr>
            <w:r>
              <w:t>（5）个人中心</w:t>
            </w:r>
          </w:p>
          <w:p w14:paraId="20956D5B">
            <w:pPr>
              <w:pStyle w:val="4"/>
            </w:pPr>
            <w:r>
              <w:t>根据个人身份特点，结合教学、科研、训练及管理保障工作需求，将涉及个人的信息维护、课程教学、待办事项、消息通知、工作处理等链接服务集成为个人空间。同时，通过大数据分析个人行为，能够准确识别身份特征，给予个性化推荐和指导，实现精准服务。</w:t>
            </w:r>
          </w:p>
          <w:p w14:paraId="5DA74384">
            <w:pPr>
              <w:pStyle w:val="4"/>
            </w:pPr>
            <w:r>
              <w:t>①个人信息管理</w:t>
            </w:r>
          </w:p>
          <w:p w14:paraId="1F3669C7">
            <w:pPr>
              <w:pStyle w:val="4"/>
            </w:pPr>
            <w:r>
              <w:t>基于个人数据中心，维护和更新个人信息，确保信息的准确性和完整性。通过信息查询功能了解自己的工作和学习情况，为个人发展提供参考和指导。</w:t>
            </w:r>
          </w:p>
          <w:p w14:paraId="786CD87A">
            <w:pPr>
              <w:pStyle w:val="4"/>
            </w:pPr>
            <w:r>
              <w:t>a.个人信息展示：支持对个人基本信息、教学信息、参与活动信息、获奖信息、个人资历等个人信息进行展示。</w:t>
            </w:r>
          </w:p>
          <w:p w14:paraId="09EDF358">
            <w:pPr>
              <w:pStyle w:val="4"/>
            </w:pPr>
            <w:r>
              <w:t>b.个人信息维护：支持对系统中错误和缺失的个人信息进行数据维护与纠错和填报申请，提供给管理人员审核补正。</w:t>
            </w:r>
          </w:p>
          <w:p w14:paraId="34E6CBDB">
            <w:pPr>
              <w:pStyle w:val="4"/>
            </w:pPr>
            <w:r>
              <w:t>②我的教学</w:t>
            </w:r>
          </w:p>
          <w:p w14:paraId="199C6C62">
            <w:pPr>
              <w:pStyle w:val="4"/>
            </w:pPr>
            <w:r>
              <w:t>对接综合教务管理系统和教学训云平台，建设课程管理、教学资料管理、在线教学互动和学习成果展示等功能。用户可以方便地管理和维护个人的教学工作，包括课程的创建和管理、教学资料的上传和共享、在线教学互动的开展以及学员学习成果的展示。</w:t>
            </w:r>
          </w:p>
          <w:p w14:paraId="59DAA1FF">
            <w:pPr>
              <w:pStyle w:val="4"/>
            </w:pPr>
            <w:r>
              <w:t>a.课程管理：支持创建/编辑/删除课程、设置课程的基本信息、添加/移除课程学员名单等。</w:t>
            </w:r>
          </w:p>
          <w:p w14:paraId="3FCFB66B">
            <w:pPr>
              <w:pStyle w:val="4"/>
            </w:pPr>
            <w:r>
              <w:t>b.教学资料管理：支持将教案、讲义、课件等教学资料上传到系统中，并进行分类和标签管理；支持设置教学资料的权限，控制资料的可见性和下载权限。</w:t>
            </w:r>
          </w:p>
          <w:p w14:paraId="1B48B6C7">
            <w:pPr>
              <w:pStyle w:val="4"/>
            </w:pPr>
            <w:r>
              <w:t>c.学习成果展示：支持创建学员档案和学习记录，记录学员的学习成绩、作品、科研成果，并将学员的优秀成果进行展示等。</w:t>
            </w:r>
          </w:p>
          <w:p w14:paraId="20150B32">
            <w:pPr>
              <w:pStyle w:val="4"/>
            </w:pPr>
            <w:r>
              <w:t>③我的待办事项</w:t>
            </w:r>
          </w:p>
          <w:p w14:paraId="11452805">
            <w:pPr>
              <w:pStyle w:val="4"/>
            </w:pPr>
            <w:r>
              <w:t>建设待办任务查看、任务进度跟踪和任务办理提醒等功能。用户可以方便地查看和管理个人的待办事项，及时了解任务的执行情况和进度，并通过系统的提醒功能确保任务的及时办理。</w:t>
            </w:r>
          </w:p>
          <w:p w14:paraId="492A0789">
            <w:pPr>
              <w:pStyle w:val="4"/>
            </w:pPr>
            <w:r>
              <w:t>a.待办任务查看：支持查看个人待办任务清单，包括教学、科研、管理等各个方面的任务。</w:t>
            </w:r>
          </w:p>
          <w:p w14:paraId="5F26104E">
            <w:pPr>
              <w:pStyle w:val="4"/>
            </w:pPr>
            <w:r>
              <w:t>b.任务进度跟踪：支持查看跟踪每个任务的详细信息，包括任务的状态、负责人、任务进度等执行情况。</w:t>
            </w:r>
          </w:p>
          <w:p w14:paraId="55D9BFEE">
            <w:pPr>
              <w:pStyle w:val="4"/>
            </w:pPr>
            <w:r>
              <w:t>c.任务办理提醒：支持设置提醒的方式和频率，如邮件、即时通信软件、系统通知等，自动向用户发送待办任务的提醒和通知。</w:t>
            </w:r>
          </w:p>
          <w:p w14:paraId="1D56FE25">
            <w:pPr>
              <w:pStyle w:val="4"/>
            </w:pPr>
            <w:r>
              <w:t>④消息通知</w:t>
            </w:r>
          </w:p>
          <w:p w14:paraId="15118AAC">
            <w:pPr>
              <w:pStyle w:val="4"/>
            </w:pPr>
            <w:r>
              <w:t>对接教务、科研、教保、教学训云平台等业务应用系统，建设接收系统通知、个人消息查看和消息提醒设置等功能。用户可以方便地接收和查看学校和部门的重要通知，及时了解与个人相关的消息，同时也可以根据自己的需求和偏好设置消息的提醒方式和频率。</w:t>
            </w:r>
          </w:p>
          <w:p w14:paraId="34A4BB09">
            <w:pPr>
              <w:pStyle w:val="4"/>
            </w:pPr>
            <w:r>
              <w:t>a.接收系统通知：支持根据个人身份和角色，系统发送相关通知，包括学校的重要公告、教务通知、行政通知、科研信息等。</w:t>
            </w:r>
          </w:p>
          <w:p w14:paraId="670A5032">
            <w:pPr>
              <w:pStyle w:val="4"/>
            </w:pPr>
            <w:r>
              <w:t>b.个人消息查看：支持查看、标记、归档收到的个人消息。</w:t>
            </w:r>
          </w:p>
          <w:p w14:paraId="50609370">
            <w:pPr>
              <w:pStyle w:val="4"/>
            </w:pPr>
            <w:r>
              <w:t>c.消息提醒：支持设置消息的提醒方式和频率，如邮件、即时通信软件、系统通知等。</w:t>
            </w:r>
          </w:p>
          <w:p w14:paraId="5DC75590">
            <w:pPr>
              <w:pStyle w:val="4"/>
            </w:pPr>
            <w:r>
              <w:t>⑤业务申报</w:t>
            </w:r>
          </w:p>
          <w:p w14:paraId="56D412D1">
            <w:pPr>
              <w:pStyle w:val="4"/>
            </w:pPr>
            <w:r>
              <w:t>建设各项工作申请和处理，系统的自动流转和审批功能，提高了申请处理的效率和准确性。用户可以方便地进行业务办理申请、请假申请、物品领用申请、查看申请状态和审批结果、业务办理超时预警、个人事务办理统计分析等。</w:t>
            </w:r>
          </w:p>
          <w:p w14:paraId="7F1E2E99">
            <w:pPr>
              <w:pStyle w:val="4"/>
            </w:pPr>
            <w:r>
              <w:t>a.业务办理申请：支持根据所属部门和岗位，系统提供相应的业务办理申请表单，用户可以根据需求填写相关信息，并上传所需的附件，系统将根据申请类型和流程要求进行自动流转和审批。例如请假申请，支持选择请假类型（如事假、病假、年假等）、请假起止日期和请假事由，并上传相关的请假证明文件。物品领用申请：支持选择所需物品的名称、数量和用途，并填写相关的领用说明。</w:t>
            </w:r>
          </w:p>
          <w:p w14:paraId="5B9D849F">
            <w:pPr>
              <w:pStyle w:val="4"/>
            </w:pPr>
            <w:r>
              <w:t>b.查看申请状态和审批结果：支持实时查看申请状态和审批结果。</w:t>
            </w:r>
          </w:p>
          <w:p w14:paraId="7CDB04A6">
            <w:pPr>
              <w:pStyle w:val="4"/>
            </w:pPr>
            <w:r>
              <w:t>c.业务办理超时预警：支持设置业务办理时长预警阈值和预警方式。</w:t>
            </w:r>
          </w:p>
          <w:p w14:paraId="25D52B8A">
            <w:pPr>
              <w:pStyle w:val="4"/>
            </w:pPr>
            <w:r>
              <w:t>d.个人事务办理统计分析：支持按申请类型、申请状态、审批结果等进行个人事务办理情况统计分析。</w:t>
            </w:r>
          </w:p>
          <w:p w14:paraId="04EC7DB6">
            <w:pPr>
              <w:pStyle w:val="4"/>
            </w:pPr>
            <w:r>
              <w:t>⑥个人空间</w:t>
            </w:r>
          </w:p>
          <w:p w14:paraId="296F7FA3">
            <w:pPr>
              <w:pStyle w:val="4"/>
            </w:pPr>
            <w:r>
              <w:t>建设个人邮箱、网盘存储和即时消息功能，为用户提供个人信息管理和工作协作的便捷环境。用户可以通过个人邮箱进行邮件收发和管理，使用网盘进行文件的存储和共享，通过即时消息进行实时的交流和沟通。</w:t>
            </w:r>
          </w:p>
          <w:p w14:paraId="406DB139">
            <w:pPr>
              <w:pStyle w:val="4"/>
            </w:pPr>
            <w:r>
              <w:t>a.个人邮箱：支持使用个人邮箱进行内部和外部邮件的发送和接收，支持邮件传输过程中的安全加密，如采用TLS/SSL等协议保护用户隐私。</w:t>
            </w:r>
          </w:p>
          <w:p w14:paraId="4AE03FDF">
            <w:pPr>
              <w:pStyle w:val="4"/>
            </w:pPr>
            <w:r>
              <w:t>b.网盘存储：支持将文件和资料上传到网盘进行存储和管理。</w:t>
            </w:r>
          </w:p>
          <w:p w14:paraId="63E15377">
            <w:pPr>
              <w:pStyle w:val="4"/>
            </w:pPr>
            <w:r>
              <w:t>c.即时消息：支持即时消息的交流和沟通工具，可以发送文本消息、表情符号、图片等。</w:t>
            </w:r>
          </w:p>
          <w:p w14:paraId="0442BBE8">
            <w:pPr>
              <w:pStyle w:val="4"/>
            </w:pPr>
            <w:r>
              <w:t>⑦我的定制</w:t>
            </w:r>
          </w:p>
          <w:p w14:paraId="3CF624F5">
            <w:pPr>
              <w:pStyle w:val="4"/>
            </w:pPr>
            <w:r>
              <w:t>建设个性化应用定制、模块化组合、数据表单定制和业务流程定制等功能，使用户能够根据自身需求灵活定制工作环境和工作流程。</w:t>
            </w:r>
          </w:p>
          <w:p w14:paraId="57B8B9E2">
            <w:pPr>
              <w:pStyle w:val="4"/>
            </w:pPr>
            <w:r>
              <w:t>a.个性化应用定制：支持主题自定义、快捷方式的设置等个性化定制。</w:t>
            </w:r>
          </w:p>
          <w:p w14:paraId="58AF7E87">
            <w:pPr>
              <w:pStyle w:val="4"/>
            </w:pPr>
            <w:r>
              <w:t>b.模块化组合：支持根据工作职责和需要，选择需要的功能模块进行组合，如教学管理、科研管理、训练管理等。</w:t>
            </w:r>
          </w:p>
          <w:p w14:paraId="608BC322">
            <w:pPr>
              <w:pStyle w:val="4"/>
            </w:pPr>
            <w:r>
              <w:t>c.数据表单定制：支持自定义数据表单的字段和布局，如添加字段、调整字段顺序、设置字段属性和验证规则等。</w:t>
            </w:r>
          </w:p>
          <w:p w14:paraId="010AA6B9">
            <w:pPr>
              <w:pStyle w:val="4"/>
            </w:pPr>
            <w:r>
              <w:t>d.业务流程定制：支持通过可视化方式自定义业务流程的节点、连接和审批规则，形成符合实际需求的工作流程。</w:t>
            </w:r>
          </w:p>
          <w:p w14:paraId="64F85111">
            <w:pPr>
              <w:pStyle w:val="4"/>
            </w:pPr>
            <w:r>
              <w:t>⑧考核与评价</w:t>
            </w:r>
          </w:p>
          <w:p w14:paraId="1B0BE551">
            <w:pPr>
              <w:pStyle w:val="4"/>
            </w:pPr>
            <w:r>
              <w:t>支持查询个人的考核结果和评价情况，了解自己在工作中的表现和存在的问题。同时，用户还可以通过个人排名的查看，了解自己在团队中的绩效水平和与他人的比较情况，以促进个人的成长和进步。</w:t>
            </w:r>
          </w:p>
          <w:p w14:paraId="59317D93">
            <w:pPr>
              <w:pStyle w:val="4"/>
            </w:pPr>
            <w:r>
              <w:t>a.个人考核结果查询：支持查询个人考核得分、评价等级以及评语等考核历史记录。</w:t>
            </w:r>
          </w:p>
          <w:p w14:paraId="4FEEF642">
            <w:pPr>
              <w:pStyle w:val="4"/>
            </w:pPr>
            <w:r>
              <w:t>b.个人评价情况查看：支持实时的评价反馈机制，能够及时了解领导和同事的评价意见和建议等。</w:t>
            </w:r>
          </w:p>
          <w:p w14:paraId="11160C55">
            <w:pPr>
              <w:pStyle w:val="4"/>
            </w:pPr>
            <w:r>
              <w:t>c.个人排名查看：支持查看个人在团队或组织中在某个特定指标下的排名情况，比如工作成绩、专业能力等。</w:t>
            </w:r>
          </w:p>
        </w:tc>
      </w:tr>
      <w:tr w14:paraId="4CBFF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CE9E59"/>
        </w:tc>
        <w:tc>
          <w:tcPr>
            <w:tcW w:w="2769" w:type="dxa"/>
          </w:tcPr>
          <w:p w14:paraId="3D84DD49">
            <w:pPr>
              <w:pStyle w:val="4"/>
              <w:jc w:val="center"/>
            </w:pPr>
            <w:r>
              <w:t>4</w:t>
            </w:r>
          </w:p>
        </w:tc>
        <w:tc>
          <w:tcPr>
            <w:tcW w:w="2769" w:type="dxa"/>
          </w:tcPr>
          <w:p w14:paraId="7EA0EEDB">
            <w:pPr>
              <w:pStyle w:val="4"/>
            </w:pPr>
            <w:r>
              <w:t>统一身份认证平台</w:t>
            </w:r>
          </w:p>
          <w:p w14:paraId="36B20B7E">
            <w:pPr>
              <w:pStyle w:val="4"/>
            </w:pPr>
            <w:r>
              <w:t>（1）提供用户身份注册与管理服务</w:t>
            </w:r>
          </w:p>
          <w:p w14:paraId="1E79152F">
            <w:pPr>
              <w:pStyle w:val="4"/>
            </w:pPr>
            <w:r>
              <w:t>用户身份注册与管理服务能够准确识别和管理用户身份，保障用户信息的安全和可靠性。用户可以通过注册功能创建自己的账号，并随时修改个人信息。</w:t>
            </w:r>
          </w:p>
          <w:p w14:paraId="37707E06">
            <w:pPr>
              <w:pStyle w:val="4"/>
            </w:pPr>
            <w:r>
              <w:t>需要在互联网上部署1套统一门户身份认证系统，通过中国长城网接入管理，对接校园网中的统一身份认证平台，为文件单向导入系统提供身份认证。（1.平台所采用的认证协议必须具有良好的开放性，兼容业界通用标准；2.支持通过上传文件的形式导入人员数据;3.平台应支持接入系统控制，未在接入白名单中的系统无法接入单点登录平台。）</w:t>
            </w:r>
          </w:p>
          <w:p w14:paraId="57B5D100">
            <w:pPr>
              <w:pStyle w:val="4"/>
            </w:pPr>
            <w:r>
              <w:t>①用户注册</w:t>
            </w:r>
          </w:p>
          <w:p w14:paraId="385DAAED">
            <w:pPr>
              <w:pStyle w:val="4"/>
            </w:pPr>
            <w:r>
              <w:t>提供完善的用户注册功能，支持用户在线创建新账号并开展多维度身份认证。系统具备严格的身份核验机制，支持在注册过程中通过预设规则验证用户身份的真实性与合规性。注册成功后，系统需自动为用户生成全局唯一的账号标识，支持该标识在全校各业务系统间的唯一性映射，用于后续的身份精准识别、单点登录及权限控权。提供注册日志审计功能，确保用户开户流程的可追溯性。</w:t>
            </w:r>
          </w:p>
          <w:p w14:paraId="6218B7CF">
            <w:pPr>
              <w:pStyle w:val="4"/>
            </w:pPr>
            <w:r>
              <w:t>②用户身份管理</w:t>
            </w:r>
          </w:p>
          <w:p w14:paraId="2138E856">
            <w:pPr>
              <w:pStyle w:val="4"/>
            </w:pPr>
            <w:r>
              <w:t>提供完善的管理员控制台，支持对用户身份信息进行全生命周期管理，具备新增、修改、逻辑删除及批量导入导出用户数据的功能。管理员可对用户个人资料开展精细化管理，涵盖头像、联系方式、所属组织架构、岗位职称等核心字段。系统需支持自定义审核流，管理员可根据业务需求对用户注册申请或信息变更进行在线审核与审批，确保身份数据的准确性与合规性。提供操作日志审计功能，支持对用户信息变动过程进行全过程追溯。</w:t>
            </w:r>
          </w:p>
          <w:p w14:paraId="2EBC68A6">
            <w:pPr>
              <w:pStyle w:val="4"/>
            </w:pPr>
            <w:r>
              <w:t>③身份验证</w:t>
            </w:r>
          </w:p>
          <w:p w14:paraId="718A00BD">
            <w:pPr>
              <w:pStyle w:val="4"/>
            </w:pPr>
            <w:r>
              <w:t>提供灵活的用户身份验签功能，支持多因素身份认证机制，确保访问过程的高安全性。系统需具备多种认证方式供用户按需选择，包括用户名密码认证、二次验证等。支持管理员根据应用的安全等级，强制开启特定场景下的二次认证逻辑。具备认证策略的自定义配置能力，可针对不同用户群体或终端环境灵活组合认证链路，实现身份验证安全性与用户体验的平衡。</w:t>
            </w:r>
          </w:p>
          <w:p w14:paraId="165E0C81">
            <w:pPr>
              <w:pStyle w:val="4"/>
            </w:pPr>
            <w:r>
              <w:t>（2）提供单点登录服务</w:t>
            </w:r>
          </w:p>
          <w:p w14:paraId="33F696FB">
            <w:pPr>
              <w:pStyle w:val="4"/>
            </w:pPr>
            <w:r>
              <w:t>提供统一的单点登录功能，支持用户在校内多个业务系统间实现无缝切换与访问，消除重复登录操作。系统具备完善的令牌管理与标准协议支持，能够安全地向子系统传递用户身份及关联的权限信息、角色属性等数据。支持基于角色的访问控制模型，确保用户在跨系统访问时其权限实时生效且保持一致。提供单点登录日志审计功能，支持对跨系统访问行为进行全过程追溯，保障访问链路的安全与合规。</w:t>
            </w:r>
          </w:p>
          <w:p w14:paraId="273A9B9A">
            <w:pPr>
              <w:pStyle w:val="4"/>
            </w:pPr>
            <w:r>
              <w:t>（3）账号安全管理</w:t>
            </w:r>
          </w:p>
          <w:p w14:paraId="6089C337">
            <w:pPr>
              <w:pStyle w:val="4"/>
            </w:pPr>
            <w:r>
              <w:t>支持账号安全管理服务，账号安全管理服务应包括以下功能或机制：</w:t>
            </w:r>
          </w:p>
          <w:p w14:paraId="1989A06E">
            <w:pPr>
              <w:pStyle w:val="4"/>
            </w:pPr>
            <w:r>
              <w:t>①密码策略</w:t>
            </w:r>
          </w:p>
          <w:p w14:paraId="5FFF86A0">
            <w:pPr>
              <w:pStyle w:val="4"/>
            </w:pPr>
            <w:r>
              <w:t>提供可定义的密码策略，要求用户设置强密码并定期更新。</w:t>
            </w:r>
          </w:p>
          <w:p w14:paraId="1A2BCC6E">
            <w:pPr>
              <w:pStyle w:val="4"/>
            </w:pPr>
            <w:r>
              <w:t>②异地登录检测</w:t>
            </w:r>
          </w:p>
          <w:p w14:paraId="7785FCC2">
            <w:pPr>
              <w:pStyle w:val="4"/>
            </w:pPr>
            <w:r>
              <w:t>提供用户登录的IP地址限制功能，该服务会检测用户登录的地理位置和IP地址，及时发现异常登录行为并采取相应的安全措施。</w:t>
            </w:r>
          </w:p>
          <w:p w14:paraId="1B616C45">
            <w:pPr>
              <w:pStyle w:val="4"/>
            </w:pPr>
            <w:r>
              <w:t>③账号锁定与解锁</w:t>
            </w:r>
          </w:p>
          <w:p w14:paraId="75467017">
            <w:pPr>
              <w:pStyle w:val="4"/>
            </w:pPr>
            <w:r>
              <w:t>提供账号锁定与解锁功能，根据登录失败次数或其他安全规则，自动锁定或解锁用户账号，防止恶意攻击和密码暴力破解。</w:t>
            </w:r>
          </w:p>
          <w:p w14:paraId="19413BAF">
            <w:pPr>
              <w:pStyle w:val="4"/>
            </w:pPr>
            <w:r>
              <w:t>（4）第三方身份认证集成服务</w:t>
            </w:r>
          </w:p>
          <w:p w14:paraId="4D51CDFB">
            <w:pPr>
              <w:pStyle w:val="4"/>
            </w:pPr>
            <w:r>
              <w:t>提供第三方身份认证集成服务，为用户提供一套全面的身份验证解决方案。</w:t>
            </w:r>
          </w:p>
          <w:p w14:paraId="423DE574">
            <w:pPr>
              <w:pStyle w:val="4"/>
            </w:pPr>
            <w:r>
              <w:t>①学员信息系统集成</w:t>
            </w:r>
          </w:p>
          <w:p w14:paraId="5596EAD9">
            <w:pPr>
              <w:pStyle w:val="4"/>
            </w:pPr>
            <w:r>
              <w:t>支持通过与学员信息系统的无缝连接，用户在登录时无需手动输入个人信息，系统可以自动获取学员的身份验证信息，从而减少用户的认证步骤。</w:t>
            </w:r>
          </w:p>
          <w:p w14:paraId="4C5FD63D">
            <w:pPr>
              <w:pStyle w:val="4"/>
            </w:pPr>
            <w:r>
              <w:t>②教职工信息系统集成</w:t>
            </w:r>
          </w:p>
          <w:p w14:paraId="11928E39">
            <w:pPr>
              <w:pStyle w:val="4"/>
            </w:pPr>
            <w:r>
              <w:t>支持通过与教职工信息系统的集成，用户在登录时可以直接获取教职工的身份认证信息，无需额外的认证步骤。</w:t>
            </w:r>
          </w:p>
          <w:p w14:paraId="3166BF45">
            <w:pPr>
              <w:pStyle w:val="4"/>
            </w:pPr>
            <w:r>
              <w:t>③多账号关联</w:t>
            </w:r>
          </w:p>
          <w:p w14:paraId="15AE3931">
            <w:pPr>
              <w:pStyle w:val="4"/>
            </w:pPr>
            <w:r>
              <w:t>提供实现账号之间的互通和切换，该服务提供多账号关联功能。用户可以将不同的账号进行关联，例如将社交媒体账号与学员/教职工信息系统账号进行关联。</w:t>
            </w:r>
          </w:p>
          <w:p w14:paraId="6238014E">
            <w:pPr>
              <w:pStyle w:val="4"/>
            </w:pPr>
            <w:r>
              <w:t>④统一授权</w:t>
            </w:r>
          </w:p>
          <w:p w14:paraId="59C3AA9B">
            <w:pPr>
              <w:pStyle w:val="4"/>
            </w:pPr>
            <w:r>
              <w:t>支持为第三方应用程序提供统一的身份认证授权服务；系统需具备标准的认证集成协议，用户仅需通过平台进行一次身份认证，即可直接访问所有获得授权的第三方应用，实现跨系统的免密登录；具备权限范围管理功能，支持管理员灵活配置不同第三方应用的授权范围与用户访问权限。</w:t>
            </w:r>
          </w:p>
          <w:p w14:paraId="4CE6C6B0">
            <w:pPr>
              <w:pStyle w:val="4"/>
            </w:pPr>
            <w:r>
              <w:t>⑤用户自助服务中心</w:t>
            </w:r>
          </w:p>
          <w:p w14:paraId="20ED2D50">
            <w:pPr>
              <w:pStyle w:val="4"/>
            </w:pPr>
            <w:r>
              <w:t>提供统一的用户自助服务界面，支持师生自主完成密码找回、密保设置、邮箱绑定、个人登录日志查询以及账号激活等操作，降低信息化管理部门的人工运维成本。</w:t>
            </w:r>
          </w:p>
          <w:p w14:paraId="502C62E4">
            <w:pPr>
              <w:pStyle w:val="4"/>
            </w:pPr>
            <w:r>
              <w:t>⑥人员与组织机构管理</w:t>
            </w:r>
          </w:p>
          <w:p w14:paraId="2EA1250C">
            <w:pPr>
              <w:pStyle w:val="4"/>
            </w:pPr>
            <w:r>
              <w:t>a.人员信息管理</w:t>
            </w:r>
          </w:p>
          <w:p w14:paraId="73DAB632">
            <w:pPr>
              <w:pStyle w:val="4"/>
            </w:pPr>
            <w:r>
              <w:t>覆盖机构内全类型人员的全生命周期信息管理，是系统的核心业务模块之一。</w:t>
            </w:r>
          </w:p>
          <w:p w14:paraId="3C9BB95E">
            <w:pPr>
              <w:pStyle w:val="4"/>
            </w:pPr>
            <w:r>
              <w:t>教职工信息管理功能：支持对在职教职工、离退休教职工两类人员的基础信息进行全生命周期管理，基础信息需涵盖姓名、证件号、部门、手机号职称等核心字段；具备信息录入、修改、归档全流程操作能力；支持教职工岗位调整、部门归属变更操作，实现各类教职工信息的集中统一管理，确保信息的完整性与一致性。</w:t>
            </w:r>
          </w:p>
          <w:p w14:paraId="64072127">
            <w:pPr>
              <w:pStyle w:val="4"/>
            </w:pPr>
            <w:r>
              <w:t>学员信息管理功能：对接教务管理系统，支持对不同层次学员的基础信息进行全生命周期管理；可处理学员学籍全流程状态，完整覆盖入学、转学、休学、毕业等关键节点；支持“在籍/离校”状态精准切换操作；具备学员班级、院系归属灵活调整能力，可自动同步并留存学员的学籍异动全量记录，确保学籍信息的时效性与可追溯性。</w:t>
            </w:r>
          </w:p>
          <w:p w14:paraId="196EB0D3">
            <w:pPr>
              <w:pStyle w:val="4"/>
            </w:pPr>
            <w:r>
              <w:t>离校人员管理功能：支持对离职教职工、毕业/退学学员两类离校人员执行权限回收操作，具体包括禁用系统账号等；可自动将离校人员信息从“活跃库”转移至“归档库”，实现信息分类存储；支持后续按需查询归档数据，确保离校人员信息的可追溯性与管理规范性。</w:t>
            </w:r>
          </w:p>
          <w:p w14:paraId="52119C1C">
            <w:pPr>
              <w:pStyle w:val="4"/>
            </w:pPr>
            <w:r>
              <w:t>b.组织部门管理</w:t>
            </w:r>
          </w:p>
          <w:p w14:paraId="13CB6345">
            <w:pPr>
              <w:pStyle w:val="4"/>
            </w:pPr>
            <w:r>
              <w:t>提供机构组织架构的搭建与动态调整功能，可有效支撑人员的部门/层级归属管理；具备组织单元全生命周期管理能力，可新增、修改、撤销部门、院系、室/中心等各类组织单元；支持维护组织层级关系（如“学校-学院-系”等层级架构），清晰呈现组织间隶属关系；可实现组织单元与人员的关联配置，达成组织架构与人员配置的联动管理，确保组织信息与人员归属的一致性。</w:t>
            </w:r>
          </w:p>
          <w:p w14:paraId="4E89D2BC">
            <w:pPr>
              <w:pStyle w:val="4"/>
            </w:pPr>
            <w:r>
              <w:t>c.人员数据校验</w:t>
            </w:r>
          </w:p>
          <w:p w14:paraId="714DE420">
            <w:pPr>
              <w:pStyle w:val="4"/>
            </w:pPr>
            <w:r>
              <w:t>为系统核心业务提供个性化辅助工具，解决数据与账号的异常/批量处理场景；根据实际应用场景开发具体功能。</w:t>
            </w:r>
          </w:p>
          <w:p w14:paraId="760C042B">
            <w:pPr>
              <w:pStyle w:val="4"/>
            </w:pPr>
            <w:r>
              <w:t>冲突数据集散：提供冲突数据识别与治理功能，可自动识别系统内重复、冲突的人员数据（如同一教职工被多次录入）；提供“合并数据”“标记异常”“修正信息”等多样化操作选项，支持对冲突数据进行精准处理；保障人员数据的唯一性与准确性，为系统数据管理提供可靠支撑。</w:t>
            </w:r>
          </w:p>
        </w:tc>
      </w:tr>
      <w:tr w14:paraId="57DC1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181F6F"/>
        </w:tc>
        <w:tc>
          <w:tcPr>
            <w:tcW w:w="2769" w:type="dxa"/>
          </w:tcPr>
          <w:p w14:paraId="7C49B0F1">
            <w:pPr>
              <w:pStyle w:val="4"/>
              <w:jc w:val="center"/>
            </w:pPr>
            <w:r>
              <w:t>5</w:t>
            </w:r>
          </w:p>
        </w:tc>
        <w:tc>
          <w:tcPr>
            <w:tcW w:w="2769" w:type="dxa"/>
          </w:tcPr>
          <w:p w14:paraId="519BCC65">
            <w:pPr>
              <w:pStyle w:val="4"/>
            </w:pPr>
            <w:r>
              <w:t>安全日志记录</w:t>
            </w:r>
            <w:r>
              <w:br w:type="textWrapping"/>
            </w:r>
          </w:p>
          <w:p w14:paraId="67EDF302">
            <w:pPr>
              <w:pStyle w:val="4"/>
            </w:pPr>
            <w:r>
              <w:t>支持详尽记录用户的登录行为及各类安全事件，旨在为系统安全审计与行为追踪提供数据支撑。安全日志需涵盖用户登录时间、访问来源IP地址、登录设备环境信息（如浏览器版本、操作系统）等核心维度；具备对账号锁定、解锁、异常尝试及关键属性变更等安全事件的完整记录能力。系统支持日志的实时查询、统计分析及导出功能，确保所有身份认证活动均可追溯、可审计。</w:t>
            </w:r>
          </w:p>
        </w:tc>
      </w:tr>
      <w:tr w14:paraId="1D7AD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1F2D94"/>
        </w:tc>
        <w:tc>
          <w:tcPr>
            <w:tcW w:w="2769" w:type="dxa"/>
          </w:tcPr>
          <w:p w14:paraId="7B59F8A6">
            <w:pPr>
              <w:pStyle w:val="4"/>
              <w:jc w:val="center"/>
            </w:pPr>
            <w:r>
              <w:t>6</w:t>
            </w:r>
          </w:p>
        </w:tc>
        <w:tc>
          <w:tcPr>
            <w:tcW w:w="2769" w:type="dxa"/>
          </w:tcPr>
          <w:p w14:paraId="326CCFAA">
            <w:pPr>
              <w:pStyle w:val="4"/>
            </w:pPr>
            <w:r>
              <w:t>统计与分析</w:t>
            </w:r>
          </w:p>
          <w:p w14:paraId="1EAD726E">
            <w:pPr>
              <w:pStyle w:val="4"/>
            </w:pPr>
            <w:r>
              <w:t>对用户的登录、认证和安全事件等数据进行全面的数据收集和分析。包括：用户登录行为统计、身份认证成功率统计、安全事件统计分析、用户行为分析、身份认证日志分析、用户反馈分析等。</w:t>
            </w:r>
          </w:p>
        </w:tc>
      </w:tr>
    </w:tbl>
    <w:p w14:paraId="53FCE85F">
      <w:pPr>
        <w:pStyle w:val="4"/>
      </w:pPr>
      <w:r>
        <w:t>1-2 标的名称：数据资源管理平台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6293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AB7CDC">
            <w:pPr>
              <w:pStyle w:val="4"/>
              <w:jc w:val="center"/>
            </w:pPr>
            <w:r>
              <w:t xml:space="preserve"> 参数性质</w:t>
            </w:r>
          </w:p>
        </w:tc>
        <w:tc>
          <w:tcPr>
            <w:tcW w:w="2769" w:type="dxa"/>
          </w:tcPr>
          <w:p w14:paraId="05272710">
            <w:pPr>
              <w:pStyle w:val="4"/>
              <w:jc w:val="center"/>
            </w:pPr>
            <w:r>
              <w:t xml:space="preserve"> 序号</w:t>
            </w:r>
          </w:p>
        </w:tc>
        <w:tc>
          <w:tcPr>
            <w:tcW w:w="2769" w:type="dxa"/>
          </w:tcPr>
          <w:p w14:paraId="4EE7DD55">
            <w:pPr>
              <w:pStyle w:val="4"/>
              <w:jc w:val="center"/>
            </w:pPr>
            <w:r>
              <w:t xml:space="preserve"> 技术参数与性能指标</w:t>
            </w:r>
          </w:p>
        </w:tc>
      </w:tr>
      <w:tr w14:paraId="03F79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0B0F618E"/>
        </w:tc>
        <w:tc>
          <w:tcPr>
            <w:tcW w:w="2769" w:type="dxa"/>
          </w:tcPr>
          <w:p w14:paraId="7D7E73FF">
            <w:pPr>
              <w:pStyle w:val="4"/>
              <w:jc w:val="center"/>
            </w:pPr>
            <w:r>
              <w:t>1</w:t>
            </w:r>
          </w:p>
        </w:tc>
        <w:tc>
          <w:tcPr>
            <w:tcW w:w="2769" w:type="dxa"/>
          </w:tcPr>
          <w:p w14:paraId="143833EB">
            <w:pPr>
              <w:pStyle w:val="4"/>
            </w:pPr>
            <w:r>
              <w:t>数据资源管理平台功能概述</w:t>
            </w:r>
          </w:p>
          <w:p w14:paraId="467D88C5">
            <w:pPr>
              <w:pStyle w:val="4"/>
            </w:pPr>
            <w:r>
              <w:t>用于各业务应用系统数据交互，便于管理人员集中实施数据管控与维护，为辅助决策系统等提供支持。</w:t>
            </w:r>
          </w:p>
          <w:p w14:paraId="1C397030">
            <w:pPr>
              <w:pStyle w:val="4"/>
            </w:pPr>
            <w:r>
              <w:t>数据资源管理平台须在签订合同前或与在提交深化设计方案时同步提供安全性第三方检验报告证明材料。验收时提供符合甲方实际情况的《数据标准》《数据治理实施规划》《数据安全建设规范》《数据管理办法》《数据使用授权规范》《数据集成与共享规范》《配套工作流程、管理制度、工作规范》《数据资源分级分类办法》等。</w:t>
            </w:r>
          </w:p>
        </w:tc>
      </w:tr>
      <w:tr w14:paraId="007EF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7F8F14"/>
        </w:tc>
        <w:tc>
          <w:tcPr>
            <w:tcW w:w="2769" w:type="dxa"/>
          </w:tcPr>
          <w:p w14:paraId="00A88A66">
            <w:pPr>
              <w:pStyle w:val="4"/>
              <w:jc w:val="center"/>
            </w:pPr>
            <w:r>
              <w:t>2</w:t>
            </w:r>
          </w:p>
        </w:tc>
        <w:tc>
          <w:tcPr>
            <w:tcW w:w="2769" w:type="dxa"/>
          </w:tcPr>
          <w:p w14:paraId="0184093D">
            <w:pPr>
              <w:pStyle w:val="4"/>
            </w:pPr>
            <w:r>
              <w:t>数据标准</w:t>
            </w:r>
            <w:r>
              <w:br w:type="textWrapping"/>
            </w:r>
          </w:p>
          <w:p w14:paraId="2AE655D6">
            <w:pPr>
              <w:pStyle w:val="4"/>
            </w:pPr>
            <w:r>
              <w:t>数据标准管理负责维护统一的数据标准信息，是各信息业务系统建设、业务数据交互的重要参考。</w:t>
            </w:r>
            <w:r>
              <w:br w:type="textWrapping"/>
            </w:r>
          </w:p>
          <w:p w14:paraId="46158729">
            <w:pPr>
              <w:pStyle w:val="4"/>
            </w:pPr>
            <w:r>
              <w:t>（1）标准文档管理</w:t>
            </w:r>
            <w:r>
              <w:br w:type="textWrapping"/>
            </w:r>
          </w:p>
          <w:p w14:paraId="089FA4D3">
            <w:pPr>
              <w:pStyle w:val="4"/>
            </w:pPr>
            <w:r>
              <w:t>支持文档分类上传，按标准类型、文档类型分类存储；支持文档关联，可将文档与具体的标准（如某数据元、某指标）绑定，查阅标准时可直接调取关联文档；支持文档版本管理，文档更新时保留历史版本，支持版本下载与对比。</w:t>
            </w:r>
            <w:r>
              <w:br w:type="textWrapping"/>
            </w:r>
          </w:p>
          <w:p w14:paraId="76A89C8B">
            <w:pPr>
              <w:pStyle w:val="4"/>
            </w:pPr>
            <w:r>
              <w:t>标准文档基础信息录入功能需支持必填字段，包括标准名称、编号、发布单位、文档分级；文档分级需涵盖国标、行标、校标等，且支持自定义，支持附件上传。</w:t>
            </w:r>
            <w:r>
              <w:br w:type="textWrapping"/>
            </w:r>
          </w:p>
          <w:p w14:paraId="53FD735B">
            <w:pPr>
              <w:pStyle w:val="4"/>
            </w:pPr>
            <w:r>
              <w:t>（2）数据元标准管理</w:t>
            </w:r>
            <w:r>
              <w:br w:type="textWrapping"/>
            </w:r>
          </w:p>
          <w:p w14:paraId="0E15660D">
            <w:pPr>
              <w:pStyle w:val="4"/>
            </w:pPr>
            <w:r>
              <w:t>数据元标准管理支持标识、名称、数据类型、长度/精度等必填字段；提供英文名称、同义名称、物理库字段、业务定义等文本输入项；数据类型支持下拉选择，并关联长度/精度的数值输入；支持“非空”属性勾选与值域规则设置；同时需提供管理部门、标准文档配置，适配组织与文档关联需求。</w:t>
            </w:r>
            <w:r>
              <w:br w:type="textWrapping"/>
            </w:r>
          </w:p>
          <w:p w14:paraId="134487FA">
            <w:pPr>
              <w:pStyle w:val="4"/>
            </w:pPr>
            <w:r>
              <w:t>（3）代码标准管理</w:t>
            </w:r>
            <w:r>
              <w:br w:type="textWrapping"/>
            </w:r>
          </w:p>
          <w:p w14:paraId="71EACC7B">
            <w:pPr>
              <w:pStyle w:val="4"/>
            </w:pPr>
            <w:r>
              <w:t>代码标准管理需支持标识、标题等必填字段的非空校验；提供物理表名称的预设或输入项，可关联具体数据库表；支持业务部门、管理部门、使用部门的配置，适配多部门关联场景；提供密级选项、标签选择功能。</w:t>
            </w:r>
            <w:r>
              <w:br w:type="textWrapping"/>
            </w:r>
          </w:p>
          <w:p w14:paraId="2779F771">
            <w:pPr>
              <w:pStyle w:val="4"/>
            </w:pPr>
            <w:r>
              <w:t>（4）标准映射</w:t>
            </w:r>
            <w:r>
              <w:br w:type="textWrapping"/>
            </w:r>
          </w:p>
          <w:p w14:paraId="1EEC9132">
            <w:pPr>
              <w:pStyle w:val="4"/>
            </w:pPr>
            <w:r>
              <w:t>代码标准映射支持按代码映射与按标题映射两种模式，其中按代码映射可基于代码标识实现不同系统间代码标准的精准匹配，按标题映射可通过标准标题的关联匹配完成跨体系代码对齐；需配套映射关系的可视化展示功能，支持映射编辑。</w:t>
            </w:r>
            <w:r>
              <w:br w:type="textWrapping"/>
            </w:r>
          </w:p>
          <w:p w14:paraId="363BB9DD">
            <w:pPr>
              <w:pStyle w:val="4"/>
            </w:pPr>
            <w:r>
              <w:t>（5）数据标准服务</w:t>
            </w:r>
            <w:r>
              <w:br w:type="textWrapping"/>
            </w:r>
          </w:p>
          <w:p w14:paraId="1077E5FD">
            <w:pPr>
              <w:pStyle w:val="4"/>
            </w:pPr>
            <w:r>
              <w:t>提供一套初始数据标准、代码标准。针对核心校标进行编制，输出相关标准文档（深化设计方案中明确），围绕院校核心业务，制定涵盖学员信息、教员信息、课程信息、教学资源、科研项目、军事训练、后勤保障等领域的基础数据标准，明确各数据项的名称、定义、数据类型、取值范围、数据格式等技术规范，确保校园基础数据的标准化采集、存储与交换。</w:t>
            </w:r>
          </w:p>
        </w:tc>
      </w:tr>
      <w:tr w14:paraId="347CD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4802B1"/>
        </w:tc>
        <w:tc>
          <w:tcPr>
            <w:tcW w:w="2769" w:type="dxa"/>
          </w:tcPr>
          <w:p w14:paraId="5E0BB5CA">
            <w:pPr>
              <w:pStyle w:val="4"/>
              <w:jc w:val="center"/>
            </w:pPr>
            <w:r>
              <w:t>3</w:t>
            </w:r>
          </w:p>
        </w:tc>
        <w:tc>
          <w:tcPr>
            <w:tcW w:w="2769" w:type="dxa"/>
          </w:tcPr>
          <w:p w14:paraId="119E1601">
            <w:pPr>
              <w:pStyle w:val="4"/>
            </w:pPr>
            <w:r>
              <w:t>数据规划</w:t>
            </w:r>
            <w:r>
              <w:br w:type="textWrapping"/>
            </w:r>
          </w:p>
          <w:p w14:paraId="26452D61">
            <w:pPr>
              <w:pStyle w:val="4"/>
            </w:pPr>
            <w:r>
              <w:t>提供资源目录、数据项、数据字典、定制模板等管理功能。</w:t>
            </w:r>
            <w:r>
              <w:br w:type="textWrapping"/>
            </w:r>
          </w:p>
          <w:p w14:paraId="57D4C1E4">
            <w:pPr>
              <w:pStyle w:val="4"/>
            </w:pPr>
            <w:r>
              <w:t>（1）资源目录</w:t>
            </w:r>
            <w:r>
              <w:br w:type="textWrapping"/>
            </w:r>
          </w:p>
          <w:p w14:paraId="47F404EC">
            <w:pPr>
              <w:pStyle w:val="4"/>
            </w:pPr>
            <w:r>
              <w:t>通过资源目录用户不仅可以按目录层级查询和管理组织的全部数据资源对象，还可以查看当前系统中数据资产情况，包括系统管理的数据对象统计，传统结构化和分布式存储的数据量统计。需提供目录节点的新增、编辑、删除功能。</w:t>
            </w:r>
            <w:r>
              <w:br w:type="textWrapping"/>
            </w:r>
          </w:p>
          <w:p w14:paraId="30CDFF33">
            <w:pPr>
              <w:pStyle w:val="4"/>
            </w:pPr>
            <w:r>
              <w:t>（2）定制模板</w:t>
            </w:r>
            <w:r>
              <w:br w:type="textWrapping"/>
            </w:r>
          </w:p>
          <w:p w14:paraId="518BBF05">
            <w:pPr>
              <w:pStyle w:val="4"/>
            </w:pPr>
            <w:r>
              <w:t>提供定制模板功能，提前预置特定的数据模板，可以一键快速加载数据模板，完成数据标准体系框架建设，极大的降低数据实施成本提升数据实施质量。需支持模板提取和模板导入功能。</w:t>
            </w:r>
            <w:r>
              <w:br w:type="textWrapping"/>
            </w:r>
          </w:p>
          <w:p w14:paraId="7CB17C47">
            <w:pPr>
              <w:pStyle w:val="4"/>
            </w:pPr>
            <w:r>
              <w:t>数据模板设计支持动态查看模板结构；数据模板支持多种表单控件，包括基础数据类控件（字符串、数值、范围、候选型控件），多媒体与文件类控件（图片、文件控件）、结构化数据类控件（数组、表格、Excel、WPS表格控件）、容器与扩展类控件（容器、生成器、曲线型控件）。</w:t>
            </w:r>
            <w:r>
              <w:br w:type="textWrapping"/>
            </w:r>
          </w:p>
          <w:p w14:paraId="16BD5FD6">
            <w:pPr>
              <w:pStyle w:val="4"/>
            </w:pPr>
            <w:r>
              <w:t>数据模板支持拖拽方式灵活摆放各类表单控件；能够支持实时保存数据模板；支持在线预览模板结构；</w:t>
            </w:r>
            <w:r>
              <w:br w:type="textWrapping"/>
            </w:r>
          </w:p>
          <w:p w14:paraId="19638651">
            <w:pPr>
              <w:pStyle w:val="4"/>
            </w:pPr>
            <w:r>
              <w:t>支持创建模板片段，可以通过模板片段创建数据模板；</w:t>
            </w:r>
            <w:r>
              <w:br w:type="textWrapping"/>
            </w:r>
          </w:p>
          <w:p w14:paraId="59E0365C">
            <w:pPr>
              <w:pStyle w:val="4"/>
            </w:pPr>
            <w:r>
              <w:t>数据模板支持审核流程配置和管理，审核通过后数据模板方可生效。</w:t>
            </w:r>
            <w:r>
              <w:br w:type="textWrapping"/>
            </w:r>
          </w:p>
          <w:p w14:paraId="422E455C">
            <w:pPr>
              <w:pStyle w:val="4"/>
            </w:pPr>
            <w:r>
              <w:t>（3）数据项管理</w:t>
            </w:r>
            <w:r>
              <w:br w:type="textWrapping"/>
            </w:r>
          </w:p>
          <w:p w14:paraId="74A49EF1">
            <w:pPr>
              <w:pStyle w:val="4"/>
            </w:pPr>
            <w:r>
              <w:t>通过数据项管理功能，定义操作元数据定义时需要用到的标准公用字段，保证在所有元数据对象中用到该字段时都是统一规范的。需提供数据项的分组、新增、修改、删除和查询功能。</w:t>
            </w:r>
          </w:p>
        </w:tc>
      </w:tr>
      <w:tr w14:paraId="19D48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166EA9"/>
        </w:tc>
        <w:tc>
          <w:tcPr>
            <w:tcW w:w="2769" w:type="dxa"/>
          </w:tcPr>
          <w:p w14:paraId="4CDA5145">
            <w:pPr>
              <w:pStyle w:val="4"/>
              <w:jc w:val="center"/>
            </w:pPr>
            <w:r>
              <w:t>4</w:t>
            </w:r>
          </w:p>
        </w:tc>
        <w:tc>
          <w:tcPr>
            <w:tcW w:w="2769" w:type="dxa"/>
          </w:tcPr>
          <w:p w14:paraId="5D6A9241">
            <w:pPr>
              <w:pStyle w:val="4"/>
            </w:pPr>
            <w:r>
              <w:t>数据采集</w:t>
            </w:r>
          </w:p>
          <w:p w14:paraId="19F33C28">
            <w:pPr>
              <w:pStyle w:val="4"/>
            </w:pPr>
            <w:r>
              <w:t>数据采集支持结构化数据采集和非结构化数据采集，支持的数据源至少包括校内已有数据源和未来建设信息系统将用到的数据库进行适配对接采集（如Hive、MySQL、Kafka、FTP/SFTP、TiDB、Oracle、SQLServer、达梦、金仓、神通，以实际情况为准）。支持分布式数据库迁移方式进行数据采集，以及支持对数据源连接测试功能，保证数据源及时接入连通。</w:t>
            </w:r>
          </w:p>
          <w:p w14:paraId="7128BD19">
            <w:pPr>
              <w:pStyle w:val="4"/>
            </w:pPr>
            <w:r>
              <w:t>数据采集包括数据源管理、采集传输、采集项目管理、采集任务配置、采集执行引擎、采集转换以及采集监测日志等功能。</w:t>
            </w:r>
          </w:p>
          <w:p w14:paraId="2A1C2483">
            <w:pPr>
              <w:pStyle w:val="4"/>
            </w:pPr>
            <w:r>
              <w:t>（1）数据源管理</w:t>
            </w:r>
          </w:p>
          <w:p w14:paraId="5116A7D6">
            <w:pPr>
              <w:pStyle w:val="4"/>
            </w:pPr>
            <w:r>
              <w:t>支持新增、查询、编辑、删除、测试连接功能；数据源数据库类型支持与校内已有信息系统数据库和未来建设信息系统将用到的数据库进行适配对接（如Hive、MySQL、Kafka、FTP/SFTP、TiDB、Oracle、SQLServer、达梦、金仓、神通，以实际情况为准）。</w:t>
            </w:r>
          </w:p>
          <w:p w14:paraId="4A391C14">
            <w:pPr>
              <w:pStyle w:val="4"/>
            </w:pPr>
            <w:r>
              <w:t>（2）采集项目管理</w:t>
            </w:r>
          </w:p>
          <w:p w14:paraId="36C00DDE">
            <w:pPr>
              <w:pStyle w:val="4"/>
            </w:pPr>
            <w:r>
              <w:t>支持对项目进行新增、编辑、删除、查询等功能；</w:t>
            </w:r>
          </w:p>
          <w:p w14:paraId="05628675">
            <w:pPr>
              <w:pStyle w:val="4"/>
            </w:pPr>
            <w:r>
              <w:t>支持将一组相关的数据源、数据资源目录和元数据对象、采集任务、数据采集开发成员关联到同一项目下，进行统一授权集中管理，使用户在权限范围内完成数据采集任务。</w:t>
            </w:r>
          </w:p>
          <w:p w14:paraId="66AABAF0">
            <w:pPr>
              <w:pStyle w:val="4"/>
            </w:pPr>
            <w:r>
              <w:t>（3）采集任务配置</w:t>
            </w:r>
          </w:p>
          <w:p w14:paraId="3D996BFA">
            <w:pPr>
              <w:pStyle w:val="4"/>
            </w:pPr>
            <w:r>
              <w:t>提供在不同数据源的数据对象之间传输数据时的数据对象、数据属性映射配置，以及数据传输规则配置。</w:t>
            </w:r>
          </w:p>
          <w:p w14:paraId="371FB352">
            <w:pPr>
              <w:pStyle w:val="4"/>
            </w:pPr>
            <w:r>
              <w:t>（4）采集执行引擎</w:t>
            </w:r>
          </w:p>
          <w:p w14:paraId="625EC77D">
            <w:pPr>
              <w:pStyle w:val="4"/>
            </w:pPr>
            <w:r>
              <w:t>需实现与校内已有信息系统数据库和未来建设信息系统将用到的各种异构数据源之间稳定高效的数据同步功能。</w:t>
            </w:r>
          </w:p>
          <w:p w14:paraId="1253875F">
            <w:pPr>
              <w:pStyle w:val="4"/>
            </w:pPr>
            <w:r>
              <w:t>支持采集任务调度周期配置，能够根据指定的时间、周期自动调度作业任务，并支持手动单次调度；</w:t>
            </w:r>
          </w:p>
          <w:p w14:paraId="73AD6497">
            <w:pPr>
              <w:pStyle w:val="4"/>
            </w:pPr>
            <w:r>
              <w:t>支持将作业本身状态、数据流量、数据速度、执行进度等信息进行全面的展示，让用户可以实时了解作业状态。</w:t>
            </w:r>
          </w:p>
          <w:p w14:paraId="25510D14">
            <w:pPr>
              <w:pStyle w:val="4"/>
            </w:pPr>
            <w:r>
              <w:t>提供调度日志查看功能。支持在页面上查看单个任务调度时间、调度结果、调度备注、执行时间、执行结果、执行备注等。支持直接在页面上对调度任务进行终止。</w:t>
            </w:r>
          </w:p>
          <w:p w14:paraId="4BBA8825">
            <w:pPr>
              <w:pStyle w:val="4"/>
            </w:pPr>
            <w:r>
              <w:t>（5）采集转换</w:t>
            </w:r>
          </w:p>
          <w:p w14:paraId="55126A49">
            <w:pPr>
              <w:pStyle w:val="4"/>
            </w:pPr>
            <w:r>
              <w:t>支持通过函数对数据进行过滤和转换。</w:t>
            </w:r>
          </w:p>
          <w:p w14:paraId="17395736">
            <w:pPr>
              <w:pStyle w:val="4"/>
            </w:pPr>
            <w:r>
              <w:t>支持表名/字段名的全局转换（通过正则表达式匹配）以及单表表名的转换。</w:t>
            </w:r>
          </w:p>
          <w:p w14:paraId="13B0A673">
            <w:pPr>
              <w:pStyle w:val="4"/>
            </w:pPr>
            <w:r>
              <w:t>支持对源表的字段类型进行全局转换。</w:t>
            </w:r>
          </w:p>
          <w:p w14:paraId="7BFCDC7D">
            <w:pPr>
              <w:pStyle w:val="4"/>
            </w:pPr>
            <w:r>
              <w:t>支持单表的字段映射，并支持直接修改目标端表的内容。</w:t>
            </w:r>
          </w:p>
          <w:p w14:paraId="7FD86C35">
            <w:pPr>
              <w:pStyle w:val="4"/>
            </w:pPr>
            <w:r>
              <w:t>支持对加载到目标表的数据设定过滤条件。</w:t>
            </w:r>
          </w:p>
          <w:p w14:paraId="360B95B7">
            <w:pPr>
              <w:pStyle w:val="4"/>
            </w:pPr>
            <w:r>
              <w:t>（6）采集监测日志</w:t>
            </w:r>
          </w:p>
          <w:p w14:paraId="3F2E25ED">
            <w:pPr>
              <w:pStyle w:val="4"/>
            </w:pPr>
            <w:r>
              <w:t>采集监测日志需记录任务作业和采集执行引擎的运行及状态信息。</w:t>
            </w:r>
          </w:p>
          <w:p w14:paraId="369DEE72">
            <w:pPr>
              <w:pStyle w:val="4"/>
            </w:pPr>
            <w:r>
              <w:t>采集监测日志需记录所有项目下所有的任务作业状态，包括作业调用时间、完成时间、执行参数、执行节点以及完成状态。提供对执行中作业任务的实时可视化监控。</w:t>
            </w:r>
          </w:p>
          <w:p w14:paraId="61AAD186">
            <w:pPr>
              <w:pStyle w:val="4"/>
            </w:pPr>
            <w:r>
              <w:t>支持用户快速定位任务运行状态和异常原因。</w:t>
            </w:r>
          </w:p>
          <w:p w14:paraId="5EBCF9D8">
            <w:pPr>
              <w:pStyle w:val="4"/>
            </w:pPr>
            <w:r>
              <w:t>（7）多模态数据采集</w:t>
            </w:r>
          </w:p>
          <w:p w14:paraId="178F56DD">
            <w:pPr>
              <w:pStyle w:val="4"/>
            </w:pPr>
            <w:r>
              <w:t>除常规结构化数据外，系统需提供多模态数据采集能力，包括包含文本、图像、音频、视频、传感器数值等不同类型的数据。</w:t>
            </w:r>
          </w:p>
          <w:p w14:paraId="289B0C60">
            <w:pPr>
              <w:pStyle w:val="4"/>
            </w:pPr>
            <w:r>
              <w:t>①数据集管理</w:t>
            </w:r>
          </w:p>
          <w:p w14:paraId="42CB22E6">
            <w:pPr>
              <w:pStyle w:val="4"/>
            </w:pPr>
            <w:r>
              <w:t>数据集管理支持数据集名称、摘要等必填字段和封面图片上传功能，数据可见范围需支持配置；支持数据来源、分类、所属机构需配置，同时提供数据标签、模版的关联配置功能。</w:t>
            </w:r>
          </w:p>
          <w:p w14:paraId="4562B39A">
            <w:pPr>
              <w:pStyle w:val="4"/>
            </w:pPr>
            <w:r>
              <w:t>②数据上传</w:t>
            </w:r>
          </w:p>
          <w:p w14:paraId="2E282CC9">
            <w:pPr>
              <w:pStyle w:val="4"/>
            </w:pPr>
            <w:r>
              <w:t>数据上传支持表单上传和文件批量上传两种方式，表单上传以表单方式支持数据录入，文件批量上传支持通过导入方式批量上传数据。</w:t>
            </w:r>
          </w:p>
        </w:tc>
      </w:tr>
      <w:tr w14:paraId="38866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9E374F"/>
        </w:tc>
        <w:tc>
          <w:tcPr>
            <w:tcW w:w="2769" w:type="dxa"/>
          </w:tcPr>
          <w:p w14:paraId="3AD75A72">
            <w:pPr>
              <w:pStyle w:val="4"/>
              <w:jc w:val="center"/>
            </w:pPr>
            <w:r>
              <w:t>5</w:t>
            </w:r>
          </w:p>
        </w:tc>
        <w:tc>
          <w:tcPr>
            <w:tcW w:w="2769" w:type="dxa"/>
          </w:tcPr>
          <w:p w14:paraId="7768ACC9">
            <w:pPr>
              <w:pStyle w:val="4"/>
            </w:pPr>
            <w:r>
              <w:t>数据维护</w:t>
            </w:r>
            <w:r>
              <w:br w:type="textWrapping"/>
            </w:r>
          </w:p>
          <w:p w14:paraId="7B4302B8">
            <w:pPr>
              <w:pStyle w:val="4"/>
            </w:pPr>
            <w:r>
              <w:t>数据维护旨在为数据维护管理人员提供一个集中管理和维护基础数据的平台，确保数据的质量、安全和合规性。</w:t>
            </w:r>
            <w:r>
              <w:br w:type="textWrapping"/>
            </w:r>
          </w:p>
          <w:p w14:paraId="2B7BE042">
            <w:pPr>
              <w:pStyle w:val="4"/>
            </w:pPr>
            <w:r>
              <w:t>数据维护包括基础数据的初始录入、数据源接入与配置、数据代码、数据标准和数据字典维护、脚本维护、元模型维护、元数据管理、数据安全策略、备份与迁移、数据加密与访问控制、数据质量监控与报告、日志与审计等功能。</w:t>
            </w:r>
            <w:r>
              <w:br w:type="textWrapping"/>
            </w:r>
          </w:p>
          <w:p w14:paraId="60CD7B15">
            <w:pPr>
              <w:pStyle w:val="4"/>
            </w:pPr>
            <w:r>
              <w:t>（1）基础数据的初始录入</w:t>
            </w:r>
            <w:r>
              <w:br w:type="textWrapping"/>
            </w:r>
          </w:p>
          <w:p w14:paraId="50A6BEDB">
            <w:pPr>
              <w:pStyle w:val="4"/>
            </w:pPr>
            <w:r>
              <w:t>支持批量导入数据，导入格式支持Excel、WPS工作表、CSV等格式。</w:t>
            </w:r>
            <w:r>
              <w:br w:type="textWrapping"/>
            </w:r>
          </w:p>
          <w:p w14:paraId="6DE9C42B">
            <w:pPr>
              <w:pStyle w:val="4"/>
            </w:pPr>
            <w:r>
              <w:t>导入数据时，支持根据预设的规则和约束条件对数据进行校验，发现错误或警告进行提示。</w:t>
            </w:r>
            <w:r>
              <w:br w:type="textWrapping"/>
            </w:r>
          </w:p>
          <w:p w14:paraId="7D62C729">
            <w:pPr>
              <w:pStyle w:val="4"/>
            </w:pPr>
            <w:r>
              <w:t>（2）数据源接入与配置</w:t>
            </w:r>
            <w:r>
              <w:br w:type="textWrapping"/>
            </w:r>
          </w:p>
          <w:p w14:paraId="4320CEBA">
            <w:pPr>
              <w:pStyle w:val="4"/>
            </w:pPr>
            <w:r>
              <w:t>提供数据源管理功能，支持新增、查询、编辑、删除、测试连接功能。</w:t>
            </w:r>
            <w:r>
              <w:br w:type="textWrapping"/>
            </w:r>
          </w:p>
          <w:p w14:paraId="579D08B6">
            <w:pPr>
              <w:pStyle w:val="4"/>
            </w:pPr>
            <w:r>
              <w:t>支持对数据库、文件、API等各类数据源进行接入和配置。</w:t>
            </w:r>
            <w:r>
              <w:br w:type="textWrapping"/>
            </w:r>
          </w:p>
          <w:p w14:paraId="6EEED694">
            <w:pPr>
              <w:pStyle w:val="4"/>
            </w:pPr>
            <w:r>
              <w:t>支持数据抽取和同步能力，能够定期或实时地从数据源中抽取数据，并确保数据的及时性和一致性。</w:t>
            </w:r>
            <w:r>
              <w:br w:type="textWrapping"/>
            </w:r>
          </w:p>
          <w:p w14:paraId="2F183974">
            <w:pPr>
              <w:pStyle w:val="4"/>
            </w:pPr>
            <w:r>
              <w:t>（3）数据代码、数据标准和数据字典维护</w:t>
            </w:r>
            <w:r>
              <w:br w:type="textWrapping"/>
            </w:r>
          </w:p>
          <w:p w14:paraId="697F38D9">
            <w:pPr>
              <w:pStyle w:val="4"/>
            </w:pPr>
            <w:r>
              <w:t>支持数据代码管理功能，包括数据代码的添加、编辑和删除以及设置代码的取值范围和含义。</w:t>
            </w:r>
            <w:r>
              <w:br w:type="textWrapping"/>
            </w:r>
          </w:p>
          <w:p w14:paraId="151E8B3B">
            <w:pPr>
              <w:pStyle w:val="4"/>
            </w:pPr>
            <w:r>
              <w:t>支持数据标准和数据字典的维护，包括添加、编辑、删除、分类、查询以及引用等操作；</w:t>
            </w:r>
            <w:r>
              <w:br w:type="textWrapping"/>
            </w:r>
          </w:p>
          <w:p w14:paraId="4B9A0717">
            <w:pPr>
              <w:pStyle w:val="4"/>
            </w:pPr>
            <w:r>
              <w:t>数据字典维护内容包括字段解释、数据类型、取值范围等以及支持数据字典查询和更新功能。</w:t>
            </w:r>
            <w:r>
              <w:br w:type="textWrapping"/>
            </w:r>
          </w:p>
          <w:p w14:paraId="11ABD971">
            <w:pPr>
              <w:pStyle w:val="4"/>
            </w:pPr>
            <w:r>
              <w:t>数据字典支持对新增数据元时涉及数据可能取值范围和标准规范进行规范；支持对数据字典进行整合管理，为系统中的数据库提供统一的数据字典。</w:t>
            </w:r>
            <w:r>
              <w:br w:type="textWrapping"/>
            </w:r>
          </w:p>
          <w:p w14:paraId="2639795F">
            <w:pPr>
              <w:pStyle w:val="4"/>
            </w:pPr>
            <w:r>
              <w:t>（4）脚本维护</w:t>
            </w:r>
            <w:r>
              <w:br w:type="textWrapping"/>
            </w:r>
          </w:p>
          <w:p w14:paraId="26F56B4E">
            <w:pPr>
              <w:pStyle w:val="4"/>
            </w:pPr>
            <w:r>
              <w:t>提供数据脚本维护能力，支持在线编制数据脚本，兼容主流开发语言。</w:t>
            </w:r>
            <w:r>
              <w:br w:type="textWrapping"/>
            </w:r>
          </w:p>
          <w:p w14:paraId="4D936F70">
            <w:pPr>
              <w:pStyle w:val="4"/>
            </w:pPr>
            <w:r>
              <w:t>提供数据脚本版本管理能力，支持多维度版本信息管理与查询，维度包括提交人、版本号、提交时间。</w:t>
            </w:r>
            <w:r>
              <w:br w:type="textWrapping"/>
            </w:r>
          </w:p>
          <w:p w14:paraId="7DFB6651">
            <w:pPr>
              <w:pStyle w:val="4"/>
            </w:pPr>
            <w:r>
              <w:t>（5）元模型维护</w:t>
            </w:r>
            <w:r>
              <w:br w:type="textWrapping"/>
            </w:r>
          </w:p>
          <w:p w14:paraId="523DBAE5">
            <w:pPr>
              <w:pStyle w:val="4"/>
            </w:pPr>
            <w:r>
              <w:t>支持通过元模型对物理模型进行属性的管理（数据资源类型的关联、属性的查看、新建、删除、分类、修改）。</w:t>
            </w:r>
            <w:r>
              <w:br w:type="textWrapping"/>
            </w:r>
          </w:p>
          <w:p w14:paraId="02614B23">
            <w:pPr>
              <w:pStyle w:val="4"/>
            </w:pPr>
            <w:r>
              <w:t>支持创建元模型，内容包括业务元数据、技术元数据和管理元数据等，创建方式包括自动和手动采集等。</w:t>
            </w:r>
            <w:r>
              <w:br w:type="textWrapping"/>
            </w:r>
          </w:p>
          <w:p w14:paraId="16DF3AC7">
            <w:pPr>
              <w:pStyle w:val="4"/>
            </w:pPr>
            <w:r>
              <w:t>提供数据源管理、元数据采集、元数据维护、元数据分析、数据地图；支持一键自动采集元数据，解决手工添加元数据的麻烦；支持数据地图下钻；支持字段的追本溯源及影响分析，支持元数据版本管理。</w:t>
            </w:r>
            <w:r>
              <w:br w:type="textWrapping"/>
            </w:r>
          </w:p>
          <w:p w14:paraId="315793DF">
            <w:pPr>
              <w:pStyle w:val="4"/>
            </w:pPr>
            <w:r>
              <w:t>支持一键自动采集元数据，元数据变化采集到新版本，手工采集可以浏览已采集、未采集，查询数据库与元数据不一致的表、视图。</w:t>
            </w:r>
            <w:r>
              <w:br w:type="textWrapping"/>
            </w:r>
          </w:p>
          <w:p w14:paraId="1AA6035B">
            <w:pPr>
              <w:pStyle w:val="4"/>
            </w:pPr>
            <w:r>
              <w:t>支持查看系统表结构、视图信息；追踪查看元数据的历史版本信息和轨迹记录，对元数据结构的增加、删除、修改、查询，关联关系维护。</w:t>
            </w:r>
            <w:r>
              <w:br w:type="textWrapping"/>
            </w:r>
          </w:p>
          <w:p w14:paraId="6D30C235">
            <w:pPr>
              <w:pStyle w:val="4"/>
            </w:pPr>
            <w:r>
              <w:t>支持依据元数据关系自动查看数据地图，无需人工编辑。</w:t>
            </w:r>
            <w:r>
              <w:br w:type="textWrapping"/>
            </w:r>
          </w:p>
          <w:p w14:paraId="2BE6AAF3">
            <w:pPr>
              <w:pStyle w:val="4"/>
            </w:pPr>
            <w:r>
              <w:t>（7）数据安全策略、备份与迁移</w:t>
            </w:r>
            <w:r>
              <w:br w:type="textWrapping"/>
            </w:r>
          </w:p>
          <w:p w14:paraId="24B9E627">
            <w:pPr>
              <w:pStyle w:val="4"/>
            </w:pPr>
            <w:r>
              <w:t>提供数据安全策略管理功能，允许数据维护人员定义和配置安全策略，包括数据访问权限、用户角色授权管理、用户权限认证、数据安全审计以及数据脱敏等。</w:t>
            </w:r>
            <w:r>
              <w:br w:type="textWrapping"/>
            </w:r>
          </w:p>
          <w:p w14:paraId="30C8AC16">
            <w:pPr>
              <w:pStyle w:val="4"/>
            </w:pPr>
            <w:r>
              <w:t>支持对接已有备份软件，定期或按需对数据进行备份。</w:t>
            </w:r>
            <w:r>
              <w:br w:type="textWrapping"/>
            </w:r>
          </w:p>
          <w:p w14:paraId="0485CBF9">
            <w:pPr>
              <w:pStyle w:val="4"/>
            </w:pPr>
            <w:r>
              <w:t>（8）数据加密与访问控制</w:t>
            </w:r>
            <w:r>
              <w:br w:type="textWrapping"/>
            </w:r>
          </w:p>
          <w:p w14:paraId="495C2881">
            <w:pPr>
              <w:pStyle w:val="4"/>
            </w:pPr>
            <w:r>
              <w:t>支持数据加密和解密操作，数据加密支持应用对称加密和非对称加密。</w:t>
            </w:r>
            <w:r>
              <w:br w:type="textWrapping"/>
            </w:r>
          </w:p>
          <w:p w14:paraId="411E14CE">
            <w:pPr>
              <w:pStyle w:val="4"/>
            </w:pPr>
            <w:r>
              <w:t>具备访问控制管理功能，支持根据用户角色和权限设置数据的访问控制策略。</w:t>
            </w:r>
            <w:r>
              <w:br w:type="textWrapping"/>
            </w:r>
          </w:p>
          <w:p w14:paraId="28A3BF52">
            <w:pPr>
              <w:pStyle w:val="4"/>
            </w:pPr>
            <w:r>
              <w:t>（9）数据质量监控与报告</w:t>
            </w:r>
            <w:r>
              <w:br w:type="textWrapping"/>
            </w:r>
          </w:p>
          <w:p w14:paraId="1CB2CA9B">
            <w:pPr>
              <w:pStyle w:val="4"/>
            </w:pPr>
            <w:r>
              <w:t>支持数据质量监控，通过定义数据质量规则和指标，监控数据的质量状况。支持对质量治理作业执行情况、质量情况等进行监控</w:t>
            </w:r>
            <w:r>
              <w:br w:type="textWrapping"/>
            </w:r>
          </w:p>
          <w:p w14:paraId="0A05424B">
            <w:pPr>
              <w:pStyle w:val="4"/>
            </w:pPr>
            <w:r>
              <w:t>提供对数据进行实时监测和定期检查的功能，支持定期生成数据质量报告，供数据维护人员和相关用户参考和分析。</w:t>
            </w:r>
            <w:r>
              <w:br w:type="textWrapping"/>
            </w:r>
          </w:p>
          <w:p w14:paraId="5059E344">
            <w:pPr>
              <w:pStyle w:val="4"/>
            </w:pPr>
            <w:r>
              <w:t>（10）日志与审计</w:t>
            </w:r>
            <w:r>
              <w:br w:type="textWrapping"/>
            </w:r>
          </w:p>
          <w:p w14:paraId="448A9B14">
            <w:pPr>
              <w:pStyle w:val="4"/>
            </w:pPr>
            <w:r>
              <w:t>支持记录系统的运行日志和用户操作日志（包含用户对数据的访问和操作日志）等内容。提供日志管理功能，包括日志收集、存储、分析和查询等功能。</w:t>
            </w:r>
            <w:r>
              <w:br w:type="textWrapping"/>
            </w:r>
          </w:p>
          <w:p w14:paraId="14A0FF77">
            <w:pPr>
              <w:pStyle w:val="4"/>
            </w:pPr>
            <w:r>
              <w:t>支持追踪用户的操作行为，保证数据的安全性和合规性。</w:t>
            </w:r>
          </w:p>
        </w:tc>
      </w:tr>
      <w:tr w14:paraId="70898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0D2CBF"/>
        </w:tc>
        <w:tc>
          <w:tcPr>
            <w:tcW w:w="2769" w:type="dxa"/>
          </w:tcPr>
          <w:p w14:paraId="1F90C850">
            <w:pPr>
              <w:pStyle w:val="4"/>
              <w:jc w:val="center"/>
            </w:pPr>
            <w:r>
              <w:t>6</w:t>
            </w:r>
          </w:p>
        </w:tc>
        <w:tc>
          <w:tcPr>
            <w:tcW w:w="2769" w:type="dxa"/>
          </w:tcPr>
          <w:p w14:paraId="27BAE9AA">
            <w:pPr>
              <w:pStyle w:val="4"/>
            </w:pPr>
            <w:r>
              <w:t>数据查询</w:t>
            </w:r>
            <w:r>
              <w:br w:type="textWrapping"/>
            </w:r>
          </w:p>
          <w:p w14:paraId="14F2C78E">
            <w:pPr>
              <w:pStyle w:val="4"/>
            </w:pPr>
            <w:r>
              <w:t>数据查询支持任意字段、任意内容自定义查询，字段与字段组合查询，任意表组合查询。可自定义表结构，支持查询时字段自定义编辑，提供可视化管理界面。</w:t>
            </w:r>
            <w:r>
              <w:br w:type="textWrapping"/>
            </w:r>
          </w:p>
          <w:p w14:paraId="11B5B0CC">
            <w:pPr>
              <w:pStyle w:val="4"/>
            </w:pPr>
            <w:r>
              <w:t>数据查询包括查询支持、查询优化、查询结果展示与排序等功能。</w:t>
            </w:r>
            <w:r>
              <w:br w:type="textWrapping"/>
            </w:r>
          </w:p>
          <w:p w14:paraId="5A8E7ACE">
            <w:pPr>
              <w:pStyle w:val="4"/>
            </w:pPr>
            <w:r>
              <w:t>（1）查询支持</w:t>
            </w:r>
            <w:r>
              <w:br w:type="textWrapping"/>
            </w:r>
          </w:p>
          <w:p w14:paraId="3129ABB8">
            <w:pPr>
              <w:pStyle w:val="4"/>
            </w:pPr>
            <w:r>
              <w:t>支持高级查询、查询解析与优化、查询扩展与纠错功能，</w:t>
            </w:r>
            <w:r>
              <w:br w:type="textWrapping"/>
            </w:r>
          </w:p>
          <w:p w14:paraId="0A109023">
            <w:pPr>
              <w:pStyle w:val="4"/>
            </w:pPr>
            <w:r>
              <w:t>高级查询支持拼音查询、范围查询、模糊查询、布尔查询、聚合查询以及任意表任意字段任意条件组合查询等复杂的查询操作。</w:t>
            </w:r>
            <w:r>
              <w:br w:type="textWrapping"/>
            </w:r>
          </w:p>
          <w:p w14:paraId="5E392CE2">
            <w:pPr>
              <w:pStyle w:val="4"/>
            </w:pPr>
            <w:r>
              <w:t>查询解析与优化需能够识别查询条件和操作符，支持语法分析和语义理解。需根据查询特点和索引结构，优化查询执行计划。</w:t>
            </w:r>
            <w:r>
              <w:br w:type="textWrapping"/>
            </w:r>
          </w:p>
          <w:p w14:paraId="31BBA88B">
            <w:pPr>
              <w:pStyle w:val="4"/>
            </w:pPr>
            <w:r>
              <w:t>查询扩展与纠错需根据查询的关键词和上下文提供相关的查询扩展建议和纠错提示。</w:t>
            </w:r>
            <w:r>
              <w:br w:type="textWrapping"/>
            </w:r>
          </w:p>
          <w:p w14:paraId="501362F6">
            <w:pPr>
              <w:pStyle w:val="4"/>
            </w:pPr>
            <w:r>
              <w:t>支持多种聚合运算，包括类似求和、技术、求平均值、求最大值、求最小值、分组统计、范围聚合。</w:t>
            </w:r>
            <w:r>
              <w:br w:type="textWrapping"/>
            </w:r>
          </w:p>
          <w:p w14:paraId="75D603B0">
            <w:pPr>
              <w:pStyle w:val="4"/>
            </w:pPr>
            <w:r>
              <w:t>（2）查询优化</w:t>
            </w:r>
            <w:r>
              <w:br w:type="textWrapping"/>
            </w:r>
          </w:p>
          <w:p w14:paraId="6CC8BE90">
            <w:pPr>
              <w:pStyle w:val="4"/>
            </w:pPr>
            <w:r>
              <w:t>查询优化支持查询缓存机制、分布式检索和查询负载均衡等功能。</w:t>
            </w:r>
            <w:r>
              <w:br w:type="textWrapping"/>
            </w:r>
          </w:p>
          <w:p w14:paraId="68E26036">
            <w:pPr>
              <w:pStyle w:val="4"/>
            </w:pPr>
            <w:r>
              <w:t>查询缓存机制支持缓存常用查询结果。</w:t>
            </w:r>
            <w:r>
              <w:br w:type="textWrapping"/>
            </w:r>
          </w:p>
          <w:p w14:paraId="52E04E63">
            <w:pPr>
              <w:pStyle w:val="4"/>
            </w:pPr>
            <w:r>
              <w:t>分布式检索支持将索引和查询任务分布到多个节点进行并行处理。</w:t>
            </w:r>
            <w:r>
              <w:br w:type="textWrapping"/>
            </w:r>
          </w:p>
          <w:p w14:paraId="422E5CCF">
            <w:pPr>
              <w:pStyle w:val="4"/>
            </w:pPr>
            <w:r>
              <w:t>查询负载均衡需根据集群节点的负载情况和查询请求的分布，动态调整查询任务的负载均衡。</w:t>
            </w:r>
            <w:r>
              <w:br w:type="textWrapping"/>
            </w:r>
          </w:p>
          <w:p w14:paraId="0B3915B3">
            <w:pPr>
              <w:pStyle w:val="4"/>
            </w:pPr>
            <w:r>
              <w:t>（3）查询结果展示与排序</w:t>
            </w:r>
            <w:r>
              <w:br w:type="textWrapping"/>
            </w:r>
          </w:p>
          <w:p w14:paraId="6038EDEA">
            <w:pPr>
              <w:pStyle w:val="4"/>
            </w:pPr>
            <w:r>
              <w:t>查询结果展示与排序支持结果过滤与排序、搜索结果高亮以及相关搜索推荐等功能。</w:t>
            </w:r>
            <w:r>
              <w:br w:type="textWrapping"/>
            </w:r>
          </w:p>
          <w:p w14:paraId="13D8AF19">
            <w:pPr>
              <w:pStyle w:val="4"/>
            </w:pPr>
            <w:r>
              <w:t>结果过滤与排序需根据查询条件和需求，对搜索结果进行过滤和排序，排序方式支持按相关性、时间、热度等进行。</w:t>
            </w:r>
            <w:r>
              <w:br w:type="textWrapping"/>
            </w:r>
          </w:p>
          <w:p w14:paraId="2D976C2F">
            <w:pPr>
              <w:pStyle w:val="4"/>
            </w:pPr>
            <w:r>
              <w:t>搜索结果高亮支持对匹配查询条件的关键词进行高亮显示。</w:t>
            </w:r>
            <w:r>
              <w:br w:type="textWrapping"/>
            </w:r>
          </w:p>
          <w:p w14:paraId="3DAA6B5B">
            <w:pPr>
              <w:pStyle w:val="4"/>
            </w:pPr>
            <w:r>
              <w:t>相关搜索推荐支持根据查询历史和行为，提供相关搜索推荐。任意查询结果可以生成新的表格和视图，用户可以在新的表格中任意增减字段，并作为新表作为新的统计源，该表还支持按单位部门逐级统计汇总和数据分析功能。</w:t>
            </w:r>
          </w:p>
        </w:tc>
      </w:tr>
      <w:tr w14:paraId="297BE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215662"/>
        </w:tc>
        <w:tc>
          <w:tcPr>
            <w:tcW w:w="2769" w:type="dxa"/>
          </w:tcPr>
          <w:p w14:paraId="05CF1B46">
            <w:pPr>
              <w:pStyle w:val="4"/>
              <w:jc w:val="center"/>
            </w:pPr>
            <w:r>
              <w:t>7</w:t>
            </w:r>
          </w:p>
        </w:tc>
        <w:tc>
          <w:tcPr>
            <w:tcW w:w="2769" w:type="dxa"/>
          </w:tcPr>
          <w:p w14:paraId="49C7FCD7">
            <w:pPr>
              <w:pStyle w:val="4"/>
            </w:pPr>
            <w:r>
              <w:t>数据分析</w:t>
            </w:r>
            <w:r>
              <w:br w:type="textWrapping"/>
            </w:r>
          </w:p>
          <w:p w14:paraId="2DB3C3D9">
            <w:pPr>
              <w:pStyle w:val="4"/>
            </w:pPr>
            <w:r>
              <w:t>数据分析包括数据汇总与统计、多维分析、即席分析、数据报告、地理信息分析、关键指标展示等功能。</w:t>
            </w:r>
            <w:r>
              <w:br w:type="textWrapping"/>
            </w:r>
          </w:p>
          <w:p w14:paraId="4BA230E1">
            <w:pPr>
              <w:pStyle w:val="4"/>
            </w:pPr>
            <w:r>
              <w:t>（1）数据汇总与统计</w:t>
            </w:r>
            <w:r>
              <w:br w:type="textWrapping"/>
            </w:r>
          </w:p>
          <w:p w14:paraId="39CCA35F">
            <w:pPr>
              <w:pStyle w:val="4"/>
            </w:pPr>
            <w:r>
              <w:t>支持对大规模数据进行汇总和统计，生成汇总报表、趋势分析报表、排名报表等各类报表。</w:t>
            </w:r>
            <w:r>
              <w:br w:type="textWrapping"/>
            </w:r>
          </w:p>
          <w:p w14:paraId="6FCC1B53">
            <w:pPr>
              <w:pStyle w:val="4"/>
            </w:pPr>
            <w:r>
              <w:t>提供灵活的报表设计与定制功能，根据需求选择指标、维度、筛选条件等内容，生成业务需求的报表。</w:t>
            </w:r>
            <w:r>
              <w:br w:type="textWrapping"/>
            </w:r>
          </w:p>
          <w:p w14:paraId="364F9EAB">
            <w:pPr>
              <w:pStyle w:val="4"/>
            </w:pPr>
            <w:r>
              <w:t>（2）多维分析</w:t>
            </w:r>
            <w:r>
              <w:br w:type="textWrapping"/>
            </w:r>
          </w:p>
          <w:p w14:paraId="57BF794A">
            <w:pPr>
              <w:pStyle w:val="4"/>
            </w:pPr>
            <w:r>
              <w:t>支持多维数据切片与切割、OLAP分析等功能。</w:t>
            </w:r>
            <w:r>
              <w:br w:type="textWrapping"/>
            </w:r>
          </w:p>
          <w:p w14:paraId="481AAADF">
            <w:pPr>
              <w:pStyle w:val="4"/>
            </w:pPr>
            <w:r>
              <w:t>多维数据切片与切割支持将数据按照不同的维度进行切片和切割。</w:t>
            </w:r>
            <w:r>
              <w:br w:type="textWrapping"/>
            </w:r>
          </w:p>
          <w:p w14:paraId="7E9F33B4">
            <w:pPr>
              <w:pStyle w:val="4"/>
            </w:pPr>
            <w:r>
              <w:t>OLAP分析支持钻取、切换维度、聚合计算等操作，提供高效的多维数据分析功能。多维自助分析功能需汇聚校园所有重要的维度及指标，提供各种个性化场景的即席分析及汇报，延伸大数据的灵活性及场景的多样性，满足用户临时突发的分析需求，支持用户对数据进行简单快速的深入分析与洞察，并从中挖掘规律及定位问题。</w:t>
            </w:r>
            <w:r>
              <w:br w:type="textWrapping"/>
            </w:r>
          </w:p>
          <w:p w14:paraId="706744FD">
            <w:pPr>
              <w:pStyle w:val="4"/>
            </w:pPr>
            <w:r>
              <w:t>①维度、指标汇聚：支持以汇聚或录入的方式形成可用的分析维度、指标列表，供用户选择使用。</w:t>
            </w:r>
            <w:r>
              <w:br w:type="textWrapping"/>
            </w:r>
          </w:p>
          <w:p w14:paraId="041CA12F">
            <w:pPr>
              <w:pStyle w:val="4"/>
            </w:pPr>
            <w:r>
              <w:t>②自助分析：支持用户通过简单的选择、拖拽等操作即可实现所需维度、指标的组合，完成分析操作。</w:t>
            </w:r>
            <w:r>
              <w:br w:type="textWrapping"/>
            </w:r>
          </w:p>
          <w:p w14:paraId="5E547FBB">
            <w:pPr>
              <w:pStyle w:val="4"/>
            </w:pPr>
            <w:r>
              <w:t>③分析结果展示：支持根据用户所选择维度、指标将分析结果进行呈现。</w:t>
            </w:r>
            <w:r>
              <w:br w:type="textWrapping"/>
            </w:r>
          </w:p>
          <w:p w14:paraId="7C2F8904">
            <w:pPr>
              <w:pStyle w:val="4"/>
            </w:pPr>
            <w:r>
              <w:t>（3）即席分析</w:t>
            </w:r>
            <w:r>
              <w:br w:type="textWrapping"/>
            </w:r>
          </w:p>
          <w:p w14:paraId="33530A08">
            <w:pPr>
              <w:pStyle w:val="4"/>
            </w:pPr>
            <w:r>
              <w:t>支持自助查询与分析、数据可视化等功能。</w:t>
            </w:r>
            <w:r>
              <w:br w:type="textWrapping"/>
            </w:r>
          </w:p>
          <w:p w14:paraId="65DA5403">
            <w:pPr>
              <w:pStyle w:val="4"/>
            </w:pPr>
            <w:r>
              <w:t>自助查询与分析提供直观易用的查询界面和交互式分析工具，使用户自主进行数据查询、过滤、排序和可视化分析。</w:t>
            </w:r>
            <w:r>
              <w:br w:type="textWrapping"/>
            </w:r>
          </w:p>
          <w:p w14:paraId="58565BEC">
            <w:pPr>
              <w:pStyle w:val="4"/>
            </w:pPr>
            <w:r>
              <w:t>数据可视化支持多种数据可视化图表和图形，包括折线图、柱状图、饼图、散点图等。</w:t>
            </w:r>
            <w:r>
              <w:br w:type="textWrapping"/>
            </w:r>
          </w:p>
          <w:p w14:paraId="122D5320">
            <w:pPr>
              <w:pStyle w:val="4"/>
            </w:pPr>
            <w:r>
              <w:t>（4）数据报告</w:t>
            </w:r>
            <w:r>
              <w:br w:type="textWrapping"/>
            </w:r>
          </w:p>
          <w:p w14:paraId="1B2BD428">
            <w:pPr>
              <w:pStyle w:val="4"/>
            </w:pPr>
            <w:r>
              <w:t>支持报告生成与分享、自动化报告发布等功能。</w:t>
            </w:r>
            <w:r>
              <w:br w:type="textWrapping"/>
            </w:r>
          </w:p>
          <w:p w14:paraId="27F86FD7">
            <w:pPr>
              <w:pStyle w:val="4"/>
            </w:pPr>
            <w:r>
              <w:t>报告生成与分享支持生成包括图表、表格、文字说明等内容的数据报告。</w:t>
            </w:r>
            <w:r>
              <w:br w:type="textWrapping"/>
            </w:r>
          </w:p>
          <w:p w14:paraId="4E46B75B">
            <w:pPr>
              <w:pStyle w:val="4"/>
            </w:pPr>
            <w:r>
              <w:t>自动化报告发布支持系统设置报告发布时间，定时自动化生成和发布数据报告。</w:t>
            </w:r>
            <w:r>
              <w:br w:type="textWrapping"/>
            </w:r>
          </w:p>
          <w:p w14:paraId="612038F6">
            <w:pPr>
              <w:pStyle w:val="4"/>
            </w:pPr>
            <w:r>
              <w:t>（5）地理信息分析</w:t>
            </w:r>
            <w:r>
              <w:br w:type="textWrapping"/>
            </w:r>
          </w:p>
          <w:p w14:paraId="6CA26A65">
            <w:pPr>
              <w:pStyle w:val="4"/>
            </w:pPr>
            <w:r>
              <w:t>支持地理数据分析与可视化、地理位置智能查询等功能。</w:t>
            </w:r>
            <w:r>
              <w:br w:type="textWrapping"/>
            </w:r>
          </w:p>
          <w:p w14:paraId="0EE52A33">
            <w:pPr>
              <w:pStyle w:val="4"/>
            </w:pPr>
            <w:r>
              <w:t>地理数据分析与可视化需结合地理信息数据，对地理位置数据进行分析和可视化展示，包括地图展示、热力图和空间分析等。</w:t>
            </w:r>
            <w:r>
              <w:br w:type="textWrapping"/>
            </w:r>
          </w:p>
          <w:p w14:paraId="34D5C856">
            <w:pPr>
              <w:pStyle w:val="4"/>
            </w:pPr>
            <w:r>
              <w:t>地理位置智能查询支持基于地理位置的智能查询和筛选等功能。</w:t>
            </w:r>
            <w:r>
              <w:br w:type="textWrapping"/>
            </w:r>
          </w:p>
          <w:p w14:paraId="0F22EDA1">
            <w:pPr>
              <w:pStyle w:val="4"/>
            </w:pPr>
            <w:r>
              <w:t>（6）关键指标展示</w:t>
            </w:r>
            <w:r>
              <w:br w:type="textWrapping"/>
            </w:r>
          </w:p>
          <w:p w14:paraId="06BEEE2E">
            <w:pPr>
              <w:pStyle w:val="4"/>
            </w:pPr>
            <w:r>
              <w:t>支持对关键指标数据的实时状态和变化趋势进行展示。</w:t>
            </w:r>
            <w:r>
              <w:br w:type="textWrapping"/>
            </w:r>
          </w:p>
          <w:p w14:paraId="0CE32254">
            <w:pPr>
              <w:pStyle w:val="4"/>
            </w:pPr>
            <w:r>
              <w:t>支持实时监测关键指标的异常情况并提供预警机制。</w:t>
            </w:r>
            <w:r>
              <w:br w:type="textWrapping"/>
            </w:r>
          </w:p>
          <w:p w14:paraId="544F23AE">
            <w:pPr>
              <w:pStyle w:val="4"/>
            </w:pPr>
            <w:r>
              <w:t>（7）包括不限于以下分析内容：</w:t>
            </w:r>
            <w:r>
              <w:br w:type="textWrapping"/>
            </w:r>
          </w:p>
          <w:p w14:paraId="0292C90D">
            <w:pPr>
              <w:pStyle w:val="4"/>
            </w:pPr>
            <w:r>
              <w:t>①数据可视化管理</w:t>
            </w:r>
            <w:r>
              <w:br w:type="textWrapping"/>
            </w:r>
          </w:p>
          <w:p w14:paraId="79128A0C">
            <w:pPr>
              <w:pStyle w:val="4"/>
            </w:pPr>
            <w:r>
              <w:t>数据可视化需要提供数据图表展示、可视化仪表盘、地理信息系统可视化、实时数据监控和展示以及交互式数据可视化工具，使用户直观地了解数据的特征和趋势，掌握数据的最新状态，发现数据的关联和异常，以及进行自由的数据探索和发现。</w:t>
            </w:r>
            <w:r>
              <w:br w:type="textWrapping"/>
            </w:r>
          </w:p>
          <w:p w14:paraId="7BC363EC">
            <w:pPr>
              <w:pStyle w:val="4"/>
            </w:pPr>
            <w:r>
              <w:t>数据图表展示：支持用户根据需要选择合适的柱状图、折线图、饼图等图表类型，进行数据筛选、排序和聚合等操作，完成数据的图表化展示。</w:t>
            </w:r>
            <w:r>
              <w:br w:type="textWrapping"/>
            </w:r>
          </w:p>
          <w:p w14:paraId="7590462E">
            <w:pPr>
              <w:pStyle w:val="4"/>
            </w:pPr>
            <w:r>
              <w:t>可视化仪表盘：支持用户根据自己的需求自定义仪表盘的布局和内容，将关键指标和图表组织在一起，以便于综合监控和分析。</w:t>
            </w:r>
            <w:r>
              <w:br w:type="textWrapping"/>
            </w:r>
          </w:p>
          <w:p w14:paraId="75451DE9">
            <w:pPr>
              <w:pStyle w:val="4"/>
            </w:pPr>
            <w:r>
              <w:t>地理信息系统（GIS）可视化：支持展示地理信息系统（GIS）中的地图。</w:t>
            </w:r>
            <w:r>
              <w:br w:type="textWrapping"/>
            </w:r>
          </w:p>
          <w:p w14:paraId="43080059">
            <w:pPr>
              <w:pStyle w:val="4"/>
            </w:pPr>
            <w:r>
              <w:t>实时数据监控和展示：支持实时数据的采集和更新，并及时地将最新数据的变化和动态展示给用户。</w:t>
            </w:r>
            <w:r>
              <w:br w:type="textWrapping"/>
            </w:r>
          </w:p>
          <w:p w14:paraId="32D838B2">
            <w:pPr>
              <w:pStyle w:val="4"/>
            </w:pPr>
            <w:r>
              <w:t>交互式数据可视化工具：支持用户通过数据筛选、排序、放大缩小等丰富数据可视化工具，根据自己的需求和兴趣，进行自由的数据探索和发现。</w:t>
            </w:r>
            <w:r>
              <w:br w:type="textWrapping"/>
            </w:r>
          </w:p>
          <w:p w14:paraId="301303FE">
            <w:pPr>
              <w:pStyle w:val="4"/>
            </w:pPr>
            <w:r>
              <w:t>②数据专题分析</w:t>
            </w:r>
            <w:r>
              <w:br w:type="textWrapping"/>
            </w:r>
          </w:p>
          <w:p w14:paraId="04B8B570">
            <w:pPr>
              <w:pStyle w:val="4"/>
            </w:pPr>
            <w:r>
              <w:t>数据专题分析根据学校实际数据现状通过数据资源管理平台提供的基础数据，对学校各专题数据进行汇总分析，形成面向学校各级部门的教学、教员、学员、科研学术、教学保障、勤务保障、综合管理等专题可视化展示，实时反应学校的运行状态。</w:t>
            </w:r>
            <w:r>
              <w:br w:type="textWrapping"/>
            </w:r>
          </w:p>
          <w:p w14:paraId="7B2882CC">
            <w:pPr>
              <w:pStyle w:val="4"/>
            </w:pPr>
            <w:r>
              <w:t>a.教学专题分析</w:t>
            </w:r>
            <w:r>
              <w:br w:type="textWrapping"/>
            </w:r>
          </w:p>
          <w:p w14:paraId="52F27027">
            <w:pPr>
              <w:pStyle w:val="4"/>
            </w:pPr>
            <w:r>
              <w:t>师资力量分析：分析展示师资力量在单位、职称等维度上的分布情况，以及师资力量随时间的变化情况。</w:t>
            </w:r>
            <w:r>
              <w:br w:type="textWrapping"/>
            </w:r>
          </w:p>
          <w:p w14:paraId="6D494575">
            <w:pPr>
              <w:pStyle w:val="4"/>
            </w:pPr>
            <w:r>
              <w:t>博士生导师/硕士生导师分析：分析展示博士生导师/硕士生导师的校系分布情况。</w:t>
            </w:r>
            <w:r>
              <w:br w:type="textWrapping"/>
            </w:r>
          </w:p>
          <w:p w14:paraId="21C2810E">
            <w:pPr>
              <w:pStyle w:val="4"/>
            </w:pPr>
            <w:r>
              <w:t>授课工作量分析：分析展示各级教师授课工作量情况。</w:t>
            </w:r>
            <w:r>
              <w:br w:type="textWrapping"/>
            </w:r>
          </w:p>
          <w:p w14:paraId="056EA4E4">
            <w:pPr>
              <w:pStyle w:val="4"/>
            </w:pPr>
            <w:r>
              <w:t>听查课情况分析：分析展示全校、各教学单位听查课数量变化情况。</w:t>
            </w:r>
            <w:r>
              <w:br w:type="textWrapping"/>
            </w:r>
          </w:p>
          <w:p w14:paraId="1854ECCA">
            <w:pPr>
              <w:pStyle w:val="4"/>
            </w:pPr>
            <w:r>
              <w:t>在线学习情况分析：分析展示在线学习的人数、时长、学习任务完成情况等信息。</w:t>
            </w:r>
            <w:r>
              <w:br w:type="textWrapping"/>
            </w:r>
          </w:p>
          <w:p w14:paraId="4A3264BB">
            <w:pPr>
              <w:pStyle w:val="4"/>
            </w:pPr>
            <w:r>
              <w:t>评教/评学情况分析：分析展示教员评价学员情况、学员评价教员情况等信息。</w:t>
            </w:r>
            <w:r>
              <w:br w:type="textWrapping"/>
            </w:r>
          </w:p>
          <w:p w14:paraId="7CF5938C">
            <w:pPr>
              <w:pStyle w:val="4"/>
            </w:pPr>
            <w:r>
              <w:t>学位论文分析：分析展示博士、硕士学位论文数量、评级等信息。</w:t>
            </w:r>
            <w:r>
              <w:br w:type="textWrapping"/>
            </w:r>
          </w:p>
          <w:p w14:paraId="737B6CD0">
            <w:pPr>
              <w:pStyle w:val="4"/>
            </w:pPr>
            <w:r>
              <w:t>学术论文分析：分析展示学术论文发表数量等信息。</w:t>
            </w:r>
            <w:r>
              <w:br w:type="textWrapping"/>
            </w:r>
          </w:p>
          <w:p w14:paraId="3614EFD9">
            <w:pPr>
              <w:pStyle w:val="4"/>
            </w:pPr>
            <w:r>
              <w:t>课程分析：分析展示教学课程、训练课程等课程的安排、成绩等信息。</w:t>
            </w:r>
            <w:r>
              <w:br w:type="textWrapping"/>
            </w:r>
          </w:p>
          <w:p w14:paraId="022CA223">
            <w:pPr>
              <w:pStyle w:val="4"/>
            </w:pPr>
            <w:r>
              <w:t>今日教学分析：分析展示全校今日上课数量以及上课过程中的教学活动数据、学员反馈、签到、弹幕、笔记等详细数据。</w:t>
            </w:r>
            <w:r>
              <w:br w:type="textWrapping"/>
            </w:r>
          </w:p>
          <w:p w14:paraId="258056D5">
            <w:pPr>
              <w:pStyle w:val="4"/>
            </w:pPr>
            <w:r>
              <w:t>各类型教室占比分析：以饼状图形式展示学各类型教室的具体占比。</w:t>
            </w:r>
            <w:r>
              <w:br w:type="textWrapping"/>
            </w:r>
          </w:p>
          <w:p w14:paraId="23B42CB3">
            <w:pPr>
              <w:pStyle w:val="4"/>
            </w:pPr>
            <w:r>
              <w:t>当日各院系开课情况分析：分析展示当日上课学员数量、上课教员数量、占用教室数量、开课数量，并以饼状图形式展示各部系开课数量占比。</w:t>
            </w:r>
            <w:r>
              <w:br w:type="textWrapping"/>
            </w:r>
          </w:p>
          <w:p w14:paraId="15EF782A">
            <w:pPr>
              <w:pStyle w:val="4"/>
            </w:pPr>
            <w:r>
              <w:t>教学互动分析：分析展示全校所有教学中的互动数据，如教学活动、学员反馈、课程、课堂测试、课外作业和考试等具体数据。</w:t>
            </w:r>
            <w:r>
              <w:br w:type="textWrapping"/>
            </w:r>
          </w:p>
          <w:p w14:paraId="77D8A3B4">
            <w:pPr>
              <w:pStyle w:val="4"/>
            </w:pPr>
            <w:r>
              <w:t>教学课程分析：分析展示全校课程中的混合式课程以及线上课程的具体数据，以及相对应的开课教员、上课学员的人数信息。</w:t>
            </w:r>
            <w:r>
              <w:br w:type="textWrapping"/>
            </w:r>
          </w:p>
          <w:p w14:paraId="2B85E7EE">
            <w:pPr>
              <w:pStyle w:val="4"/>
            </w:pPr>
            <w:r>
              <w:t>教学资源分析：分析展示全校各类型教学资源的具体数量，如线下课程、线上课程、资料、课件、视频、习题等资源的具体数据。</w:t>
            </w:r>
            <w:r>
              <w:br w:type="textWrapping"/>
            </w:r>
          </w:p>
          <w:p w14:paraId="126CA4FA">
            <w:pPr>
              <w:pStyle w:val="4"/>
            </w:pPr>
            <w:r>
              <w:t>当日教学楼开课情况分析：分析展示各个教学楼开课数量占比。</w:t>
            </w:r>
            <w:r>
              <w:br w:type="textWrapping"/>
            </w:r>
          </w:p>
          <w:p w14:paraId="09C7FA0B">
            <w:pPr>
              <w:pStyle w:val="4"/>
            </w:pPr>
            <w:r>
              <w:t>b.教员专题分析</w:t>
            </w:r>
            <w:r>
              <w:br w:type="textWrapping"/>
            </w:r>
          </w:p>
          <w:p w14:paraId="3C3DE808">
            <w:pPr>
              <w:pStyle w:val="4"/>
            </w:pPr>
            <w:r>
              <w:t>教员概况分析：分析展示各单位教职工类型、职称、性别等信息的分布情况。</w:t>
            </w:r>
            <w:r>
              <w:br w:type="textWrapping"/>
            </w:r>
          </w:p>
          <w:p w14:paraId="528F3718">
            <w:pPr>
              <w:pStyle w:val="4"/>
            </w:pPr>
            <w:r>
              <w:t>新进人员分析：分析展示各单位新入职教职工数量、类型分布等信息。</w:t>
            </w:r>
            <w:r>
              <w:br w:type="textWrapping"/>
            </w:r>
          </w:p>
          <w:p w14:paraId="43E8BB69">
            <w:pPr>
              <w:pStyle w:val="4"/>
            </w:pPr>
            <w:r>
              <w:t>学术交流分析：分析展示主办、参与的学术会议的数量、分类、地域等信息。</w:t>
            </w:r>
            <w:r>
              <w:br w:type="textWrapping"/>
            </w:r>
          </w:p>
          <w:p w14:paraId="0BE0363A">
            <w:pPr>
              <w:pStyle w:val="4"/>
            </w:pPr>
            <w:r>
              <w:t>c.学员专题分析</w:t>
            </w:r>
            <w:r>
              <w:br w:type="textWrapping"/>
            </w:r>
          </w:p>
          <w:p w14:paraId="372752C0">
            <w:pPr>
              <w:pStyle w:val="4"/>
            </w:pPr>
            <w:r>
              <w:t>学员概况分析：分析展示在校学员性别、籍贯、民族等分布信息。</w:t>
            </w:r>
            <w:r>
              <w:br w:type="textWrapping"/>
            </w:r>
          </w:p>
          <w:p w14:paraId="4577CAF2">
            <w:pPr>
              <w:pStyle w:val="4"/>
            </w:pPr>
            <w:r>
              <w:t>培养层次分析：分析展示在校学员培养层次的分布信息。</w:t>
            </w:r>
            <w:r>
              <w:br w:type="textWrapping"/>
            </w:r>
          </w:p>
          <w:p w14:paraId="6DFE951F">
            <w:pPr>
              <w:pStyle w:val="4"/>
            </w:pPr>
            <w:r>
              <w:t>学校分布分析：分析展示在校学员学校的分布信息。</w:t>
            </w:r>
            <w:r>
              <w:br w:type="textWrapping"/>
            </w:r>
          </w:p>
          <w:p w14:paraId="0B46F25A">
            <w:pPr>
              <w:pStyle w:val="4"/>
            </w:pPr>
            <w:r>
              <w:t>专业分布分析：分析展示在校学员专业的分布信息。</w:t>
            </w:r>
            <w:r>
              <w:br w:type="textWrapping"/>
            </w:r>
          </w:p>
          <w:p w14:paraId="5CB73F2B">
            <w:pPr>
              <w:pStyle w:val="4"/>
            </w:pPr>
            <w:r>
              <w:t>研究生学科分布分析：分析展示在校研究生的学科的分布信息。</w:t>
            </w:r>
            <w:r>
              <w:br w:type="textWrapping"/>
            </w:r>
          </w:p>
          <w:p w14:paraId="735095DB">
            <w:pPr>
              <w:pStyle w:val="4"/>
            </w:pPr>
            <w:r>
              <w:t>学员学籍异动分析：分析展示学员学籍异动的人数、原因等信息。</w:t>
            </w:r>
            <w:r>
              <w:br w:type="textWrapping"/>
            </w:r>
          </w:p>
          <w:p w14:paraId="5C827EE2">
            <w:pPr>
              <w:pStyle w:val="4"/>
            </w:pPr>
            <w:r>
              <w:t>学员获奖情况分析：分析展示学员竞赛获奖的人数、分布、历史变化等信息。</w:t>
            </w:r>
            <w:r>
              <w:br w:type="textWrapping"/>
            </w:r>
          </w:p>
          <w:p w14:paraId="58376A5C">
            <w:pPr>
              <w:pStyle w:val="4"/>
            </w:pPr>
            <w:r>
              <w:t>招生趋势分析：分析展示新招学员的学校分布、生源地分布、历史变化等信息。</w:t>
            </w:r>
            <w:r>
              <w:br w:type="textWrapping"/>
            </w:r>
          </w:p>
          <w:p w14:paraId="74CD82EB">
            <w:pPr>
              <w:pStyle w:val="4"/>
            </w:pPr>
            <w:r>
              <w:t>个人特征分析：分析展示该学员个人体征信息，包括身高、体重、BIM指数、腰围、血压、职称等信息。</w:t>
            </w:r>
            <w:r>
              <w:br w:type="textWrapping"/>
            </w:r>
          </w:p>
          <w:p w14:paraId="049F4168">
            <w:pPr>
              <w:pStyle w:val="4"/>
            </w:pPr>
            <w:r>
              <w:t>训练科目与成绩分析：分析展示学员参与的训练科目及成绩情况，包括训练科目名称、成绩、历史最佳、校内最佳记录、训练地点等信息。</w:t>
            </w:r>
            <w:r>
              <w:br w:type="textWrapping"/>
            </w:r>
          </w:p>
          <w:p w14:paraId="5D6FE0AC">
            <w:pPr>
              <w:pStyle w:val="4"/>
            </w:pPr>
            <w:r>
              <w:t>训练时长分析：分析展示学员个人的训练总时长、校内训练总时长、校外训练总时长</w:t>
            </w:r>
            <w:r>
              <w:br w:type="textWrapping"/>
            </w:r>
          </w:p>
          <w:p w14:paraId="3BAF1CFA">
            <w:pPr>
              <w:pStyle w:val="4"/>
            </w:pPr>
            <w:r>
              <w:t>荣誉奖励分析：分析展示该学员历年来获得的荣誉奖励情况，包括获奖年度、获奖名称</w:t>
            </w:r>
            <w:r>
              <w:br w:type="textWrapping"/>
            </w:r>
          </w:p>
          <w:p w14:paraId="1753F891">
            <w:pPr>
              <w:pStyle w:val="4"/>
            </w:pPr>
            <w:r>
              <w:t>课程学习情况分析：分析展示学员的课程学习情况，包括课程名称、学士、成绩、课堂互动、最高成绩、最低成绩、平均成绩、授课教员等信息</w:t>
            </w:r>
            <w:r>
              <w:br w:type="textWrapping"/>
            </w:r>
          </w:p>
          <w:p w14:paraId="7C729B88">
            <w:pPr>
              <w:pStyle w:val="4"/>
            </w:pPr>
            <w:r>
              <w:t>图书借阅情况分析：分析展示各类别图书的借阅数量和具体占比饼状图，切换右上角的周、月、学期，可查看不同时间段的图书借阅统计结果</w:t>
            </w:r>
            <w:r>
              <w:br w:type="textWrapping"/>
            </w:r>
          </w:p>
          <w:p w14:paraId="36B51284">
            <w:pPr>
              <w:pStyle w:val="4"/>
            </w:pPr>
            <w:r>
              <w:t>上网行为分析：分析展示学员近一周的每天上网时长折线图</w:t>
            </w:r>
            <w:r>
              <w:br w:type="textWrapping"/>
            </w:r>
          </w:p>
          <w:p w14:paraId="4AB3AA82">
            <w:pPr>
              <w:pStyle w:val="4"/>
            </w:pPr>
            <w:r>
              <w:t>d.科研学术专题分析</w:t>
            </w:r>
            <w:r>
              <w:br w:type="textWrapping"/>
            </w:r>
          </w:p>
          <w:p w14:paraId="6CD60EAF">
            <w:pPr>
              <w:pStyle w:val="4"/>
            </w:pPr>
            <w:r>
              <w:t>科研项目分析：分析展示横向/纵向/校级科研项目的在研数量、单位分布、变化趋势等信息。</w:t>
            </w:r>
            <w:r>
              <w:br w:type="textWrapping"/>
            </w:r>
          </w:p>
          <w:p w14:paraId="0B048197">
            <w:pPr>
              <w:pStyle w:val="4"/>
            </w:pPr>
            <w:r>
              <w:t>科研项目经费分析：分析展示科研项目经费的经费总量、单位分布、变化趋势等信息。</w:t>
            </w:r>
            <w:r>
              <w:br w:type="textWrapping"/>
            </w:r>
          </w:p>
          <w:p w14:paraId="65553363">
            <w:pPr>
              <w:pStyle w:val="4"/>
            </w:pPr>
            <w:r>
              <w:t>科研平台分析：分析展示各单位、各学科的科研平台数量等信息。</w:t>
            </w:r>
            <w:r>
              <w:br w:type="textWrapping"/>
            </w:r>
          </w:p>
          <w:p w14:paraId="23D39948">
            <w:pPr>
              <w:pStyle w:val="4"/>
            </w:pPr>
            <w:r>
              <w:t>科研论文分析：分析展示科研论文发表数量的单位分布、历史变化情况等信息。</w:t>
            </w:r>
            <w:r>
              <w:br w:type="textWrapping"/>
            </w:r>
          </w:p>
          <w:p w14:paraId="1DF93DE1">
            <w:pPr>
              <w:pStyle w:val="4"/>
            </w:pPr>
            <w:r>
              <w:t>科研成果分析：分析展示出版专著数量、申请专利数量的单位分布、历史变化情况等。</w:t>
            </w:r>
            <w:r>
              <w:br w:type="textWrapping"/>
            </w:r>
          </w:p>
          <w:p w14:paraId="6F88DEB5">
            <w:pPr>
              <w:pStyle w:val="4"/>
            </w:pPr>
            <w:r>
              <w:t>科研获奖分析：分析展示科研获奖数量的单位分布、级别分布、历史变化情况等信息。</w:t>
            </w:r>
            <w:r>
              <w:br w:type="textWrapping"/>
            </w:r>
          </w:p>
          <w:p w14:paraId="2D2D98B7">
            <w:pPr>
              <w:pStyle w:val="4"/>
            </w:pPr>
            <w:r>
              <w:t>项目规模分析：展示学校项目规模情况，包括全校科研项目总数以及经费超过1000万以上、经费500-1000万、经费500万以下的项目数量。</w:t>
            </w:r>
            <w:r>
              <w:br w:type="textWrapping"/>
            </w:r>
          </w:p>
          <w:p w14:paraId="11EC4892">
            <w:pPr>
              <w:pStyle w:val="4"/>
            </w:pPr>
            <w:r>
              <w:t>项目类别分析：展示各类别科研项目的数量统计信息，包括后勤科研类、军事理论科研类、国防科研试制、国家地方政府科技计划、军内合作科研类项目的数量。</w:t>
            </w:r>
            <w:r>
              <w:br w:type="textWrapping"/>
            </w:r>
          </w:p>
          <w:p w14:paraId="2E21E0F2">
            <w:pPr>
              <w:pStyle w:val="4"/>
            </w:pPr>
            <w:r>
              <w:t>项目运行状态分析：展示各运行状态下项目的数量信息，包括已立项、在建中、已完成的项目数量和占比。</w:t>
            </w:r>
            <w:r>
              <w:br w:type="textWrapping"/>
            </w:r>
          </w:p>
          <w:p w14:paraId="33E69210">
            <w:pPr>
              <w:pStyle w:val="4"/>
            </w:pPr>
            <w:r>
              <w:t>各部系承担项目情况：展示各部系当前承担的项目数量。</w:t>
            </w:r>
            <w:r>
              <w:br w:type="textWrapping"/>
            </w:r>
          </w:p>
          <w:p w14:paraId="54AE5C1D">
            <w:pPr>
              <w:pStyle w:val="4"/>
            </w:pPr>
            <w:r>
              <w:t>各部系科研经费情况：展示各部系的科研经费情况。</w:t>
            </w:r>
            <w:r>
              <w:br w:type="textWrapping"/>
            </w:r>
          </w:p>
          <w:p w14:paraId="50816930">
            <w:pPr>
              <w:pStyle w:val="4"/>
            </w:pPr>
            <w:r>
              <w:t>近三年各部系科研经费情况：展示近三年各部系科研经费的折线图，查看各年度各部系的科研经费对比情况。</w:t>
            </w:r>
            <w:r>
              <w:br w:type="textWrapping"/>
            </w:r>
          </w:p>
          <w:p w14:paraId="61B699C3">
            <w:pPr>
              <w:pStyle w:val="4"/>
            </w:pPr>
            <w:r>
              <w:t>科研成果总体情况：展示学校年度科研成果总体情况，包括发表论文和专著、研究报告、专利、软件、其他科研成果的数量。</w:t>
            </w:r>
            <w:r>
              <w:br w:type="textWrapping"/>
            </w:r>
          </w:p>
          <w:p w14:paraId="1F12FB41">
            <w:pPr>
              <w:pStyle w:val="4"/>
            </w:pPr>
            <w:r>
              <w:t>各部系年度学术著作统计：展示本年度各部系发表的学术著作数量及具体占比信息。</w:t>
            </w:r>
            <w:r>
              <w:br w:type="textWrapping"/>
            </w:r>
          </w:p>
          <w:p w14:paraId="580E9EC6">
            <w:pPr>
              <w:pStyle w:val="4"/>
            </w:pPr>
            <w:r>
              <w:t>各部系年度学术论文发表情况：展示本年度各部系发表的论文数量信息。</w:t>
            </w:r>
            <w:r>
              <w:br w:type="textWrapping"/>
            </w:r>
          </w:p>
          <w:p w14:paraId="141494F8">
            <w:pPr>
              <w:pStyle w:val="4"/>
            </w:pPr>
            <w:r>
              <w:t>各部系年度获取专利情况：展示本年度各部系获得的专利数量及具体占比信息。</w:t>
            </w:r>
            <w:r>
              <w:br w:type="textWrapping"/>
            </w:r>
          </w:p>
          <w:p w14:paraId="0C41DEFC">
            <w:pPr>
              <w:pStyle w:val="4"/>
            </w:pPr>
            <w:r>
              <w:t>各部系年度重点学术会议统计：展示本年度各个部系参加、承办重点学术会议的数量信息。</w:t>
            </w:r>
            <w:r>
              <w:br w:type="textWrapping"/>
            </w:r>
          </w:p>
          <w:p w14:paraId="4EDDF898">
            <w:pPr>
              <w:pStyle w:val="4"/>
            </w:pPr>
            <w:r>
              <w:t>各单位近5年学术论文著作发表情况：展示近五年各部系论文著作发表情况，展示每一年各部系发表的学术论文和学术著作数量折线图。</w:t>
            </w:r>
            <w:r>
              <w:br w:type="textWrapping"/>
            </w:r>
          </w:p>
          <w:p w14:paraId="692FD003">
            <w:pPr>
              <w:pStyle w:val="4"/>
            </w:pPr>
            <w:r>
              <w:t>科研奖励总体情况：展示学校获得的科研奖励总体情况，包括所获国家最高科学技术奖、国家科技进步一等奖、国家科技进步二等奖、国防科技进步奖、军队科技进步奖、自然科学奖的数量信息。</w:t>
            </w:r>
            <w:r>
              <w:br w:type="textWrapping"/>
            </w:r>
          </w:p>
          <w:p w14:paraId="5DD9A7A9">
            <w:pPr>
              <w:pStyle w:val="4"/>
            </w:pPr>
            <w:r>
              <w:t>各部系荣获科研奖励情况：展示各部系荣获科研奖励情况，包括各部系荣获科研奖励的具体数量及占比信息。</w:t>
            </w:r>
            <w:r>
              <w:br w:type="textWrapping"/>
            </w:r>
          </w:p>
          <w:p w14:paraId="1EE23AC0">
            <w:pPr>
              <w:pStyle w:val="4"/>
            </w:pPr>
            <w:r>
              <w:t>e.教学保障专题分析</w:t>
            </w:r>
            <w:r>
              <w:br w:type="textWrapping"/>
            </w:r>
          </w:p>
          <w:p w14:paraId="27883003">
            <w:pPr>
              <w:pStyle w:val="4"/>
            </w:pPr>
            <w:r>
              <w:t>教室分析：分析展示教室总数、历史数量变化、座位数量情况、使用年限等信息。</w:t>
            </w:r>
            <w:r>
              <w:br w:type="textWrapping"/>
            </w:r>
          </w:p>
          <w:p w14:paraId="33C5068D">
            <w:pPr>
              <w:pStyle w:val="4"/>
            </w:pPr>
            <w:r>
              <w:t>实验室分析：分析展示实验室总数、历史数量变化、实验室类别等信息。</w:t>
            </w:r>
            <w:r>
              <w:br w:type="textWrapping"/>
            </w:r>
          </w:p>
          <w:p w14:paraId="2AB9C72A">
            <w:pPr>
              <w:pStyle w:val="4"/>
            </w:pPr>
            <w:r>
              <w:t>训练场分析：分析展示训练场总数、历史数量变化、训练场地类别等信息。</w:t>
            </w:r>
            <w:r>
              <w:br w:type="textWrapping"/>
            </w:r>
          </w:p>
          <w:p w14:paraId="24886D74">
            <w:pPr>
              <w:pStyle w:val="4"/>
            </w:pPr>
            <w:r>
              <w:t>教学设备分析：分析展示教学设备的类别分布、故障发生趋势、报废数量趋势等信息。</w:t>
            </w:r>
            <w:r>
              <w:br w:type="textWrapping"/>
            </w:r>
          </w:p>
          <w:p w14:paraId="46318F00">
            <w:pPr>
              <w:pStyle w:val="4"/>
            </w:pPr>
            <w:r>
              <w:t>图书馆分析：分析展示图书馆座位数量、藏书数量等信息。</w:t>
            </w:r>
            <w:r>
              <w:br w:type="textWrapping"/>
            </w:r>
          </w:p>
          <w:p w14:paraId="3B51DEA4">
            <w:pPr>
              <w:pStyle w:val="4"/>
            </w:pPr>
            <w:r>
              <w:t>f.勤务保障专题分析</w:t>
            </w:r>
            <w:r>
              <w:br w:type="textWrapping"/>
            </w:r>
          </w:p>
          <w:p w14:paraId="0ADA3F40">
            <w:pPr>
              <w:pStyle w:val="4"/>
            </w:pPr>
            <w:r>
              <w:t>被装分析：分析展示被装发放的数量、经费变化趋势等。</w:t>
            </w:r>
            <w:r>
              <w:br w:type="textWrapping"/>
            </w:r>
          </w:p>
          <w:p w14:paraId="7DCBD0E7">
            <w:pPr>
              <w:pStyle w:val="4"/>
            </w:pPr>
            <w:r>
              <w:t>营房设施分析：分析展示营房设施的故障发生趋势等信息。</w:t>
            </w:r>
            <w:r>
              <w:br w:type="textWrapping"/>
            </w:r>
          </w:p>
          <w:p w14:paraId="549A9884">
            <w:pPr>
              <w:pStyle w:val="4"/>
            </w:pPr>
            <w:r>
              <w:t>能源消耗分析：分析展示学校水、电、气的费用消耗趋势、区域分布等信息。</w:t>
            </w:r>
            <w:r>
              <w:br w:type="textWrapping"/>
            </w:r>
          </w:p>
          <w:p w14:paraId="4D13B983">
            <w:pPr>
              <w:pStyle w:val="4"/>
            </w:pPr>
            <w:r>
              <w:t>车辆分析：分析展示车辆总数、车辆使用情况、车辆故障情况等信息。</w:t>
            </w:r>
            <w:r>
              <w:br w:type="textWrapping"/>
            </w:r>
          </w:p>
          <w:p w14:paraId="565BCA5A">
            <w:pPr>
              <w:pStyle w:val="4"/>
            </w:pPr>
            <w:r>
              <w:t>采购分析：分析展示采购计划数量、费用趋势等信息。</w:t>
            </w:r>
            <w:r>
              <w:br w:type="textWrapping"/>
            </w:r>
          </w:p>
          <w:p w14:paraId="4D105C46">
            <w:pPr>
              <w:pStyle w:val="4"/>
            </w:pPr>
            <w:r>
              <w:t>食堂消费分析：分析展示食堂消费的金额、人次、人均交易金额、人均交易次数等信息。</w:t>
            </w:r>
            <w:r>
              <w:br w:type="textWrapping"/>
            </w:r>
          </w:p>
          <w:p w14:paraId="04421152">
            <w:pPr>
              <w:pStyle w:val="4"/>
            </w:pPr>
            <w:r>
              <w:t>报修分析：分析展示报修记录的类型分布、时间变化趋势等信息。</w:t>
            </w:r>
            <w:r>
              <w:br w:type="textWrapping"/>
            </w:r>
          </w:p>
          <w:p w14:paraId="7F18C0AA">
            <w:pPr>
              <w:pStyle w:val="4"/>
            </w:pPr>
            <w:r>
              <w:t>g.综合管理专题分析</w:t>
            </w:r>
            <w:r>
              <w:br w:type="textWrapping"/>
            </w:r>
          </w:p>
          <w:p w14:paraId="56C80667">
            <w:pPr>
              <w:pStyle w:val="4"/>
            </w:pPr>
            <w:r>
              <w:t>会议活动开展分析：分析展示会议室使用次数、总时长、平均使用时长等信息。</w:t>
            </w:r>
            <w:r>
              <w:br w:type="textWrapping"/>
            </w:r>
          </w:p>
          <w:p w14:paraId="56D236AD">
            <w:pPr>
              <w:pStyle w:val="4"/>
            </w:pPr>
            <w:r>
              <w:t>工作计划分析：展示指定时间范围内的工作计划清单。</w:t>
            </w:r>
            <w:r>
              <w:br w:type="textWrapping"/>
            </w:r>
          </w:p>
          <w:p w14:paraId="6534DDB3">
            <w:pPr>
              <w:pStyle w:val="4"/>
            </w:pPr>
            <w:r>
              <w:t>大事记分析：分析展示各类型大事记数量。列表展示大事记明细。</w:t>
            </w:r>
            <w:r>
              <w:br w:type="textWrapping"/>
            </w:r>
          </w:p>
          <w:p w14:paraId="7D120781">
            <w:pPr>
              <w:pStyle w:val="4"/>
            </w:pPr>
            <w:r>
              <w:t>外事工作分析：分析展示因公出国（境）地域分布、数量变化趋势。</w:t>
            </w:r>
          </w:p>
        </w:tc>
      </w:tr>
      <w:tr w14:paraId="16177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70038C"/>
        </w:tc>
        <w:tc>
          <w:tcPr>
            <w:tcW w:w="2769" w:type="dxa"/>
          </w:tcPr>
          <w:p w14:paraId="5A149D5A">
            <w:pPr>
              <w:pStyle w:val="4"/>
              <w:jc w:val="center"/>
            </w:pPr>
            <w:r>
              <w:t>8</w:t>
            </w:r>
          </w:p>
        </w:tc>
        <w:tc>
          <w:tcPr>
            <w:tcW w:w="2769" w:type="dxa"/>
          </w:tcPr>
          <w:p w14:paraId="345AD998">
            <w:pPr>
              <w:pStyle w:val="4"/>
            </w:pPr>
            <w:r>
              <w:t>数据校验</w:t>
            </w:r>
            <w:r>
              <w:br w:type="textWrapping"/>
            </w:r>
          </w:p>
          <w:p w14:paraId="6ABD6DE3">
            <w:pPr>
              <w:pStyle w:val="4"/>
            </w:pPr>
            <w:r>
              <w:t>数据校验是通过数据质量管理、质量规则设置等技术实现对数据一致性、准确性、完整性、时效性以及唯一性等的评估验证。支持数据自动校验，包括手动录入校验、大范围采集校验、动态校验等。</w:t>
            </w:r>
            <w:r>
              <w:br w:type="textWrapping"/>
            </w:r>
          </w:p>
          <w:p w14:paraId="67A814DE">
            <w:pPr>
              <w:pStyle w:val="4"/>
            </w:pPr>
            <w:r>
              <w:t>数据校验包括数据质量评估、数据质量规则、数据校验管理以及数据质量监测等功能。</w:t>
            </w:r>
            <w:r>
              <w:br w:type="textWrapping"/>
            </w:r>
          </w:p>
          <w:p w14:paraId="74A7D2C2">
            <w:pPr>
              <w:pStyle w:val="4"/>
            </w:pPr>
            <w:r>
              <w:t>（1）数据质量评估</w:t>
            </w:r>
            <w:r>
              <w:br w:type="textWrapping"/>
            </w:r>
          </w:p>
          <w:p w14:paraId="16AB37D0">
            <w:pPr>
              <w:pStyle w:val="4"/>
            </w:pPr>
            <w:r>
              <w:t>支持对数据质量评估指标进行定义，评估指标包括准确性、完整性、一致性、时效性、唯一性等。</w:t>
            </w:r>
            <w:r>
              <w:br w:type="textWrapping"/>
            </w:r>
          </w:p>
          <w:p w14:paraId="6D794114">
            <w:pPr>
              <w:pStyle w:val="4"/>
            </w:pPr>
            <w:r>
              <w:t>支持构建质量评估模型，针对数据对象的字段设置模型中的治理规则，包含缺失值处理、数值范围异常处理、字符串的分割和截断。</w:t>
            </w:r>
            <w:r>
              <w:br w:type="textWrapping"/>
            </w:r>
          </w:p>
          <w:p w14:paraId="7A17B110">
            <w:pPr>
              <w:pStyle w:val="4"/>
            </w:pPr>
            <w:r>
              <w:t>支持基于指标体系和评估方法对数据集进行评估，并将评估结果形成报告，报告内容包括数据质量指标的得分、问题统计和建议改进措施等。</w:t>
            </w:r>
            <w:r>
              <w:br w:type="textWrapping"/>
            </w:r>
          </w:p>
          <w:p w14:paraId="5AC75626">
            <w:pPr>
              <w:pStyle w:val="4"/>
            </w:pPr>
            <w:r>
              <w:t>（2）数据质量规则</w:t>
            </w:r>
            <w:r>
              <w:br w:type="textWrapping"/>
            </w:r>
          </w:p>
          <w:p w14:paraId="0C03AA65">
            <w:pPr>
              <w:pStyle w:val="4"/>
            </w:pPr>
            <w:r>
              <w:t>支持数据质量规则库构建，包括数据格式规则、数据范围规则、数据关联规则等。</w:t>
            </w:r>
            <w:r>
              <w:br w:type="textWrapping"/>
            </w:r>
          </w:p>
          <w:p w14:paraId="61621813">
            <w:pPr>
              <w:pStyle w:val="4"/>
            </w:pPr>
            <w:r>
              <w:t>需根据业务需求，定义适用于数据集的数据质量规则。</w:t>
            </w:r>
            <w:r>
              <w:br w:type="textWrapping"/>
            </w:r>
          </w:p>
          <w:p w14:paraId="0D1C57D8">
            <w:pPr>
              <w:pStyle w:val="4"/>
            </w:pPr>
            <w:r>
              <w:t>支持数据质量规则的新增、修改、删除和版本控制等操作。</w:t>
            </w:r>
            <w:r>
              <w:br w:type="textWrapping"/>
            </w:r>
          </w:p>
          <w:p w14:paraId="1552CA24">
            <w:pPr>
              <w:pStyle w:val="4"/>
            </w:pPr>
            <w:r>
              <w:t>支持核心业务场景内控规则自定义配置，无需代码开发，可视化设置触发条件、校验逻辑等，配置后快速生效，包含规则条件设置、逻辑配置。</w:t>
            </w:r>
            <w:r>
              <w:br w:type="textWrapping"/>
            </w:r>
          </w:p>
          <w:p w14:paraId="5808881D">
            <w:pPr>
              <w:pStyle w:val="4"/>
            </w:pPr>
            <w:r>
              <w:t>支持对数据集进行规则验证。支持实时触发、定时触发等多种规则执行方式，适配高并发场景，包含触发方式选择及参数设置。</w:t>
            </w:r>
            <w:r>
              <w:br w:type="textWrapping"/>
            </w:r>
          </w:p>
          <w:p w14:paraId="5C1ACA59">
            <w:pPr>
              <w:pStyle w:val="4"/>
            </w:pPr>
            <w:r>
              <w:t>支持监测数据质量规则的执行情况，根据业务变化和数据特征的变化，及时更新和优化数据质量规则。</w:t>
            </w:r>
            <w:r>
              <w:br w:type="textWrapping"/>
            </w:r>
          </w:p>
          <w:p w14:paraId="157E2E0F">
            <w:pPr>
              <w:pStyle w:val="4"/>
            </w:pPr>
            <w:r>
              <w:t>（3）数据校验管理</w:t>
            </w:r>
            <w:r>
              <w:br w:type="textWrapping"/>
            </w:r>
          </w:p>
          <w:p w14:paraId="0B3B3C07">
            <w:pPr>
              <w:pStyle w:val="4"/>
            </w:pPr>
            <w:r>
              <w:t>支持根据校验知识库对数据进行校验，校验包括完整性校验、规范性校验和一致性校验等内容，校验规则包括空值校验、取值范围校验、数值校验、长度校验和精度校验等。</w:t>
            </w:r>
            <w:r>
              <w:br w:type="textWrapping"/>
            </w:r>
          </w:p>
          <w:p w14:paraId="6B640574">
            <w:pPr>
              <w:pStyle w:val="4"/>
            </w:pPr>
            <w:r>
              <w:t>支持根据数据清洗和修改对数据集中存在的错误、缺失、重复等问题进行清洗和修复，并补充缺失的数据进行数据校准和校验；</w:t>
            </w:r>
            <w:r>
              <w:br w:type="textWrapping"/>
            </w:r>
          </w:p>
          <w:p w14:paraId="365BBB42">
            <w:pPr>
              <w:pStyle w:val="4"/>
            </w:pPr>
            <w:r>
              <w:t>支持数据问题的处理，支持问题处理、下发、核实管理；支持将问题下发到指定人员，审核人员能够查看审核问题的核实结果。</w:t>
            </w:r>
            <w:r>
              <w:br w:type="textWrapping"/>
            </w:r>
          </w:p>
          <w:p w14:paraId="1BA16C0E">
            <w:pPr>
              <w:pStyle w:val="4"/>
            </w:pPr>
            <w:r>
              <w:t>支持导出问题数据，导出格式支持Excel、WPS。</w:t>
            </w:r>
            <w:r>
              <w:br w:type="textWrapping"/>
            </w:r>
          </w:p>
          <w:p w14:paraId="65B1464E">
            <w:pPr>
              <w:pStyle w:val="4"/>
            </w:pPr>
            <w:r>
              <w:t>支持核检结果推送。可通过配置实现核检结果推送至指定用户。</w:t>
            </w:r>
            <w:r>
              <w:br w:type="textWrapping"/>
            </w:r>
          </w:p>
          <w:p w14:paraId="74091787">
            <w:pPr>
              <w:pStyle w:val="4"/>
            </w:pPr>
            <w:r>
              <w:t>（4）数据质量监测</w:t>
            </w:r>
            <w:r>
              <w:br w:type="textWrapping"/>
            </w:r>
          </w:p>
          <w:p w14:paraId="54071EC8">
            <w:pPr>
              <w:pStyle w:val="4"/>
            </w:pPr>
            <w:r>
              <w:t>数据质量监测支持对数据质量进行实时或定期的监控和检测，确保数据质量的持续性和稳定性。</w:t>
            </w:r>
            <w:r>
              <w:br w:type="textWrapping"/>
            </w:r>
          </w:p>
          <w:p w14:paraId="7595D691">
            <w:pPr>
              <w:pStyle w:val="4"/>
            </w:pPr>
            <w:r>
              <w:t>包括定义数据质量监测指标、设计数据质量监测方法、数据质量监测工具开发、数据质量监测以及数据质量监测报告生成等功能。</w:t>
            </w:r>
            <w:r>
              <w:br w:type="textWrapping"/>
            </w:r>
          </w:p>
          <w:p w14:paraId="615FDE1A">
            <w:pPr>
              <w:pStyle w:val="4"/>
            </w:pPr>
            <w:r>
              <w:t>提供对数据进行实时监测和定期检查的功能，支持定期生成数据质量报告，供数据维护人员和相关用户参考和分析。</w:t>
            </w:r>
          </w:p>
        </w:tc>
      </w:tr>
      <w:tr w14:paraId="6331F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2970FE"/>
        </w:tc>
        <w:tc>
          <w:tcPr>
            <w:tcW w:w="2769" w:type="dxa"/>
          </w:tcPr>
          <w:p w14:paraId="39F76BF5">
            <w:pPr>
              <w:pStyle w:val="4"/>
              <w:jc w:val="center"/>
            </w:pPr>
            <w:r>
              <w:t>9</w:t>
            </w:r>
          </w:p>
        </w:tc>
        <w:tc>
          <w:tcPr>
            <w:tcW w:w="2769" w:type="dxa"/>
          </w:tcPr>
          <w:p w14:paraId="5BF4FCAA">
            <w:pPr>
              <w:pStyle w:val="4"/>
            </w:pPr>
            <w:r>
              <w:t>数据审核</w:t>
            </w:r>
            <w:r>
              <w:br w:type="textWrapping"/>
            </w:r>
          </w:p>
          <w:p w14:paraId="0B53A0ED">
            <w:pPr>
              <w:pStyle w:val="4"/>
            </w:pPr>
            <w:r>
              <w:t>是数据入库形成数据仓库的最后环节，是在数据校验的基础上，对需要入库的数据基于数据质量是否满足完整性、一致性、准确性和及时性四要素的要求，对数据进行审核。通过数据校验完成后，在对数据按照一定规则进行审核，可以确保入库数据的准确性。</w:t>
            </w:r>
            <w:r>
              <w:br w:type="textWrapping"/>
            </w:r>
          </w:p>
          <w:p w14:paraId="4FB1D475">
            <w:pPr>
              <w:pStyle w:val="4"/>
            </w:pPr>
            <w:r>
              <w:t>数据审核支持人工审核和系统审核，保证数据的准确性和逻辑性。</w:t>
            </w:r>
            <w:r>
              <w:br w:type="textWrapping"/>
            </w:r>
          </w:p>
          <w:p w14:paraId="4D16B983">
            <w:pPr>
              <w:pStyle w:val="4"/>
            </w:pPr>
            <w:r>
              <w:t>支持建立相应的审核机制，确认提供者提交的信息资源元数据是否符合标准要求。</w:t>
            </w:r>
            <w:r>
              <w:br w:type="textWrapping"/>
            </w:r>
          </w:p>
          <w:p w14:paraId="29C7B90D">
            <w:pPr>
              <w:pStyle w:val="4"/>
            </w:pPr>
            <w:r>
              <w:t>支持用户浏览数据标准分类目录，并逐层递进。</w:t>
            </w:r>
            <w:r>
              <w:br w:type="textWrapping"/>
            </w:r>
          </w:p>
          <w:p w14:paraId="5B204EB3">
            <w:pPr>
              <w:pStyle w:val="4"/>
            </w:pPr>
            <w:r>
              <w:t>支持用户对数据标准分类目录执行增删查改操作；支持对数据标准分类说明的查看和编辑。</w:t>
            </w:r>
            <w:r>
              <w:br w:type="textWrapping"/>
            </w:r>
          </w:p>
          <w:p w14:paraId="5321DDDE">
            <w:pPr>
              <w:pStyle w:val="4"/>
            </w:pPr>
            <w:r>
              <w:t>支持数据标准的发布、发布管理、发布审核。</w:t>
            </w:r>
          </w:p>
        </w:tc>
      </w:tr>
      <w:tr w14:paraId="03575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402ED7"/>
        </w:tc>
        <w:tc>
          <w:tcPr>
            <w:tcW w:w="2769" w:type="dxa"/>
          </w:tcPr>
          <w:p w14:paraId="35C761F5">
            <w:pPr>
              <w:pStyle w:val="4"/>
              <w:jc w:val="center"/>
            </w:pPr>
            <w:r>
              <w:t>10</w:t>
            </w:r>
          </w:p>
        </w:tc>
        <w:tc>
          <w:tcPr>
            <w:tcW w:w="2769" w:type="dxa"/>
          </w:tcPr>
          <w:p w14:paraId="2E00447B">
            <w:pPr>
              <w:pStyle w:val="4"/>
            </w:pPr>
            <w:r>
              <w:t>数据仓库</w:t>
            </w:r>
            <w:r>
              <w:br w:type="textWrapping"/>
            </w:r>
          </w:p>
          <w:p w14:paraId="2AF58725">
            <w:pPr>
              <w:pStyle w:val="4"/>
            </w:pPr>
            <w:r>
              <w:t>数据仓库是指为数据管理和存储提供支持的系统，包括RDS数据库、数据湖和分布式数据库等。数据仓库旨在设计一个可靠、高性能的数据存储服务，满足数据存储、访问和管理的需求。</w:t>
            </w:r>
            <w:r>
              <w:br w:type="textWrapping"/>
            </w:r>
          </w:p>
          <w:p w14:paraId="24D83792">
            <w:pPr>
              <w:pStyle w:val="4"/>
            </w:pPr>
            <w:r>
              <w:t>数据仓库包括数据库管理、数据湖、分布式数据库以及数据组织的管理等功能。</w:t>
            </w:r>
            <w:r>
              <w:br w:type="textWrapping"/>
            </w:r>
          </w:p>
          <w:p w14:paraId="53A81BC5">
            <w:pPr>
              <w:pStyle w:val="4"/>
            </w:pPr>
            <w:r>
              <w:t>（1）数据库管理</w:t>
            </w:r>
            <w:r>
              <w:br w:type="textWrapping"/>
            </w:r>
          </w:p>
          <w:p w14:paraId="55C229C4">
            <w:pPr>
              <w:pStyle w:val="4"/>
            </w:pPr>
            <w:r>
              <w:t>数据库管理支持事务管理、数据完整性管理、锁机制、索引、脚本执行、SQL优化、断点处理、缓存技术、备份恢复等功能。</w:t>
            </w:r>
            <w:r>
              <w:br w:type="textWrapping"/>
            </w:r>
          </w:p>
          <w:p w14:paraId="70CB82CE">
            <w:pPr>
              <w:pStyle w:val="4"/>
            </w:pPr>
            <w:r>
              <w:t>（2）数据湖</w:t>
            </w:r>
            <w:r>
              <w:br w:type="textWrapping"/>
            </w:r>
          </w:p>
          <w:p w14:paraId="46E34D8A">
            <w:pPr>
              <w:pStyle w:val="4"/>
            </w:pPr>
            <w:r>
              <w:t>支持并行加载数据同时处理多个数据源；支持无共享的数据存储模式；支持存储和管理数据，支持数据的扩展和存储成本的控制；支持压缩技术减少数据的存储空间占用；具备动态扩展能力；支持灵活的资源配置功能；支持采用列存储的方式来组织和存储数据；支持根据数据的特性和查询需求创建智能索引；支持检索关联的功能，根据数据之间的关联和属性进行关联查询。</w:t>
            </w:r>
            <w:r>
              <w:br w:type="textWrapping"/>
            </w:r>
          </w:p>
          <w:p w14:paraId="28D55DBE">
            <w:pPr>
              <w:pStyle w:val="4"/>
            </w:pPr>
            <w:r>
              <w:t>（3）分布式数据库</w:t>
            </w:r>
            <w:r>
              <w:br w:type="textWrapping"/>
            </w:r>
          </w:p>
          <w:p w14:paraId="259A0A57">
            <w:pPr>
              <w:pStyle w:val="4"/>
            </w:pPr>
            <w:r>
              <w:t>分布式数据库支持将数据分布在多个计算节点上，实现数据并行处理和高可用性。支持计算节点监控、离线大数据处理、流数据处理、资源调度控制、并行计算、实时大数据处理、数据一致性与事务管理、分布式存储管理、数据安全与权限控制、数据备份与恢复等功能。</w:t>
            </w:r>
            <w:r>
              <w:br w:type="textWrapping"/>
            </w:r>
          </w:p>
          <w:p w14:paraId="3AD635E1">
            <w:pPr>
              <w:pStyle w:val="4"/>
            </w:pPr>
            <w:r>
              <w:t>提供数值函数、字符函数、日期函数、聚合函数的能力。</w:t>
            </w:r>
            <w:r>
              <w:br w:type="textWrapping"/>
            </w:r>
          </w:p>
          <w:p w14:paraId="7219D15E">
            <w:pPr>
              <w:pStyle w:val="4"/>
            </w:pPr>
            <w:r>
              <w:t>支持单条和批量数据的导入、更新和删除操作。</w:t>
            </w:r>
            <w:r>
              <w:br w:type="textWrapping"/>
            </w:r>
          </w:p>
          <w:p w14:paraId="7D89F161">
            <w:pPr>
              <w:pStyle w:val="4"/>
            </w:pPr>
            <w:r>
              <w:t>支持存储过程和完整性、一致性、持久性的ACID事务能力。</w:t>
            </w:r>
            <w:r>
              <w:br w:type="textWrapping"/>
            </w:r>
          </w:p>
          <w:p w14:paraId="1A43FDE5">
            <w:pPr>
              <w:pStyle w:val="4"/>
            </w:pPr>
            <w:r>
              <w:t>提供存储空间分配能力，支持磁盘存储规划、存储空间自动扩展。</w:t>
            </w:r>
            <w:r>
              <w:br w:type="textWrapping"/>
            </w:r>
          </w:p>
          <w:p w14:paraId="57C80BF5">
            <w:pPr>
              <w:pStyle w:val="4"/>
            </w:pPr>
            <w:r>
              <w:t>提供作业管理能力，支持作业信息查询：查询维度包括作业提交人、作业内容、作业开始时间、执行时间。支持手动终止作业。</w:t>
            </w:r>
            <w:r>
              <w:br w:type="textWrapping"/>
            </w:r>
          </w:p>
          <w:p w14:paraId="73309657">
            <w:pPr>
              <w:pStyle w:val="4"/>
            </w:pPr>
            <w:r>
              <w:t>具备管理节点、计算节点、数据节点整机高可用能力。</w:t>
            </w:r>
            <w:r>
              <w:br w:type="textWrapping"/>
            </w:r>
          </w:p>
          <w:p w14:paraId="27714CAE">
            <w:pPr>
              <w:pStyle w:val="4"/>
            </w:pPr>
            <w:r>
              <w:t>具备管理节点、计算节点、数据节点网络高可用能力。</w:t>
            </w:r>
            <w:r>
              <w:br w:type="textWrapping"/>
            </w:r>
          </w:p>
          <w:p w14:paraId="69C797D5">
            <w:pPr>
              <w:pStyle w:val="4"/>
            </w:pPr>
            <w:r>
              <w:t>具备管理节点、计算节点、数据节点进程高可用能力。</w:t>
            </w:r>
            <w:r>
              <w:br w:type="textWrapping"/>
            </w:r>
          </w:p>
          <w:p w14:paraId="33796E34">
            <w:pPr>
              <w:pStyle w:val="4"/>
            </w:pPr>
            <w:r>
              <w:t>（4）数据组织</w:t>
            </w:r>
            <w:r>
              <w:br w:type="textWrapping"/>
            </w:r>
          </w:p>
          <w:p w14:paraId="0FDEE4CD">
            <w:pPr>
              <w:pStyle w:val="4"/>
            </w:pPr>
            <w:r>
              <w:t>数据组织需根据数据应用需求，按照数据定义标准和流程规范进行数据资源分类建库。包括基础数据、业务数据、主题数据以及共享数据库归档数据。</w:t>
            </w:r>
            <w:r>
              <w:br w:type="textWrapping"/>
            </w:r>
          </w:p>
          <w:p w14:paraId="3D59DBC4">
            <w:pPr>
              <w:pStyle w:val="4"/>
            </w:pPr>
            <w:r>
              <w:t>（5）数据仓库建设</w:t>
            </w:r>
            <w:r>
              <w:br w:type="textWrapping"/>
            </w:r>
          </w:p>
          <w:p w14:paraId="1CC31F5C">
            <w:pPr>
              <w:pStyle w:val="4"/>
            </w:pPr>
            <w:r>
              <w:t>数据仓库建设应按照层次及业务领域来划分数据库，并通过建库、建表语句，完成对应数据库表结构的建设，将多维度数据规范和分类管理。</w:t>
            </w:r>
            <w:r>
              <w:br w:type="textWrapping"/>
            </w:r>
          </w:p>
          <w:p w14:paraId="0E647918">
            <w:pPr>
              <w:pStyle w:val="4"/>
            </w:pPr>
            <w:r>
              <w:t>应至少包含原始数据库，基础数据库，业务数据库和主题数据库，可根据需要自由添加分层，进行更细化的数据分层管理。</w:t>
            </w:r>
            <w:r>
              <w:br w:type="textWrapping"/>
            </w:r>
          </w:p>
          <w:p w14:paraId="0F6A8E6F">
            <w:pPr>
              <w:pStyle w:val="4"/>
            </w:pPr>
            <w:r>
              <w:t>应涵盖各业务领域数据，并为各领域数据建立单独的数据库。应至少包含以下数据：</w:t>
            </w:r>
            <w:r>
              <w:br w:type="textWrapping"/>
            </w:r>
          </w:p>
          <w:p w14:paraId="749A18B1">
            <w:pPr>
              <w:pStyle w:val="4"/>
            </w:pPr>
            <w:r>
              <w:t>教务数据、教学资源数据、训练数据、科研数据、教学保障数据、人事管理数据、勤务保障数据、档案管理数据、服务部队数据、统一身份认证数据等。</w:t>
            </w:r>
          </w:p>
        </w:tc>
      </w:tr>
      <w:tr w14:paraId="36ABA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6BC211"/>
        </w:tc>
        <w:tc>
          <w:tcPr>
            <w:tcW w:w="2769" w:type="dxa"/>
          </w:tcPr>
          <w:p w14:paraId="031C6518">
            <w:pPr>
              <w:pStyle w:val="4"/>
              <w:jc w:val="center"/>
            </w:pPr>
            <w:r>
              <w:t>11</w:t>
            </w:r>
          </w:p>
        </w:tc>
        <w:tc>
          <w:tcPr>
            <w:tcW w:w="2769" w:type="dxa"/>
          </w:tcPr>
          <w:p w14:paraId="5EF98C5E">
            <w:pPr>
              <w:pStyle w:val="4"/>
            </w:pPr>
            <w:r>
              <w:t>数据挖掘</w:t>
            </w:r>
            <w:r>
              <w:br w:type="textWrapping"/>
            </w:r>
          </w:p>
          <w:p w14:paraId="22E33654">
            <w:pPr>
              <w:pStyle w:val="4"/>
            </w:pPr>
            <w:r>
              <w:t>大数据深度挖掘旨在利用大数据技术和算法，深入挖掘数据中隐藏的模式、规律和知识，提供更深层次的数据分析和洞察。数据挖掘支持提供集合运算类算子、字段处理类算子、统计分析类算子、数据清洗类算子等算子方法，通过算子构建挖掘模型。</w:t>
            </w:r>
            <w:r>
              <w:br w:type="textWrapping"/>
            </w:r>
          </w:p>
          <w:p w14:paraId="6E1C9453">
            <w:pPr>
              <w:pStyle w:val="4"/>
            </w:pPr>
            <w:r>
              <w:t>数据挖掘包括统计下钻、聚类分析、知识图谱、回归分析以及模拟仿真等功能。</w:t>
            </w:r>
            <w:r>
              <w:br w:type="textWrapping"/>
            </w:r>
          </w:p>
          <w:p w14:paraId="0A88C2D8">
            <w:pPr>
              <w:pStyle w:val="4"/>
            </w:pPr>
            <w:r>
              <w:t>（1）统计下钻</w:t>
            </w:r>
            <w:r>
              <w:br w:type="textWrapping"/>
            </w:r>
          </w:p>
          <w:p w14:paraId="3F3746AF">
            <w:pPr>
              <w:pStyle w:val="4"/>
            </w:pPr>
            <w:r>
              <w:t>提供透视表和透视图等功能；</w:t>
            </w:r>
            <w:r>
              <w:br w:type="textWrapping"/>
            </w:r>
          </w:p>
          <w:p w14:paraId="529B3568">
            <w:pPr>
              <w:pStyle w:val="4"/>
            </w:pPr>
            <w:r>
              <w:t>支持灵活的数据分组和聚合操作，帮助用户从不同维度和角度对数据进行分析和比较。</w:t>
            </w:r>
            <w:r>
              <w:br w:type="textWrapping"/>
            </w:r>
          </w:p>
          <w:p w14:paraId="7E3EA55B">
            <w:pPr>
              <w:pStyle w:val="4"/>
            </w:pPr>
            <w:r>
              <w:t>（2）聚类分析</w:t>
            </w:r>
            <w:r>
              <w:br w:type="textWrapping"/>
            </w:r>
          </w:p>
          <w:p w14:paraId="754BFBB5">
            <w:pPr>
              <w:pStyle w:val="4"/>
            </w:pPr>
            <w:r>
              <w:t>支持将数据进行分组和聚类，发现数据集中的相似性和群体特征；</w:t>
            </w:r>
            <w:r>
              <w:br w:type="textWrapping"/>
            </w:r>
          </w:p>
          <w:p w14:paraId="35D07893">
            <w:pPr>
              <w:pStyle w:val="4"/>
            </w:pPr>
            <w:r>
              <w:t>支持将聚类结果可视化展示，包括散点图、热力图等。</w:t>
            </w:r>
            <w:r>
              <w:br w:type="textWrapping"/>
            </w:r>
          </w:p>
          <w:p w14:paraId="63A5812F">
            <w:pPr>
              <w:pStyle w:val="4"/>
            </w:pPr>
            <w:r>
              <w:t>（3）知识图谱</w:t>
            </w:r>
            <w:r>
              <w:br w:type="textWrapping"/>
            </w:r>
          </w:p>
          <w:p w14:paraId="40FD2592">
            <w:pPr>
              <w:pStyle w:val="4"/>
            </w:pPr>
            <w:r>
              <w:t>支持从大数据中提取实体和关系，将实体和关系以图形化的方式展示。</w:t>
            </w:r>
            <w:r>
              <w:br w:type="textWrapping"/>
            </w:r>
          </w:p>
          <w:p w14:paraId="31578686">
            <w:pPr>
              <w:pStyle w:val="4"/>
            </w:pPr>
            <w:r>
              <w:t>支持基于知识图谱进行推理和发现，发掘实体之间的隐含关系和规律。</w:t>
            </w:r>
            <w:r>
              <w:br w:type="textWrapping"/>
            </w:r>
          </w:p>
          <w:p w14:paraId="4869203A">
            <w:pPr>
              <w:pStyle w:val="4"/>
            </w:pPr>
            <w:r>
              <w:t>（4）回归分析</w:t>
            </w:r>
            <w:r>
              <w:br w:type="textWrapping"/>
            </w:r>
          </w:p>
          <w:p w14:paraId="0B10A337">
            <w:pPr>
              <w:pStyle w:val="4"/>
            </w:pPr>
            <w:r>
              <w:t>支持数据回归模型建立，进行相关性分析和效果评估；</w:t>
            </w:r>
            <w:r>
              <w:br w:type="textWrapping"/>
            </w:r>
          </w:p>
          <w:p w14:paraId="01E79D7D">
            <w:pPr>
              <w:pStyle w:val="4"/>
            </w:pPr>
            <w:r>
              <w:t>支持优化回归模型的参数和算法，进行模型验证和评估，确保模型的准确性和可靠性。</w:t>
            </w:r>
            <w:r>
              <w:br w:type="textWrapping"/>
            </w:r>
          </w:p>
          <w:p w14:paraId="14F2C2B9">
            <w:pPr>
              <w:pStyle w:val="4"/>
            </w:pPr>
            <w:r>
              <w:t>（5）模拟仿真</w:t>
            </w:r>
            <w:r>
              <w:br w:type="textWrapping"/>
            </w:r>
          </w:p>
          <w:p w14:paraId="26FE99EF">
            <w:pPr>
              <w:pStyle w:val="4"/>
            </w:pPr>
            <w:r>
              <w:t>支持根据历史数据和统计分析结果，生成不同场景下的数据样本；</w:t>
            </w:r>
            <w:r>
              <w:br w:type="textWrapping"/>
            </w:r>
          </w:p>
          <w:p w14:paraId="3365CC75">
            <w:pPr>
              <w:pStyle w:val="4"/>
            </w:pPr>
            <w:r>
              <w:t>支持生成分析模拟结果，评估不同情景下的风险和机会。</w:t>
            </w:r>
          </w:p>
        </w:tc>
      </w:tr>
      <w:tr w14:paraId="3F8B1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9871A4"/>
        </w:tc>
        <w:tc>
          <w:tcPr>
            <w:tcW w:w="2769" w:type="dxa"/>
          </w:tcPr>
          <w:p w14:paraId="202E689A">
            <w:pPr>
              <w:pStyle w:val="4"/>
              <w:jc w:val="center"/>
            </w:pPr>
            <w:r>
              <w:t>12</w:t>
            </w:r>
          </w:p>
        </w:tc>
        <w:tc>
          <w:tcPr>
            <w:tcW w:w="2769" w:type="dxa"/>
          </w:tcPr>
          <w:p w14:paraId="6E059187">
            <w:pPr>
              <w:pStyle w:val="4"/>
            </w:pPr>
            <w:r>
              <w:t>数据服务</w:t>
            </w:r>
            <w:r>
              <w:br w:type="textWrapping"/>
            </w:r>
          </w:p>
          <w:p w14:paraId="55AF63A2">
            <w:pPr>
              <w:pStyle w:val="4"/>
            </w:pPr>
            <w:r>
              <w:t>数据服务是基于数据资源目录，提供数据共享与交换服务，对各业务系统所需要和所提供的服务进行全面梳理，实现目录资源管理。</w:t>
            </w:r>
            <w:r>
              <w:br w:type="textWrapping"/>
            </w:r>
          </w:p>
          <w:p w14:paraId="4A210F0D">
            <w:pPr>
              <w:pStyle w:val="4"/>
            </w:pPr>
            <w:r>
              <w:t>数据服务包括目录管理、目录结构管理、数据主题管理、目录服务、数据共享交换管理等功能。</w:t>
            </w:r>
            <w:r>
              <w:br w:type="textWrapping"/>
            </w:r>
          </w:p>
          <w:p w14:paraId="1EE9FA13">
            <w:pPr>
              <w:pStyle w:val="4"/>
            </w:pPr>
            <w:r>
              <w:t>（1）目录管理</w:t>
            </w:r>
            <w:r>
              <w:br w:type="textWrapping"/>
            </w:r>
          </w:p>
          <w:p w14:paraId="7A4D5699">
            <w:pPr>
              <w:pStyle w:val="4"/>
            </w:pPr>
            <w:r>
              <w:t>目录管理支持按目录层级查询和管理组织的全部数据资源对象，还可以查看当前系统中数据资产情况。</w:t>
            </w:r>
            <w:r>
              <w:br w:type="textWrapping"/>
            </w:r>
          </w:p>
          <w:p w14:paraId="00FECF01">
            <w:pPr>
              <w:pStyle w:val="4"/>
            </w:pPr>
            <w:r>
              <w:t>支持目录审核功能，按照资源目录国家标准、信息资源标识符编码、信息资源分类标准、核心元数据标准，对目录内容进行审核；</w:t>
            </w:r>
            <w:r>
              <w:br w:type="textWrapping"/>
            </w:r>
          </w:p>
          <w:p w14:paraId="25078F8F">
            <w:pPr>
              <w:pStyle w:val="4"/>
            </w:pPr>
            <w:r>
              <w:t>支持目录维护功能，对目录内容管理信息库、目录内容服务信息库中的目录内容进行维护；</w:t>
            </w:r>
            <w:r>
              <w:br w:type="textWrapping"/>
            </w:r>
          </w:p>
          <w:p w14:paraId="7A016D26">
            <w:pPr>
              <w:pStyle w:val="4"/>
            </w:pPr>
            <w:r>
              <w:t>支持监控功能，监控目录中心系统的运行状态和目录服务的被调用状态。</w:t>
            </w:r>
            <w:r>
              <w:br w:type="textWrapping"/>
            </w:r>
          </w:p>
          <w:p w14:paraId="6A71832D">
            <w:pPr>
              <w:pStyle w:val="4"/>
            </w:pPr>
            <w:r>
              <w:t>支持查询统计功能，对各单位的各种资源提供查询统计和报表，包括各个单位的数据资源统计、应用系统资源统计、资源目录统计、需求满足度统计等。</w:t>
            </w:r>
            <w:r>
              <w:br w:type="textWrapping"/>
            </w:r>
          </w:p>
          <w:p w14:paraId="4F607219">
            <w:pPr>
              <w:pStyle w:val="4"/>
            </w:pPr>
            <w:r>
              <w:t>支持非结构化资源管理功能，支持文档、图片、二进制数据等非结构化信息资源内容管理。支持对单位前置的非结构化数据进行批量添加和删除等操作以及对文件信息进行统计、查询文件的更新和使用情况。</w:t>
            </w:r>
            <w:r>
              <w:br w:type="textWrapping"/>
            </w:r>
          </w:p>
          <w:p w14:paraId="5526D7BA">
            <w:pPr>
              <w:pStyle w:val="4"/>
            </w:pPr>
            <w:r>
              <w:t>支持目录中心对申请单位提供非结构化数据的查询和下载功能。</w:t>
            </w:r>
            <w:r>
              <w:br w:type="textWrapping"/>
            </w:r>
          </w:p>
          <w:p w14:paraId="0452966F">
            <w:pPr>
              <w:pStyle w:val="4"/>
            </w:pPr>
            <w:r>
              <w:t>（2）目录结构管理</w:t>
            </w:r>
            <w:r>
              <w:br w:type="textWrapping"/>
            </w:r>
          </w:p>
          <w:p w14:paraId="3BF5CAF7">
            <w:pPr>
              <w:pStyle w:val="4"/>
            </w:pPr>
            <w:r>
              <w:t>系统提供目录结构管理，实现对目录结构的精细管控。</w:t>
            </w:r>
            <w:r>
              <w:br w:type="textWrapping"/>
            </w:r>
          </w:p>
          <w:p w14:paraId="2F1F7887">
            <w:pPr>
              <w:pStyle w:val="4"/>
            </w:pPr>
            <w:r>
              <w:t>支持包括目录结构查询、目录结构详情查询、目录创建、目录修改、目录删除等功能。</w:t>
            </w:r>
            <w:r>
              <w:br w:type="textWrapping"/>
            </w:r>
          </w:p>
          <w:p w14:paraId="57D5E367">
            <w:pPr>
              <w:pStyle w:val="4"/>
            </w:pPr>
            <w:r>
              <w:t>支持自定义数据目录，目录数层级不低于3级。</w:t>
            </w:r>
            <w:r>
              <w:br w:type="textWrapping"/>
            </w:r>
          </w:p>
          <w:p w14:paraId="63DC3781">
            <w:pPr>
              <w:pStyle w:val="4"/>
            </w:pPr>
            <w:r>
              <w:t>（3）数据主题管理</w:t>
            </w:r>
            <w:r>
              <w:br w:type="textWrapping"/>
            </w:r>
          </w:p>
          <w:p w14:paraId="395D1925">
            <w:pPr>
              <w:pStyle w:val="4"/>
            </w:pPr>
            <w:r>
              <w:t>包括数据主题查询、新建、删除、修改、废止以及数据资源访问等功能。</w:t>
            </w:r>
            <w:r>
              <w:br w:type="textWrapping"/>
            </w:r>
          </w:p>
          <w:p w14:paraId="42A84856">
            <w:pPr>
              <w:pStyle w:val="4"/>
            </w:pPr>
            <w:r>
              <w:t>数据主题基本信息包括数据主题名称、提供方、管理方、资源名称、共享方式、资源分类、数据规格等内容；扩展信息包括显示项、显示排序、起始日期以及结束日期等内容。</w:t>
            </w:r>
            <w:r>
              <w:br w:type="textWrapping"/>
            </w:r>
          </w:p>
          <w:p w14:paraId="11C7B374">
            <w:pPr>
              <w:pStyle w:val="4"/>
            </w:pPr>
            <w:r>
              <w:t>（4）目录服务</w:t>
            </w:r>
            <w:r>
              <w:br w:type="textWrapping"/>
            </w:r>
          </w:p>
          <w:p w14:paraId="44A4ACB7">
            <w:pPr>
              <w:pStyle w:val="4"/>
            </w:pPr>
            <w:r>
              <w:t>目录服务支持面向各单位的部门工作人员，提供共享目录浏览、共享目录检索、共享数据查询服务。</w:t>
            </w:r>
            <w:r>
              <w:br w:type="textWrapping"/>
            </w:r>
          </w:p>
          <w:p w14:paraId="45F1C0D0">
            <w:pPr>
              <w:pStyle w:val="4"/>
            </w:pPr>
            <w:r>
              <w:t>提供按部门、按专题分类的资源定位功能。</w:t>
            </w:r>
            <w:r>
              <w:br w:type="textWrapping"/>
            </w:r>
          </w:p>
          <w:p w14:paraId="4D3AD5A8">
            <w:pPr>
              <w:pStyle w:val="4"/>
            </w:pPr>
            <w:r>
              <w:t>提供按关键字精确或模糊匹配查询功能。</w:t>
            </w:r>
            <w:r>
              <w:br w:type="textWrapping"/>
            </w:r>
          </w:p>
          <w:p w14:paraId="7A2DC47C">
            <w:pPr>
              <w:pStyle w:val="4"/>
            </w:pPr>
            <w:r>
              <w:t>提供数据资源的订阅、推送、API调用和查询功能。</w:t>
            </w:r>
            <w:r>
              <w:br w:type="textWrapping"/>
            </w:r>
          </w:p>
          <w:p w14:paraId="6EC4A1A1">
            <w:pPr>
              <w:pStyle w:val="4"/>
            </w:pPr>
            <w:r>
              <w:t>（5）数据共享交换管理</w:t>
            </w:r>
            <w:r>
              <w:br w:type="textWrapping"/>
            </w:r>
          </w:p>
          <w:p w14:paraId="1CF9CB7F">
            <w:pPr>
              <w:pStyle w:val="4"/>
            </w:pPr>
            <w:r>
              <w:t>数据共享交换作为数据互联互通重要功能组成，在性能上要求满足用户的要求，每存储节点支持2G/秒数据流的写入速度，可动态扩容；每存储节点支持10000条/秒数据存储速度，可动态扩容。</w:t>
            </w:r>
            <w:r>
              <w:br w:type="textWrapping"/>
            </w:r>
          </w:p>
          <w:p w14:paraId="6DB6275F">
            <w:pPr>
              <w:pStyle w:val="4"/>
            </w:pPr>
            <w:r>
              <w:t>在功能上，支持各部门维护本部门的信息资源，包括应用系统、数据库等信息；支持共享信息资源生成，包括数据集等结构化数据以及图片、文档等非结构化数据；支持业务资源主动推送和目录资源管理中心主动获取的基于学校网络为主的共享信息资源发布；提供共享信息资源访问服务，包括浏览、查询、下载。</w:t>
            </w:r>
            <w:r>
              <w:br w:type="textWrapping"/>
            </w:r>
          </w:p>
          <w:p w14:paraId="5665BE1B">
            <w:pPr>
              <w:pStyle w:val="4"/>
            </w:pPr>
            <w:r>
              <w:t>支持通过数据发布、数据订阅、数据撤销实现数据共享。支持数据共享流程的自定义操作。</w:t>
            </w:r>
            <w:r>
              <w:br w:type="textWrapping"/>
            </w:r>
          </w:p>
          <w:p w14:paraId="2D8781AE">
            <w:pPr>
              <w:pStyle w:val="4"/>
            </w:pPr>
            <w:r>
              <w:t>支持通过资源目录选择共享资源，支持勾选指定字段进行发布。</w:t>
            </w:r>
            <w:r>
              <w:br w:type="textWrapping"/>
            </w:r>
          </w:p>
          <w:p w14:paraId="009C32C7">
            <w:pPr>
              <w:pStyle w:val="4"/>
            </w:pPr>
            <w:r>
              <w:t>支持共享资源有效期、可见范围、审批流程订阅的个性化配置。</w:t>
            </w:r>
            <w:r>
              <w:br w:type="textWrapping"/>
            </w:r>
          </w:p>
          <w:p w14:paraId="7DA0B556">
            <w:pPr>
              <w:pStyle w:val="4"/>
            </w:pPr>
            <w:r>
              <w:t>支持库表同步订阅模式。支持目标库表配置、全量同步、增量同步、订阅周期配置。</w:t>
            </w:r>
            <w:r>
              <w:br w:type="textWrapping"/>
            </w:r>
          </w:p>
          <w:p w14:paraId="10AC6DA3">
            <w:pPr>
              <w:pStyle w:val="4"/>
            </w:pPr>
            <w:r>
              <w:t>支持非结构化数据订阅，支持数据资源预览。</w:t>
            </w:r>
          </w:p>
        </w:tc>
      </w:tr>
      <w:tr w14:paraId="70B22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48963A"/>
        </w:tc>
        <w:tc>
          <w:tcPr>
            <w:tcW w:w="2769" w:type="dxa"/>
          </w:tcPr>
          <w:p w14:paraId="39B7E5A2">
            <w:pPr>
              <w:pStyle w:val="4"/>
              <w:jc w:val="center"/>
            </w:pPr>
            <w:r>
              <w:t>13</w:t>
            </w:r>
          </w:p>
        </w:tc>
        <w:tc>
          <w:tcPr>
            <w:tcW w:w="2769" w:type="dxa"/>
          </w:tcPr>
          <w:p w14:paraId="62700F99">
            <w:pPr>
              <w:pStyle w:val="4"/>
            </w:pPr>
            <w:r>
              <w:t>数据一致性</w:t>
            </w:r>
            <w:r>
              <w:br w:type="textWrapping"/>
            </w:r>
          </w:p>
          <w:p w14:paraId="12CD757C">
            <w:pPr>
              <w:pStyle w:val="4"/>
            </w:pPr>
            <w:r>
              <w:t>数据一致性是在数据校验和数据质量检测的基础上，对存在问题的数据进行修复和改进的过程。</w:t>
            </w:r>
            <w:r>
              <w:br w:type="textWrapping"/>
            </w:r>
          </w:p>
          <w:p w14:paraId="236514DE">
            <w:pPr>
              <w:pStyle w:val="4"/>
            </w:pPr>
            <w:r>
              <w:t>支持通过界面配置一致性核检任务。核检任务支持手动启动、暂停、继续执行。核检任务支持日志存储、日志界面查看和后台查看。</w:t>
            </w:r>
            <w:r>
              <w:br w:type="textWrapping"/>
            </w:r>
          </w:p>
          <w:p w14:paraId="75386EBA">
            <w:pPr>
              <w:pStyle w:val="4"/>
            </w:pPr>
            <w:r>
              <w:t>支持根据确定的数据质量问题制定数据质量整改计划；</w:t>
            </w:r>
            <w:r>
              <w:br w:type="textWrapping"/>
            </w:r>
          </w:p>
          <w:p w14:paraId="60CFB366">
            <w:pPr>
              <w:pStyle w:val="4"/>
            </w:pPr>
            <w:r>
              <w:t>支持根据数据清洗和修改对数据集中存在的错误、缺失、重复等问题进行清洗和修复，并补充缺失的数据进行数据校准和校验；</w:t>
            </w:r>
            <w:r>
              <w:br w:type="textWrapping"/>
            </w:r>
          </w:p>
          <w:p w14:paraId="546FD87E">
            <w:pPr>
              <w:pStyle w:val="4"/>
            </w:pPr>
            <w:r>
              <w:t>支持对整改效果进行验证评估。</w:t>
            </w:r>
            <w:r>
              <w:br w:type="textWrapping"/>
            </w:r>
          </w:p>
          <w:p w14:paraId="5C155950">
            <w:pPr>
              <w:pStyle w:val="4"/>
            </w:pPr>
            <w:r>
              <w:t>支持导出问题数据，导出格式支持excel、WPS。</w:t>
            </w:r>
            <w:r>
              <w:br w:type="textWrapping"/>
            </w:r>
          </w:p>
          <w:p w14:paraId="2550FF42">
            <w:pPr>
              <w:pStyle w:val="4"/>
            </w:pPr>
            <w:r>
              <w:t>支持核检结果推送。可通过配置实现核检结果推送至指定用户。</w:t>
            </w:r>
            <w:r>
              <w:br w:type="textWrapping"/>
            </w:r>
          </w:p>
          <w:p w14:paraId="678950F4">
            <w:pPr>
              <w:pStyle w:val="4"/>
            </w:pPr>
            <w:r>
              <w:t>支持数据质量报告。可根据核检结果生成质量报告，可对指定库、表的数据趋势分析结果进行展示。支持报告内容导出。</w:t>
            </w:r>
          </w:p>
        </w:tc>
      </w:tr>
      <w:tr w14:paraId="6E1B2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BC5F74"/>
        </w:tc>
        <w:tc>
          <w:tcPr>
            <w:tcW w:w="2769" w:type="dxa"/>
          </w:tcPr>
          <w:p w14:paraId="6FD8D6C8">
            <w:pPr>
              <w:pStyle w:val="4"/>
              <w:jc w:val="center"/>
            </w:pPr>
            <w:r>
              <w:t>14</w:t>
            </w:r>
          </w:p>
        </w:tc>
        <w:tc>
          <w:tcPr>
            <w:tcW w:w="2769" w:type="dxa"/>
          </w:tcPr>
          <w:p w14:paraId="4E1F5F31">
            <w:pPr>
              <w:pStyle w:val="4"/>
            </w:pPr>
            <w:r>
              <w:t>数据血缘</w:t>
            </w:r>
            <w:r>
              <w:br w:type="textWrapping"/>
            </w:r>
          </w:p>
          <w:p w14:paraId="7E268CC0">
            <w:pPr>
              <w:pStyle w:val="4"/>
            </w:pPr>
            <w:r>
              <w:t>数据血缘包括数据血缘建立、数据血缘分析、数据溯源、数据血缘影响分析、血缘查询以及数据血缘可视化等功能。</w:t>
            </w:r>
            <w:r>
              <w:br w:type="textWrapping"/>
            </w:r>
          </w:p>
          <w:p w14:paraId="3E8D35D9">
            <w:pPr>
              <w:pStyle w:val="4"/>
            </w:pPr>
            <w:r>
              <w:t>（1）数据血缘建立</w:t>
            </w:r>
            <w:r>
              <w:br w:type="textWrapping"/>
            </w:r>
          </w:p>
          <w:p w14:paraId="537363E3">
            <w:pPr>
              <w:pStyle w:val="4"/>
            </w:pPr>
            <w:r>
              <w:t>支持建立能够描述记录血缘信息的规则，包括元数据、数据记录、数据属性等内容。</w:t>
            </w:r>
            <w:r>
              <w:br w:type="textWrapping"/>
            </w:r>
          </w:p>
          <w:p w14:paraId="66BA551F">
            <w:pPr>
              <w:pStyle w:val="4"/>
            </w:pPr>
            <w:r>
              <w:t>（2）数据血缘分析</w:t>
            </w:r>
            <w:r>
              <w:br w:type="textWrapping"/>
            </w:r>
          </w:p>
          <w:p w14:paraId="622A5EBA">
            <w:pPr>
              <w:pStyle w:val="4"/>
            </w:pPr>
            <w:r>
              <w:t>支持针对数据流转过程中产生并记录的各种信息进行采集、处理和分析；</w:t>
            </w:r>
            <w:r>
              <w:br w:type="textWrapping"/>
            </w:r>
          </w:p>
          <w:p w14:paraId="15141D38">
            <w:pPr>
              <w:pStyle w:val="4"/>
            </w:pPr>
            <w:r>
              <w:t>支持表和字段的血缘分析和影响分析；</w:t>
            </w:r>
            <w:r>
              <w:br w:type="textWrapping"/>
            </w:r>
          </w:p>
          <w:p w14:paraId="273780DB">
            <w:pPr>
              <w:pStyle w:val="4"/>
            </w:pPr>
            <w:r>
              <w:t>支持自动化实时同步更新血缘、影响数据。</w:t>
            </w:r>
            <w:r>
              <w:br w:type="textWrapping"/>
            </w:r>
          </w:p>
          <w:p w14:paraId="5BEDFA44">
            <w:pPr>
              <w:pStyle w:val="4"/>
            </w:pPr>
            <w:r>
              <w:t>支持对数据之间的血缘关系进行系统性梳理、关联；</w:t>
            </w:r>
            <w:r>
              <w:br w:type="textWrapping"/>
            </w:r>
          </w:p>
          <w:p w14:paraId="4A8B9190">
            <w:pPr>
              <w:pStyle w:val="4"/>
            </w:pPr>
            <w:r>
              <w:t>支持将梳理完成的信息进行存储。</w:t>
            </w:r>
            <w:r>
              <w:br w:type="textWrapping"/>
            </w:r>
          </w:p>
          <w:p w14:paraId="0AC28B4F">
            <w:pPr>
              <w:pStyle w:val="4"/>
            </w:pPr>
            <w:r>
              <w:t>（3）数据溯源</w:t>
            </w:r>
            <w:r>
              <w:br w:type="textWrapping"/>
            </w:r>
          </w:p>
          <w:p w14:paraId="2B86000D">
            <w:pPr>
              <w:pStyle w:val="4"/>
            </w:pPr>
            <w:r>
              <w:t>支持在数据发生异常时，追踪定位发生问题的原因，实现指定数据的来源和去向的溯源。</w:t>
            </w:r>
            <w:r>
              <w:br w:type="textWrapping"/>
            </w:r>
          </w:p>
          <w:p w14:paraId="58E0789B">
            <w:pPr>
              <w:pStyle w:val="4"/>
            </w:pPr>
            <w:r>
              <w:t>（4）数据血缘影响分析</w:t>
            </w:r>
            <w:r>
              <w:br w:type="textWrapping"/>
            </w:r>
          </w:p>
          <w:p w14:paraId="490A9FB7">
            <w:pPr>
              <w:pStyle w:val="4"/>
            </w:pPr>
            <w:r>
              <w:t>支持通过分析结果快速了解下游数据信息，掌握数据变更可能带来的影响以及评估变化该数据带来的风险。</w:t>
            </w:r>
            <w:r>
              <w:br w:type="textWrapping"/>
            </w:r>
          </w:p>
          <w:p w14:paraId="4D557898">
            <w:pPr>
              <w:pStyle w:val="4"/>
            </w:pPr>
            <w:r>
              <w:t>（5）血缘查询</w:t>
            </w:r>
            <w:r>
              <w:br w:type="textWrapping"/>
            </w:r>
          </w:p>
          <w:p w14:paraId="5BC092D6">
            <w:pPr>
              <w:pStyle w:val="4"/>
            </w:pPr>
            <w:r>
              <w:t>支持按照数据类别、数据项进行数据血缘的接口查询。</w:t>
            </w:r>
            <w:r>
              <w:br w:type="textWrapping"/>
            </w:r>
          </w:p>
          <w:p w14:paraId="1B399355">
            <w:pPr>
              <w:pStyle w:val="4"/>
            </w:pPr>
            <w:r>
              <w:t>（6）数据血缘可视化</w:t>
            </w:r>
            <w:r>
              <w:br w:type="textWrapping"/>
            </w:r>
          </w:p>
          <w:p w14:paraId="5CCDD1C4">
            <w:pPr>
              <w:pStyle w:val="4"/>
            </w:pPr>
            <w:r>
              <w:t>支持将分析结果进行可视化展示，可视化展示元素至少包括：数据节点、流转线路和处理节点等。支持通过图形化方式展示数据血缘关系、影响关系，可对指定表、指定字段的血缘关系和影响关系进行查看。</w:t>
            </w:r>
          </w:p>
        </w:tc>
      </w:tr>
      <w:tr w14:paraId="1B28D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8AEBF0"/>
        </w:tc>
        <w:tc>
          <w:tcPr>
            <w:tcW w:w="2769" w:type="dxa"/>
          </w:tcPr>
          <w:p w14:paraId="660156A4">
            <w:pPr>
              <w:pStyle w:val="4"/>
              <w:jc w:val="center"/>
            </w:pPr>
            <w:r>
              <w:t>15</w:t>
            </w:r>
          </w:p>
        </w:tc>
        <w:tc>
          <w:tcPr>
            <w:tcW w:w="2769" w:type="dxa"/>
          </w:tcPr>
          <w:p w14:paraId="23320AC1">
            <w:pPr>
              <w:pStyle w:val="4"/>
            </w:pPr>
            <w:r>
              <w:t>数据安全</w:t>
            </w:r>
            <w:r>
              <w:br w:type="textWrapping"/>
            </w:r>
          </w:p>
          <w:p w14:paraId="24271644">
            <w:pPr>
              <w:pStyle w:val="4"/>
            </w:pPr>
            <w:r>
              <w:t>提供数据分类分级功能，支持将预设的分类分级标准。提供全流程的分类分级管理界面，支持分类结果的动态调整与自动映射。</w:t>
            </w:r>
            <w:r>
              <w:br w:type="textWrapping"/>
            </w:r>
          </w:p>
          <w:p w14:paraId="603059A7">
            <w:pPr>
              <w:pStyle w:val="4"/>
            </w:pPr>
            <w:r>
              <w:t>（1）安全规范管理</w:t>
            </w:r>
            <w:r>
              <w:br w:type="textWrapping"/>
            </w:r>
          </w:p>
          <w:p w14:paraId="72E97979">
            <w:pPr>
              <w:pStyle w:val="4"/>
            </w:pPr>
            <w:r>
              <w:t>提供数据安全相关规范性文档进行集中的管理、存储和查阅。支持多种文档格式。</w:t>
            </w:r>
            <w:r>
              <w:br w:type="textWrapping"/>
            </w:r>
          </w:p>
          <w:p w14:paraId="1D176D6A">
            <w:pPr>
              <w:pStyle w:val="4"/>
            </w:pPr>
            <w:r>
              <w:t>（2）敏感数据监控</w:t>
            </w:r>
            <w:r>
              <w:br w:type="textWrapping"/>
            </w:r>
          </w:p>
          <w:p w14:paraId="4F31025E">
            <w:pPr>
              <w:pStyle w:val="4"/>
            </w:pPr>
            <w:r>
              <w:t>支持设置敏感数据设置，并对敏感数据进行监控。能够对敏感数据的分布情况、访问情况等进行监控。</w:t>
            </w:r>
            <w:r>
              <w:br w:type="textWrapping"/>
            </w:r>
          </w:p>
          <w:p w14:paraId="276C6F66">
            <w:pPr>
              <w:pStyle w:val="4"/>
            </w:pPr>
            <w:r>
              <w:t>（3）异常行为监控</w:t>
            </w:r>
            <w:r>
              <w:br w:type="textWrapping"/>
            </w:r>
          </w:p>
          <w:p w14:paraId="44E749D2">
            <w:pPr>
              <w:pStyle w:val="4"/>
            </w:pPr>
            <w:r>
              <w:t>可灵活定义的用户异常行为，并对异常行为进行监控，能够进行及时预警。</w:t>
            </w:r>
            <w:r>
              <w:br w:type="textWrapping"/>
            </w:r>
          </w:p>
          <w:p w14:paraId="1C2AC61C">
            <w:pPr>
              <w:pStyle w:val="4"/>
            </w:pPr>
            <w:r>
              <w:t>（4）数据资产加密</w:t>
            </w:r>
            <w:r>
              <w:br w:type="textWrapping"/>
            </w:r>
          </w:p>
          <w:p w14:paraId="3E995D18">
            <w:pPr>
              <w:pStyle w:val="4"/>
            </w:pPr>
            <w:r>
              <w:t>支持对数据资产进行加密，并提供多种加密方法，同时支持对密钥进行管理，保证数据资产的安全性。</w:t>
            </w:r>
            <w:r>
              <w:br w:type="textWrapping"/>
            </w:r>
          </w:p>
          <w:p w14:paraId="0FB9C23B">
            <w:pPr>
              <w:pStyle w:val="4"/>
            </w:pPr>
            <w:r>
              <w:t>（5）访问权限管理</w:t>
            </w:r>
            <w:r>
              <w:br w:type="textWrapping"/>
            </w:r>
          </w:p>
          <w:p w14:paraId="43791FAA">
            <w:pPr>
              <w:pStyle w:val="4"/>
            </w:pPr>
            <w:r>
              <w:t>提供系统用户权限审计功能，把关平台用户创建及使用过程。</w:t>
            </w:r>
            <w:r>
              <w:br w:type="textWrapping"/>
            </w:r>
          </w:p>
          <w:p w14:paraId="144552B2">
            <w:pPr>
              <w:pStyle w:val="4"/>
            </w:pPr>
            <w:r>
              <w:t>提供数据库权限管理共，统一管理数据库权限及用户权限分配。</w:t>
            </w:r>
          </w:p>
        </w:tc>
      </w:tr>
      <w:tr w14:paraId="33789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63412C"/>
        </w:tc>
        <w:tc>
          <w:tcPr>
            <w:tcW w:w="2769" w:type="dxa"/>
          </w:tcPr>
          <w:p w14:paraId="6174AD12">
            <w:pPr>
              <w:pStyle w:val="4"/>
              <w:jc w:val="center"/>
            </w:pPr>
            <w:r>
              <w:t>16</w:t>
            </w:r>
          </w:p>
        </w:tc>
        <w:tc>
          <w:tcPr>
            <w:tcW w:w="2769" w:type="dxa"/>
          </w:tcPr>
          <w:p w14:paraId="62169F1F">
            <w:pPr>
              <w:pStyle w:val="4"/>
            </w:pPr>
            <w:r>
              <w:t>数据备份</w:t>
            </w:r>
            <w:r>
              <w:br w:type="textWrapping"/>
            </w:r>
          </w:p>
          <w:p w14:paraId="0BD8AC34">
            <w:pPr>
              <w:pStyle w:val="4"/>
            </w:pPr>
            <w:r>
              <w:t>调用原有备份一体机功能，提供数据备份和恢复功能，保证数据的可靠性和恢复能力。</w:t>
            </w:r>
            <w:r>
              <w:br w:type="textWrapping"/>
            </w:r>
          </w:p>
          <w:p w14:paraId="5E382EFB">
            <w:pPr>
              <w:pStyle w:val="4"/>
            </w:pPr>
            <w:r>
              <w:t>支持定期的数据备份和增量备份，以及数据的灾难恢复和容灾恢复。</w:t>
            </w:r>
            <w:r>
              <w:br w:type="textWrapping"/>
            </w:r>
          </w:p>
          <w:p w14:paraId="6148B1C8">
            <w:pPr>
              <w:pStyle w:val="4"/>
            </w:pPr>
            <w:r>
              <w:t>支持数据安全策略管理和数据备份与迁移策略等功能。</w:t>
            </w:r>
          </w:p>
        </w:tc>
      </w:tr>
      <w:tr w14:paraId="6A82F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FCEAC4"/>
        </w:tc>
        <w:tc>
          <w:tcPr>
            <w:tcW w:w="2769" w:type="dxa"/>
          </w:tcPr>
          <w:p w14:paraId="054FAC81">
            <w:pPr>
              <w:pStyle w:val="4"/>
              <w:jc w:val="center"/>
            </w:pPr>
            <w:r>
              <w:t>17</w:t>
            </w:r>
          </w:p>
        </w:tc>
        <w:tc>
          <w:tcPr>
            <w:tcW w:w="2769" w:type="dxa"/>
          </w:tcPr>
          <w:p w14:paraId="433181CE">
            <w:pPr>
              <w:pStyle w:val="4"/>
            </w:pPr>
            <w:r>
              <w:t>表格统计</w:t>
            </w:r>
            <w:r>
              <w:br w:type="textWrapping"/>
            </w:r>
          </w:p>
          <w:p w14:paraId="55D21981">
            <w:pPr>
              <w:pStyle w:val="4"/>
            </w:pPr>
            <w:r>
              <w:t>用户可以根据上级或实际需要的表格统计，自行定义表格任意分层级子表格，并保存在数据库字典中，所定义的表格可以与固定表格一样完成数据增、删、改和统计汇总功能。</w:t>
            </w:r>
          </w:p>
        </w:tc>
      </w:tr>
      <w:tr w14:paraId="352B6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749F34"/>
        </w:tc>
        <w:tc>
          <w:tcPr>
            <w:tcW w:w="2769" w:type="dxa"/>
          </w:tcPr>
          <w:p w14:paraId="27E761C7">
            <w:pPr>
              <w:pStyle w:val="4"/>
              <w:jc w:val="center"/>
            </w:pPr>
            <w:r>
              <w:t>18</w:t>
            </w:r>
          </w:p>
        </w:tc>
        <w:tc>
          <w:tcPr>
            <w:tcW w:w="2769" w:type="dxa"/>
          </w:tcPr>
          <w:p w14:paraId="731C2619">
            <w:pPr>
              <w:pStyle w:val="4"/>
            </w:pPr>
            <w:r>
              <w:t>任意统计汇总</w:t>
            </w:r>
          </w:p>
          <w:p w14:paraId="4FEB3B28">
            <w:pPr>
              <w:pStyle w:val="4"/>
            </w:pPr>
            <w:r>
              <w:t>可实现数据资源管理平台中任意字段任意组合的固定表、自定义表统计汇总功能。</w:t>
            </w:r>
          </w:p>
        </w:tc>
      </w:tr>
      <w:tr w14:paraId="7FC76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DFF21A"/>
        </w:tc>
        <w:tc>
          <w:tcPr>
            <w:tcW w:w="2769" w:type="dxa"/>
          </w:tcPr>
          <w:p w14:paraId="40AB4257">
            <w:pPr>
              <w:pStyle w:val="4"/>
              <w:jc w:val="center"/>
            </w:pPr>
            <w:r>
              <w:t>19</w:t>
            </w:r>
          </w:p>
        </w:tc>
        <w:tc>
          <w:tcPr>
            <w:tcW w:w="2769" w:type="dxa"/>
          </w:tcPr>
          <w:p w14:paraId="7BE6C9DE">
            <w:pPr>
              <w:pStyle w:val="4"/>
            </w:pPr>
            <w:r>
              <w:t>定制报表功能</w:t>
            </w:r>
          </w:p>
          <w:p w14:paraId="2B80446B">
            <w:pPr>
              <w:pStyle w:val="4"/>
            </w:pPr>
            <w:r>
              <w:t>可根据需要，对数据资源管理平台中任意字段任意组合，自由排版报表输出格式，并保存定制格式作为新的报表模块，也可针对现有报表格式进行修改保存或另存。</w:t>
            </w:r>
          </w:p>
        </w:tc>
      </w:tr>
      <w:tr w14:paraId="7497E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43DA50"/>
        </w:tc>
        <w:tc>
          <w:tcPr>
            <w:tcW w:w="2769" w:type="dxa"/>
          </w:tcPr>
          <w:p w14:paraId="7CB61111">
            <w:pPr>
              <w:pStyle w:val="4"/>
              <w:jc w:val="center"/>
            </w:pPr>
            <w:r>
              <w:t>20</w:t>
            </w:r>
          </w:p>
        </w:tc>
        <w:tc>
          <w:tcPr>
            <w:tcW w:w="2769" w:type="dxa"/>
          </w:tcPr>
          <w:p w14:paraId="31E79136">
            <w:pPr>
              <w:pStyle w:val="4"/>
            </w:pPr>
            <w:r>
              <w:t>多种输出格式</w:t>
            </w:r>
            <w:r>
              <w:br w:type="textWrapping"/>
            </w:r>
          </w:p>
          <w:p w14:paraId="5264F3DB">
            <w:pPr>
              <w:pStyle w:val="4"/>
            </w:pPr>
            <w:r>
              <w:t>可实现对所有表格、查询结果和统计汇总结果输出到wps、word、Excel、xml、html等格式文件。</w:t>
            </w:r>
          </w:p>
        </w:tc>
      </w:tr>
      <w:tr w14:paraId="608A5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141304"/>
        </w:tc>
        <w:tc>
          <w:tcPr>
            <w:tcW w:w="2769" w:type="dxa"/>
          </w:tcPr>
          <w:p w14:paraId="06CB0867">
            <w:pPr>
              <w:pStyle w:val="4"/>
              <w:jc w:val="center"/>
            </w:pPr>
            <w:r>
              <w:t>21</w:t>
            </w:r>
          </w:p>
        </w:tc>
        <w:tc>
          <w:tcPr>
            <w:tcW w:w="2769" w:type="dxa"/>
          </w:tcPr>
          <w:p w14:paraId="7E21A21E">
            <w:pPr>
              <w:pStyle w:val="4"/>
            </w:pPr>
            <w:r>
              <w:t>系统集成对接与旧数据迁移</w:t>
            </w:r>
            <w:r>
              <w:br w:type="textWrapping"/>
            </w:r>
          </w:p>
          <w:p w14:paraId="05D91BBF">
            <w:pPr>
              <w:pStyle w:val="4"/>
            </w:pPr>
            <w:r>
              <w:t>（1）系统数据对接</w:t>
            </w:r>
            <w:r>
              <w:br w:type="textWrapping"/>
            </w:r>
          </w:p>
          <w:p w14:paraId="7241EB13">
            <w:pPr>
              <w:pStyle w:val="4"/>
            </w:pPr>
            <w:r>
              <w:t>未来新建系统（包括、智慧教学平台、综合教务管理系统、科研学术管理系统、勤务保障管理系统在内的不少于10个新建系统）需与本期建设的数据中心完成全量数据对接，须要中标供应商与相关系统协调对接，遵循数据中心统一标准规范，确保数据格式、接口协议一致。对接需实现数据实时同步或定时更新，保障数据传输的准确性、完整性与时效性，无冗余、无遗漏。建立数据校验与异常处理机制，对接异常时自动告警并留存日志，支持快速溯源排查。严格遵守数据安全管理规定，对接过程中做好数据加密与权限管控，杜绝数据泄露风险。</w:t>
            </w:r>
            <w:r>
              <w:br w:type="textWrapping"/>
            </w:r>
          </w:p>
          <w:p w14:paraId="57E6D20C">
            <w:pPr>
              <w:pStyle w:val="4"/>
            </w:pPr>
            <w:r>
              <w:t>（2）旧数据迁移</w:t>
            </w:r>
            <w:r>
              <w:br w:type="textWrapping"/>
            </w:r>
          </w:p>
          <w:p w14:paraId="496840E2">
            <w:pPr>
              <w:pStyle w:val="4"/>
            </w:pPr>
            <w:r>
              <w:t>对现有数字校园涉及到的各类数据进行分析整理，补充完善，实现旧数据向新开发的平台系统数据库平稳迁移和历史数据的传承。对尚未数字化的档案、资料进行数字化。包括图像电子化、音视频数字化、语音文字识别转写、纸质文档识别转录。</w:t>
            </w:r>
          </w:p>
        </w:tc>
      </w:tr>
    </w:tbl>
    <w:p w14:paraId="0BB5604B">
      <w:pPr>
        <w:pStyle w:val="4"/>
      </w:pPr>
      <w:r>
        <w:t>1-3 标的名称：信息共享服务平台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7CA9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FBFED9">
            <w:pPr>
              <w:pStyle w:val="4"/>
              <w:jc w:val="center"/>
            </w:pPr>
            <w:r>
              <w:t xml:space="preserve"> 参数性质</w:t>
            </w:r>
          </w:p>
        </w:tc>
        <w:tc>
          <w:tcPr>
            <w:tcW w:w="2769" w:type="dxa"/>
          </w:tcPr>
          <w:p w14:paraId="3D9230E2">
            <w:pPr>
              <w:pStyle w:val="4"/>
              <w:jc w:val="center"/>
            </w:pPr>
            <w:r>
              <w:t xml:space="preserve"> 序号</w:t>
            </w:r>
          </w:p>
        </w:tc>
        <w:tc>
          <w:tcPr>
            <w:tcW w:w="2769" w:type="dxa"/>
          </w:tcPr>
          <w:p w14:paraId="43F86A2F">
            <w:pPr>
              <w:pStyle w:val="4"/>
              <w:jc w:val="center"/>
            </w:pPr>
            <w:r>
              <w:t xml:space="preserve"> 技术参数与性能指标</w:t>
            </w:r>
          </w:p>
        </w:tc>
      </w:tr>
      <w:tr w14:paraId="7A45C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69B62A"/>
        </w:tc>
        <w:tc>
          <w:tcPr>
            <w:tcW w:w="2769" w:type="dxa"/>
          </w:tcPr>
          <w:p w14:paraId="586A8F94">
            <w:pPr>
              <w:pStyle w:val="4"/>
              <w:jc w:val="center"/>
            </w:pPr>
            <w:r>
              <w:t>1</w:t>
            </w:r>
          </w:p>
        </w:tc>
        <w:tc>
          <w:tcPr>
            <w:tcW w:w="2769" w:type="dxa"/>
          </w:tcPr>
          <w:p w14:paraId="6A3E9D84">
            <w:pPr>
              <w:pStyle w:val="4"/>
            </w:pPr>
            <w:r>
              <w:t>信息共享服务平台功能概述</w:t>
            </w:r>
          </w:p>
          <w:p w14:paraId="52EF790E">
            <w:pPr>
              <w:pStyle w:val="4"/>
            </w:pPr>
            <w:r>
              <w:t>提供智能检索、语音图像识别、电子投票等服务。</w:t>
            </w:r>
          </w:p>
        </w:tc>
      </w:tr>
      <w:tr w14:paraId="3E401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E8166C"/>
        </w:tc>
        <w:tc>
          <w:tcPr>
            <w:tcW w:w="2769" w:type="dxa"/>
          </w:tcPr>
          <w:p w14:paraId="71144E5B">
            <w:pPr>
              <w:pStyle w:val="4"/>
              <w:jc w:val="center"/>
            </w:pPr>
            <w:r>
              <w:t>2</w:t>
            </w:r>
          </w:p>
        </w:tc>
        <w:tc>
          <w:tcPr>
            <w:tcW w:w="2769" w:type="dxa"/>
          </w:tcPr>
          <w:p w14:paraId="65B9E021">
            <w:pPr>
              <w:pStyle w:val="4"/>
            </w:pPr>
            <w:r>
              <w:t>电子投票</w:t>
            </w:r>
            <w:r>
              <w:br w:type="textWrapping"/>
            </w:r>
          </w:p>
          <w:p w14:paraId="136FF338">
            <w:pPr>
              <w:pStyle w:val="4"/>
            </w:pPr>
            <w:r>
              <w:t>（1）投票活动创建与管理</w:t>
            </w:r>
            <w:r>
              <w:br w:type="textWrapping"/>
            </w:r>
          </w:p>
          <w:p w14:paraId="54765022">
            <w:pPr>
              <w:pStyle w:val="4"/>
            </w:pPr>
            <w:r>
              <w:t>提供创建和管理投票活动的功能，包括投票主题、描述、参与人员、时间限制等信息的设置，支持用户自定义投票活动的各种参数，以满足不同场景下的需求。</w:t>
            </w:r>
            <w:r>
              <w:br w:type="textWrapping"/>
            </w:r>
          </w:p>
          <w:p w14:paraId="0A842071">
            <w:pPr>
              <w:pStyle w:val="4"/>
            </w:pPr>
            <w:r>
              <w:t>（2）投票选项设置与编辑</w:t>
            </w:r>
            <w:r>
              <w:br w:type="textWrapping"/>
            </w:r>
          </w:p>
          <w:p w14:paraId="7114BF15">
            <w:pPr>
              <w:pStyle w:val="4"/>
            </w:pPr>
            <w:r>
              <w:t>支持用户自定义设置和编辑投票选项，支持单选、多选、自定义输入、评分等多种类型。投票选项支持超链接（可以是文档、图片、网页等）和简要说明功能。</w:t>
            </w:r>
            <w:r>
              <w:br w:type="textWrapping"/>
            </w:r>
          </w:p>
          <w:p w14:paraId="19431E8C">
            <w:pPr>
              <w:pStyle w:val="4"/>
            </w:pPr>
            <w:r>
              <w:t>（3）投票参与与投票结果展示</w:t>
            </w:r>
            <w:r>
              <w:br w:type="textWrapping"/>
            </w:r>
          </w:p>
          <w:p w14:paraId="138BB715">
            <w:pPr>
              <w:pStyle w:val="4"/>
            </w:pPr>
            <w:r>
              <w:t>支持参与者根据选项类型进行选择，并提交投票结果。支持投票结果实时展示给投票发起者和参与者。</w:t>
            </w:r>
            <w:r>
              <w:br w:type="textWrapping"/>
            </w:r>
          </w:p>
          <w:p w14:paraId="33B219BA">
            <w:pPr>
              <w:pStyle w:val="4"/>
            </w:pPr>
            <w:r>
              <w:t>（4）投票权限与访问控制</w:t>
            </w:r>
            <w:r>
              <w:br w:type="textWrapping"/>
            </w:r>
          </w:p>
          <w:p w14:paraId="5AAE85C1">
            <w:pPr>
              <w:pStyle w:val="4"/>
            </w:pPr>
            <w:r>
              <w:t>支持投票权限和访问控制功能，用户可以设置投票的权限，包括公开投票、仅限特定人员投票、需要登录才能投票等。</w:t>
            </w:r>
            <w:r>
              <w:br w:type="textWrapping"/>
            </w:r>
          </w:p>
          <w:p w14:paraId="4F8E19E1">
            <w:pPr>
              <w:pStyle w:val="4"/>
            </w:pPr>
            <w:r>
              <w:t>（5）多种投票方式与形式</w:t>
            </w:r>
            <w:r>
              <w:br w:type="textWrapping"/>
            </w:r>
          </w:p>
          <w:p w14:paraId="5870FEDA">
            <w:pPr>
              <w:pStyle w:val="4"/>
            </w:pPr>
            <w:r>
              <w:t>支持多种投票方式和形式，包括线上投票、实时投票、定时投票等。</w:t>
            </w:r>
            <w:r>
              <w:br w:type="textWrapping"/>
            </w:r>
          </w:p>
          <w:p w14:paraId="61506977">
            <w:pPr>
              <w:pStyle w:val="4"/>
            </w:pPr>
            <w:r>
              <w:t>（6）投票时间设定与截止</w:t>
            </w:r>
            <w:r>
              <w:br w:type="textWrapping"/>
            </w:r>
          </w:p>
          <w:p w14:paraId="1BD3E2EA">
            <w:pPr>
              <w:pStyle w:val="4"/>
            </w:pPr>
            <w:r>
              <w:t>支持设定投票的开始时间和截止时间，以控制投票活动的持续时间。</w:t>
            </w:r>
            <w:r>
              <w:br w:type="textWrapping"/>
            </w:r>
          </w:p>
          <w:p w14:paraId="23217122">
            <w:pPr>
              <w:pStyle w:val="4"/>
            </w:pPr>
            <w:r>
              <w:t>（7）匿名投票与实名投票</w:t>
            </w:r>
            <w:r>
              <w:br w:type="textWrapping"/>
            </w:r>
          </w:p>
          <w:p w14:paraId="31925598">
            <w:pPr>
              <w:pStyle w:val="4"/>
            </w:pPr>
            <w:r>
              <w:t>支持匿名投票和实名投票的设置，用户可根据具体需求选择是否要求投票参与者实名。</w:t>
            </w:r>
            <w:r>
              <w:br w:type="textWrapping"/>
            </w:r>
          </w:p>
          <w:p w14:paraId="76A1828F">
            <w:pPr>
              <w:pStyle w:val="4"/>
            </w:pPr>
            <w:r>
              <w:t>（8）投票统计与报告生成</w:t>
            </w:r>
            <w:r>
              <w:br w:type="textWrapping"/>
            </w:r>
          </w:p>
          <w:p w14:paraId="61E3AE02">
            <w:pPr>
              <w:pStyle w:val="4"/>
            </w:pPr>
            <w:r>
              <w:t>支持自动生成投票结果的统计报告，包括投票选项的得票数、比例、趋势分析等信息。</w:t>
            </w:r>
            <w:r>
              <w:br w:type="textWrapping"/>
            </w:r>
          </w:p>
          <w:p w14:paraId="4605EC55">
            <w:pPr>
              <w:pStyle w:val="4"/>
            </w:pPr>
            <w:r>
              <w:t>（9）投票提醒与通知机制</w:t>
            </w:r>
            <w:r>
              <w:br w:type="textWrapping"/>
            </w:r>
          </w:p>
          <w:p w14:paraId="7E098C54">
            <w:pPr>
              <w:pStyle w:val="4"/>
            </w:pPr>
            <w:r>
              <w:t>支持通过校内即时通信软件或应用内通知等方式，及时向投票参与者发送投票活动的提醒和通知。</w:t>
            </w:r>
            <w:r>
              <w:br w:type="textWrapping"/>
            </w:r>
          </w:p>
          <w:p w14:paraId="052A14B3">
            <w:pPr>
              <w:pStyle w:val="4"/>
            </w:pPr>
            <w:r>
              <w:t>（10）投票数据分析与趋势监测</w:t>
            </w:r>
            <w:r>
              <w:br w:type="textWrapping"/>
            </w:r>
          </w:p>
          <w:p w14:paraId="16A17199">
            <w:pPr>
              <w:pStyle w:val="4"/>
            </w:pPr>
            <w:r>
              <w:t>除生成统计报告外，还提供投票数据分析和趋势监测功能，支持通过对投票数据的分析，了解参与者的偏好、趋势和变化。</w:t>
            </w:r>
            <w:r>
              <w:br w:type="textWrapping"/>
            </w:r>
          </w:p>
          <w:p w14:paraId="542914C8">
            <w:pPr>
              <w:pStyle w:val="4"/>
            </w:pPr>
            <w:r>
              <w:t>（11）投票结果导出与分享</w:t>
            </w:r>
            <w:r>
              <w:br w:type="textWrapping"/>
            </w:r>
          </w:p>
          <w:p w14:paraId="3B760CE1">
            <w:pPr>
              <w:pStyle w:val="4"/>
            </w:pPr>
            <w:r>
              <w:t>支持将投票结果导出为Excel、wps工作表、CSV或PDF等格式。支持投票用户IP地址显示。</w:t>
            </w:r>
          </w:p>
        </w:tc>
      </w:tr>
      <w:tr w14:paraId="09C6E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58FA35"/>
        </w:tc>
        <w:tc>
          <w:tcPr>
            <w:tcW w:w="2769" w:type="dxa"/>
          </w:tcPr>
          <w:p w14:paraId="6E606123">
            <w:pPr>
              <w:pStyle w:val="4"/>
              <w:jc w:val="center"/>
            </w:pPr>
            <w:r>
              <w:t>3</w:t>
            </w:r>
          </w:p>
        </w:tc>
        <w:tc>
          <w:tcPr>
            <w:tcW w:w="2769" w:type="dxa"/>
          </w:tcPr>
          <w:p w14:paraId="1FADF3EF">
            <w:pPr>
              <w:pStyle w:val="4"/>
            </w:pPr>
            <w:r>
              <w:t>智能检索</w:t>
            </w:r>
            <w:r>
              <w:br w:type="textWrapping"/>
            </w:r>
          </w:p>
          <w:p w14:paraId="43A14648">
            <w:pPr>
              <w:pStyle w:val="4"/>
            </w:pPr>
            <w:r>
              <w:t>（1）关键词搜索与自动补全</w:t>
            </w:r>
            <w:r>
              <w:br w:type="textWrapping"/>
            </w:r>
          </w:p>
          <w:p w14:paraId="1CE69B15">
            <w:pPr>
              <w:pStyle w:val="4"/>
            </w:pPr>
            <w:r>
              <w:t>支持输入关键词搜索，并提供自动补全功能，快速展示可能的搜索选项。</w:t>
            </w:r>
            <w:r>
              <w:br w:type="textWrapping"/>
            </w:r>
          </w:p>
          <w:p w14:paraId="7678B856">
            <w:pPr>
              <w:pStyle w:val="4"/>
            </w:pPr>
            <w:r>
              <w:t>（2）高级搜索与筛选条件</w:t>
            </w:r>
            <w:r>
              <w:br w:type="textWrapping"/>
            </w:r>
          </w:p>
          <w:p w14:paraId="69FABF11">
            <w:pPr>
              <w:pStyle w:val="4"/>
            </w:pPr>
            <w:r>
              <w:t>提供高级搜索选项和筛选条件，使用户能够更精确地指定搜索范围和条件。</w:t>
            </w:r>
            <w:r>
              <w:br w:type="textWrapping"/>
            </w:r>
          </w:p>
          <w:p w14:paraId="43511EE8">
            <w:pPr>
              <w:pStyle w:val="4"/>
            </w:pPr>
            <w:r>
              <w:t>（3）快速定位与精准匹配</w:t>
            </w:r>
            <w:r>
              <w:br w:type="textWrapping"/>
            </w:r>
          </w:p>
          <w:p w14:paraId="0779BA0B">
            <w:pPr>
              <w:pStyle w:val="4"/>
            </w:pPr>
            <w:r>
              <w:t>提供快速定位与精准匹配功能，使用户能迅速定位所需内容，并实现精准匹配，确保搜索结果的准确性和相关性。</w:t>
            </w:r>
            <w:r>
              <w:br w:type="textWrapping"/>
            </w:r>
          </w:p>
          <w:p w14:paraId="71E63373">
            <w:pPr>
              <w:pStyle w:val="4"/>
            </w:pPr>
            <w:r>
              <w:t>（4）相似文档推荐</w:t>
            </w:r>
            <w:r>
              <w:br w:type="textWrapping"/>
            </w:r>
          </w:p>
          <w:p w14:paraId="1D1D82AA">
            <w:pPr>
              <w:pStyle w:val="4"/>
            </w:pPr>
            <w:r>
              <w:t>支持基于用户的搜索行为和内容相似性，智能推荐相似的文档。</w:t>
            </w:r>
            <w:r>
              <w:br w:type="textWrapping"/>
            </w:r>
          </w:p>
          <w:p w14:paraId="2B9D5D06">
            <w:pPr>
              <w:pStyle w:val="4"/>
            </w:pPr>
            <w:r>
              <w:t>（5）搜索结果排序与排名</w:t>
            </w:r>
            <w:r>
              <w:br w:type="textWrapping"/>
            </w:r>
          </w:p>
          <w:p w14:paraId="58E19135">
            <w:pPr>
              <w:pStyle w:val="4"/>
            </w:pPr>
            <w:r>
              <w:t>搜索结果可根据一定的排序算法进行排序和排名，使用户能够方便地找到最相关和最优价值的信息。</w:t>
            </w:r>
            <w:r>
              <w:br w:type="textWrapping"/>
            </w:r>
          </w:p>
          <w:p w14:paraId="02675F38">
            <w:pPr>
              <w:pStyle w:val="4"/>
            </w:pPr>
            <w:r>
              <w:t>（6）数据分类与标签管理</w:t>
            </w:r>
            <w:r>
              <w:br w:type="textWrapping"/>
            </w:r>
          </w:p>
          <w:p w14:paraId="77CCF796">
            <w:pPr>
              <w:pStyle w:val="4"/>
            </w:pPr>
            <w:r>
              <w:t>支持对搜索结果进行数据分类和标签管理，以便更好地组织和管理搜索结果。</w:t>
            </w:r>
            <w:r>
              <w:br w:type="textWrapping"/>
            </w:r>
          </w:p>
          <w:p w14:paraId="17B691F4">
            <w:pPr>
              <w:pStyle w:val="4"/>
            </w:pPr>
            <w:r>
              <w:t>（7）搜索历史与搜索记录</w:t>
            </w:r>
            <w:r>
              <w:br w:type="textWrapping"/>
            </w:r>
          </w:p>
          <w:p w14:paraId="22CA4A61">
            <w:pPr>
              <w:pStyle w:val="4"/>
            </w:pPr>
            <w:r>
              <w:t>支持记录和保存用户的搜索历史和搜索记录，支持用户查看和管理自己的搜索历史，快速找到之前的搜索结果。</w:t>
            </w:r>
            <w:r>
              <w:br w:type="textWrapping"/>
            </w:r>
          </w:p>
          <w:p w14:paraId="2BA088EA">
            <w:pPr>
              <w:pStyle w:val="4"/>
            </w:pPr>
            <w:r>
              <w:t>（8）实时搜索与动态更新</w:t>
            </w:r>
            <w:r>
              <w:br w:type="textWrapping"/>
            </w:r>
          </w:p>
          <w:p w14:paraId="285039EA">
            <w:pPr>
              <w:pStyle w:val="4"/>
            </w:pPr>
            <w:r>
              <w:t>支持实时搜索和动态更新的能力，确保用户获取到最新的信息内容，并支持文档摘要与内容预览。</w:t>
            </w:r>
            <w:r>
              <w:br w:type="textWrapping"/>
            </w:r>
          </w:p>
          <w:p w14:paraId="78324779">
            <w:pPr>
              <w:pStyle w:val="4"/>
            </w:pPr>
            <w:r>
              <w:t>（9）搜索权限与访问控制</w:t>
            </w:r>
            <w:r>
              <w:br w:type="textWrapping"/>
            </w:r>
          </w:p>
          <w:p w14:paraId="71605C46">
            <w:pPr>
              <w:pStyle w:val="4"/>
            </w:pPr>
            <w:r>
              <w:t>支持根据用户的权限设置，对搜索结果进行访问控制和权限管理。</w:t>
            </w:r>
            <w:r>
              <w:br w:type="textWrapping"/>
            </w:r>
          </w:p>
          <w:p w14:paraId="359E040C">
            <w:pPr>
              <w:pStyle w:val="4"/>
            </w:pPr>
            <w:r>
              <w:t>（10）统计分析与搜索报告</w:t>
            </w:r>
            <w:r>
              <w:br w:type="textWrapping"/>
            </w:r>
          </w:p>
          <w:p w14:paraId="7F2748F3">
            <w:pPr>
              <w:pStyle w:val="4"/>
            </w:pPr>
            <w:r>
              <w:t>提供统计分析和搜索报告，帮助用户了解搜索行为和趋势，优化搜索策略额提升搜索效果。</w:t>
            </w:r>
            <w:r>
              <w:br w:type="textWrapping"/>
            </w:r>
          </w:p>
          <w:p w14:paraId="04F1E387">
            <w:pPr>
              <w:pStyle w:val="4"/>
            </w:pPr>
            <w:r>
              <w:t>（11）智能搜索建议与纠错提示</w:t>
            </w:r>
            <w:r>
              <w:br w:type="textWrapping"/>
            </w:r>
          </w:p>
          <w:p w14:paraId="52CAFAA8">
            <w:pPr>
              <w:pStyle w:val="4"/>
            </w:pPr>
            <w:r>
              <w:t>支持基于用户的搜索行为和系统的智能分析，提供搜索建议和纠错提示，帮助用户优化搜索关键词，提供更准确的搜索结果。</w:t>
            </w:r>
            <w:r>
              <w:br w:type="textWrapping"/>
            </w:r>
          </w:p>
          <w:p w14:paraId="633173C7">
            <w:pPr>
              <w:pStyle w:val="4"/>
            </w:pPr>
            <w:r>
              <w:t>（12）搜索性能优化与缓存管理</w:t>
            </w:r>
            <w:r>
              <w:br w:type="textWrapping"/>
            </w:r>
          </w:p>
          <w:p w14:paraId="62B87A66">
            <w:pPr>
              <w:pStyle w:val="4"/>
            </w:pPr>
            <w:r>
              <w:t>搜索服务可通过优化搜索性能和管理缓存，提供搜索速度和响应时间，提供更好的用户体验。</w:t>
            </w:r>
            <w:r>
              <w:br w:type="textWrapping"/>
            </w:r>
          </w:p>
          <w:p w14:paraId="45C7ED75">
            <w:pPr>
              <w:pStyle w:val="4"/>
            </w:pPr>
            <w:r>
              <w:t>（13）搜索引擎集成与扩展性</w:t>
            </w:r>
            <w:r>
              <w:br w:type="textWrapping"/>
            </w:r>
          </w:p>
          <w:p w14:paraId="26DEFD22">
            <w:pPr>
              <w:pStyle w:val="4"/>
            </w:pPr>
            <w:r>
              <w:t>支持搜索服务与其他搜索引擎进行集成，扩展搜索范围和提供更全面的搜索结果。</w:t>
            </w:r>
          </w:p>
        </w:tc>
      </w:tr>
      <w:tr w14:paraId="2BFC1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D1A1A3"/>
        </w:tc>
        <w:tc>
          <w:tcPr>
            <w:tcW w:w="2769" w:type="dxa"/>
          </w:tcPr>
          <w:p w14:paraId="5EE1FAA7">
            <w:pPr>
              <w:pStyle w:val="4"/>
              <w:jc w:val="center"/>
            </w:pPr>
            <w:r>
              <w:t>4</w:t>
            </w:r>
          </w:p>
        </w:tc>
        <w:tc>
          <w:tcPr>
            <w:tcW w:w="2769" w:type="dxa"/>
          </w:tcPr>
          <w:p w14:paraId="790E596F">
            <w:pPr>
              <w:pStyle w:val="4"/>
            </w:pPr>
            <w:r>
              <w:t>语音图像识别</w:t>
            </w:r>
          </w:p>
          <w:p w14:paraId="065CDCD3">
            <w:pPr>
              <w:pStyle w:val="4"/>
            </w:pPr>
            <w:r>
              <w:t>（1）语音识别服务</w:t>
            </w:r>
          </w:p>
          <w:p w14:paraId="2D87F20F">
            <w:pPr>
              <w:pStyle w:val="4"/>
            </w:pPr>
            <w:r>
              <w:t>①语音识别与转写</w:t>
            </w:r>
          </w:p>
          <w:p w14:paraId="54204A27">
            <w:pPr>
              <w:pStyle w:val="4"/>
            </w:pPr>
            <w:r>
              <w:t>支持将输入的语音信息转化为文本形式。</w:t>
            </w:r>
          </w:p>
          <w:p w14:paraId="17B97C8A">
            <w:pPr>
              <w:pStyle w:val="4"/>
            </w:pPr>
            <w:r>
              <w:t>②语音合成与生成</w:t>
            </w:r>
          </w:p>
          <w:p w14:paraId="738482B2">
            <w:pPr>
              <w:pStyle w:val="4"/>
            </w:pPr>
            <w:r>
              <w:t>支持将文字转化为语音，可生成自然流畅的语音音频。</w:t>
            </w:r>
          </w:p>
          <w:p w14:paraId="535834D0">
            <w:pPr>
              <w:pStyle w:val="4"/>
            </w:pPr>
            <w:r>
              <w:t>③声音特征提取与分析</w:t>
            </w:r>
          </w:p>
          <w:p w14:paraId="3BF25A1D">
            <w:pPr>
              <w:pStyle w:val="4"/>
            </w:pPr>
            <w:r>
              <w:t>支持从输入的音频信号中提取出声音的特征信息，如音调、频率、强度等，以便进一步进行声音的分析和处理。</w:t>
            </w:r>
          </w:p>
          <w:p w14:paraId="1D7F4AC6">
            <w:pPr>
              <w:pStyle w:val="4"/>
            </w:pPr>
            <w:r>
              <w:t>④语音指令与控制</w:t>
            </w:r>
          </w:p>
          <w:p w14:paraId="3DDC85F1">
            <w:pPr>
              <w:pStyle w:val="4"/>
            </w:pPr>
            <w:r>
              <w:t>支持根据用户的语音指令，在指定智能场所执行相应的操作或控制设备，实现语音交互的功能。</w:t>
            </w:r>
          </w:p>
          <w:p w14:paraId="35D19D6F">
            <w:pPr>
              <w:pStyle w:val="4"/>
            </w:pPr>
            <w:r>
              <w:t>⑤语音内容分类与标记</w:t>
            </w:r>
          </w:p>
          <w:p w14:paraId="37885D3D">
            <w:pPr>
              <w:pStyle w:val="4"/>
            </w:pPr>
            <w:r>
              <w:t>支持根据语音的内容和特征，对语音进行分类和标记，使得语音信息可以被有效地管理和利用。</w:t>
            </w:r>
          </w:p>
          <w:p w14:paraId="04636F41">
            <w:pPr>
              <w:pStyle w:val="4"/>
            </w:pPr>
            <w:r>
              <w:t>⑥实时语音识别与转换</w:t>
            </w:r>
          </w:p>
          <w:p w14:paraId="2B9364E0">
            <w:pPr>
              <w:pStyle w:val="4"/>
            </w:pPr>
            <w:r>
              <w:t>支持在语音输入的同时进行实时的语音识别和转换，提供实时的语音识别结果。</w:t>
            </w:r>
          </w:p>
          <w:p w14:paraId="29FCE162">
            <w:pPr>
              <w:pStyle w:val="4"/>
            </w:pPr>
            <w:r>
              <w:t>⑦声音信号处理与降噪</w:t>
            </w:r>
          </w:p>
          <w:p w14:paraId="055AE526">
            <w:pPr>
              <w:pStyle w:val="4"/>
            </w:pPr>
            <w:r>
              <w:t>支持对输入的声音信号进行处理和优化，去除背景噪音、增强语音信号的清晰度和质量，提高语音识别和语音合成的准确性。</w:t>
            </w:r>
          </w:p>
          <w:p w14:paraId="4762FA92">
            <w:pPr>
              <w:pStyle w:val="4"/>
            </w:pPr>
            <w:r>
              <w:t>⑧语音翻译与多语言支持</w:t>
            </w:r>
          </w:p>
          <w:p w14:paraId="5DB670D1">
            <w:pPr>
              <w:pStyle w:val="4"/>
            </w:pPr>
            <w:r>
              <w:t>支持将输入的语音信息进行翻译，实现不同语言之间的语音交流和沟通，提供多语言的语音服务，包含不限于中文、英文、法语、西班牙语。</w:t>
            </w:r>
          </w:p>
          <w:p w14:paraId="4265340F">
            <w:pPr>
              <w:pStyle w:val="4"/>
            </w:pPr>
            <w:r>
              <w:t>⑨语音唤醒与指令识别</w:t>
            </w:r>
          </w:p>
          <w:p w14:paraId="188B1EEB">
            <w:pPr>
              <w:pStyle w:val="4"/>
            </w:pPr>
            <w:r>
              <w:t>支持特定场所根据特定的语音指令唤醒系统，并识别和理解用户的指令，实现语音交互和语音控制。</w:t>
            </w:r>
          </w:p>
          <w:p w14:paraId="23D36407">
            <w:pPr>
              <w:pStyle w:val="4"/>
            </w:pPr>
            <w:r>
              <w:t>⑩语音转写结果编辑与校对</w:t>
            </w:r>
          </w:p>
          <w:p w14:paraId="7468C79B">
            <w:pPr>
              <w:pStyle w:val="4"/>
            </w:pPr>
            <w:r>
              <w:t>支持对语音转写的结果进行编辑和校对，提高语音转写的准确性和质量。</w:t>
            </w:r>
          </w:p>
          <w:p w14:paraId="16BD2BD1">
            <w:pPr>
              <w:pStyle w:val="4"/>
            </w:pPr>
            <w:r>
              <w:t>⑪语音识别结果分析与统计</w:t>
            </w:r>
          </w:p>
          <w:p w14:paraId="624E342E">
            <w:pPr>
              <w:pStyle w:val="4"/>
            </w:pPr>
            <w:r>
              <w:t>支持对语音识别的结果进行分析和统计，提供语音识别的性能评估和改进方向功能。</w:t>
            </w:r>
          </w:p>
          <w:p w14:paraId="6CE806D6">
            <w:pPr>
              <w:pStyle w:val="4"/>
            </w:pPr>
            <w:r>
              <w:t>（2）图像识别服务</w:t>
            </w:r>
          </w:p>
          <w:p w14:paraId="3D7693E8">
            <w:pPr>
              <w:pStyle w:val="4"/>
            </w:pPr>
            <w:r>
              <w:t>①人脸检测与五官定位</w:t>
            </w:r>
          </w:p>
          <w:p w14:paraId="05710FD5">
            <w:pPr>
              <w:pStyle w:val="4"/>
            </w:pPr>
            <w:r>
              <w:t>支持识别图像中是否有人脸，进行人脸检测后返回检测到的人脸矩形框坐标。</w:t>
            </w:r>
          </w:p>
          <w:p w14:paraId="2CDB6EBA">
            <w:pPr>
              <w:pStyle w:val="4"/>
            </w:pPr>
            <w:r>
              <w:t>②人脸属性识别</w:t>
            </w:r>
          </w:p>
          <w:p w14:paraId="7E92A797">
            <w:pPr>
              <w:pStyle w:val="4"/>
            </w:pPr>
            <w:r>
              <w:t>支持在人脸检测基础上，识别各个检测人脸的性别（男或女）、年龄、表情（笑或不笑）、眼镜（戴或不戴）四种属性。</w:t>
            </w:r>
          </w:p>
          <w:p w14:paraId="1A286294">
            <w:pPr>
              <w:pStyle w:val="4"/>
            </w:pPr>
            <w:r>
              <w:t>③表情识别</w:t>
            </w:r>
          </w:p>
          <w:p w14:paraId="0CF1BC17">
            <w:pPr>
              <w:pStyle w:val="4"/>
            </w:pPr>
            <w:r>
              <w:t>支持检测和识别输入图片中人脸的表情。表情种类为：中性，高兴，惊讶，伤心，生气，厌恶，害怕。</w:t>
            </w:r>
          </w:p>
          <w:p w14:paraId="77E2E60D">
            <w:pPr>
              <w:pStyle w:val="4"/>
            </w:pPr>
            <w:r>
              <w:t>④人脸比对1:1</w:t>
            </w:r>
          </w:p>
          <w:p w14:paraId="6B625EF6">
            <w:pPr>
              <w:pStyle w:val="4"/>
            </w:pPr>
            <w:r>
              <w:t>支持基于输入的两张图片，可检测两张图片中的人脸，并对两张图片中的最大人脸进行比较，判断是否是同一人。</w:t>
            </w:r>
          </w:p>
          <w:p w14:paraId="0034A939">
            <w:pPr>
              <w:pStyle w:val="4"/>
            </w:pPr>
            <w:r>
              <w:t>⑤口罩人脸比对1:1</w:t>
            </w:r>
          </w:p>
          <w:p w14:paraId="6F500F31">
            <w:pPr>
              <w:pStyle w:val="4"/>
            </w:pPr>
            <w:r>
              <w:t>支持基于输入的两张图片，分别挑选两张图片中的最大人脸进行比较，判断是否为同一人。融合戴口罩生成、抗遮挡关键点定位、抗遮挡特征注意力三大技术优化，实现戴口罩时的极速人脸识别。</w:t>
            </w:r>
          </w:p>
          <w:p w14:paraId="4F85D373">
            <w:pPr>
              <w:pStyle w:val="4"/>
            </w:pPr>
            <w:r>
              <w:t>⑥人脸数据库</w:t>
            </w:r>
          </w:p>
          <w:p w14:paraId="7DD50B7C">
            <w:pPr>
              <w:pStyle w:val="4"/>
            </w:pPr>
            <w:r>
              <w:t>支持创建人脸数据库、查看人脸数据库列表、向人脸数据库中添加人脸样本数据、查询人脸数据库中的人脸样本数据、查询人脸数据库中的人脸样本列表、更新人脸数据库中的人脸样本数据、根据输入图片在数据库中搜索相似的人脸图片数据等功能。</w:t>
            </w:r>
          </w:p>
          <w:p w14:paraId="3405933A">
            <w:pPr>
              <w:pStyle w:val="4"/>
            </w:pPr>
            <w:r>
              <w:t>⑦通用文字识别</w:t>
            </w:r>
          </w:p>
          <w:p w14:paraId="61D00577">
            <w:pPr>
              <w:pStyle w:val="4"/>
            </w:pPr>
            <w:r>
              <w:t>通用文字识别适用于各行业场景下的非结构化文字识别，支持返回文字内容和位置坐标信息。</w:t>
            </w:r>
          </w:p>
          <w:p w14:paraId="5F532081">
            <w:pPr>
              <w:pStyle w:val="4"/>
            </w:pPr>
            <w:r>
              <w:t>⑧表格识别</w:t>
            </w:r>
          </w:p>
          <w:p w14:paraId="36EDA1AA">
            <w:pPr>
              <w:pStyle w:val="4"/>
            </w:pPr>
            <w:r>
              <w:t>表格识别可支持对有线表格、条纹表格、无线表格进行有效识别。</w:t>
            </w:r>
          </w:p>
          <w:p w14:paraId="68214976">
            <w:pPr>
              <w:pStyle w:val="4"/>
            </w:pPr>
            <w:r>
              <w:t>⑨图片文字识别</w:t>
            </w:r>
          </w:p>
          <w:p w14:paraId="398E1465">
            <w:pPr>
              <w:pStyle w:val="4"/>
            </w:pPr>
            <w:r>
              <w:t>具备图片字符快速精准识别的原子能力。</w:t>
            </w:r>
          </w:p>
        </w:tc>
      </w:tr>
    </w:tbl>
    <w:p w14:paraId="657BAB71">
      <w:pPr>
        <w:pStyle w:val="4"/>
      </w:pPr>
      <w:r>
        <w:t>1-4 标的名称：智慧服务支撑平台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02E9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CE7BD1">
            <w:pPr>
              <w:pStyle w:val="4"/>
              <w:jc w:val="center"/>
            </w:pPr>
            <w:r>
              <w:t xml:space="preserve"> 参数性质</w:t>
            </w:r>
          </w:p>
        </w:tc>
        <w:tc>
          <w:tcPr>
            <w:tcW w:w="2769" w:type="dxa"/>
          </w:tcPr>
          <w:p w14:paraId="3E548E99">
            <w:pPr>
              <w:pStyle w:val="4"/>
              <w:jc w:val="center"/>
            </w:pPr>
            <w:r>
              <w:t xml:space="preserve"> 序号</w:t>
            </w:r>
          </w:p>
        </w:tc>
        <w:tc>
          <w:tcPr>
            <w:tcW w:w="2769" w:type="dxa"/>
          </w:tcPr>
          <w:p w14:paraId="29ECDB24">
            <w:pPr>
              <w:pStyle w:val="4"/>
              <w:jc w:val="center"/>
            </w:pPr>
            <w:r>
              <w:t xml:space="preserve"> 技术参数与性能指标</w:t>
            </w:r>
          </w:p>
        </w:tc>
      </w:tr>
      <w:tr w14:paraId="10D54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F282D0"/>
        </w:tc>
        <w:tc>
          <w:tcPr>
            <w:tcW w:w="2769" w:type="dxa"/>
          </w:tcPr>
          <w:p w14:paraId="25E9AE53">
            <w:pPr>
              <w:pStyle w:val="4"/>
              <w:jc w:val="center"/>
            </w:pPr>
            <w:r>
              <w:t>1</w:t>
            </w:r>
          </w:p>
        </w:tc>
        <w:tc>
          <w:tcPr>
            <w:tcW w:w="2769" w:type="dxa"/>
          </w:tcPr>
          <w:p w14:paraId="62E55C1F">
            <w:pPr>
              <w:pStyle w:val="4"/>
            </w:pPr>
            <w:r>
              <w:t>智慧服务支撑平台功能概述</w:t>
            </w:r>
          </w:p>
          <w:p w14:paraId="12D0FD82">
            <w:pPr>
              <w:pStyle w:val="4"/>
            </w:pPr>
            <w:r>
              <w:t>新建可视化服务、智能报表服务、GIS应用服务、应用接入服务、物联管控平台、电子签章服务、校园轻应用、跨网个人文件同步系统、配套支撑软件等9个模块。各类智慧服务涉及互联网数据引入的，需要经过长城网审核。</w:t>
            </w:r>
          </w:p>
        </w:tc>
      </w:tr>
      <w:tr w14:paraId="113A9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A52ED2"/>
        </w:tc>
        <w:tc>
          <w:tcPr>
            <w:tcW w:w="2769" w:type="dxa"/>
          </w:tcPr>
          <w:p w14:paraId="5EF5AF6A">
            <w:pPr>
              <w:pStyle w:val="4"/>
              <w:jc w:val="center"/>
            </w:pPr>
            <w:r>
              <w:t>2</w:t>
            </w:r>
          </w:p>
        </w:tc>
        <w:tc>
          <w:tcPr>
            <w:tcW w:w="2769" w:type="dxa"/>
          </w:tcPr>
          <w:p w14:paraId="611C902B">
            <w:pPr>
              <w:pStyle w:val="4"/>
            </w:pPr>
            <w:r>
              <w:t>可视化服务</w:t>
            </w:r>
            <w:r>
              <w:br w:type="textWrapping"/>
            </w:r>
          </w:p>
          <w:p w14:paraId="7C395AEA">
            <w:pPr>
              <w:pStyle w:val="4"/>
            </w:pPr>
            <w:r>
              <w:t>（1）可视化布局与配置</w:t>
            </w:r>
            <w:r>
              <w:br w:type="textWrapping"/>
            </w:r>
          </w:p>
          <w:p w14:paraId="5B309E67">
            <w:pPr>
              <w:pStyle w:val="4"/>
            </w:pPr>
            <w:r>
              <w:t>支持支持拖拽式的自由编排设计；建设大屏模板选择、组件添加与编辑、组件位置与大小调整等功能模块。</w:t>
            </w:r>
            <w:r>
              <w:br w:type="textWrapping"/>
            </w:r>
          </w:p>
          <w:p w14:paraId="386BFC9B">
            <w:pPr>
              <w:pStyle w:val="4"/>
            </w:pPr>
            <w:r>
              <w:t>①大屏模板选择</w:t>
            </w:r>
            <w:r>
              <w:br w:type="textWrapping"/>
            </w:r>
          </w:p>
          <w:p w14:paraId="44BBF5D4">
            <w:pPr>
              <w:pStyle w:val="4"/>
            </w:pPr>
            <w:r>
              <w:t>提供多种预定义的大屏模板供用户选择，根据不同的需求和场景进行灵活配置，包括布局、样式、主题等；</w:t>
            </w:r>
            <w:r>
              <w:br w:type="textWrapping"/>
            </w:r>
          </w:p>
          <w:p w14:paraId="76798D17">
            <w:pPr>
              <w:pStyle w:val="4"/>
            </w:pPr>
            <w:r>
              <w:t>②组件添加与编辑</w:t>
            </w:r>
            <w:r>
              <w:br w:type="textWrapping"/>
            </w:r>
          </w:p>
          <w:p w14:paraId="68AFAF98">
            <w:pPr>
              <w:pStyle w:val="4"/>
            </w:pPr>
            <w:r>
              <w:t>支持用户自定义添加各类组件，包括图表、指标、文本、视频、素材、地图等组件；</w:t>
            </w:r>
            <w:r>
              <w:br w:type="textWrapping"/>
            </w:r>
          </w:p>
          <w:p w14:paraId="750A2345">
            <w:pPr>
              <w:pStyle w:val="4"/>
            </w:pPr>
            <w:r>
              <w:t>支持对组件的编辑操作，包括组件的添加、成组、复制、删除等操作。</w:t>
            </w:r>
            <w:r>
              <w:br w:type="textWrapping"/>
            </w:r>
          </w:p>
          <w:p w14:paraId="56E4B890">
            <w:pPr>
              <w:pStyle w:val="4"/>
            </w:pPr>
            <w:r>
              <w:t>③组件位置与大小调整</w:t>
            </w:r>
            <w:r>
              <w:br w:type="textWrapping"/>
            </w:r>
          </w:p>
          <w:p w14:paraId="31355C32">
            <w:pPr>
              <w:pStyle w:val="4"/>
            </w:pPr>
            <w:r>
              <w:t>支持灵活调整组件的位置和大小，以满足个性化的展示需求以及优化大屏布局和展示效果。</w:t>
            </w:r>
            <w:r>
              <w:br w:type="textWrapping"/>
            </w:r>
          </w:p>
          <w:p w14:paraId="1E8E768A">
            <w:pPr>
              <w:pStyle w:val="4"/>
            </w:pPr>
            <w:r>
              <w:t>支持组件布局操作，包括组件拖拽、组件缩放、组件对齐等，方便快捷地对组件进行布局。</w:t>
            </w:r>
            <w:r>
              <w:br w:type="textWrapping"/>
            </w:r>
          </w:p>
          <w:p w14:paraId="1175EE01">
            <w:pPr>
              <w:pStyle w:val="4"/>
            </w:pPr>
            <w:r>
              <w:t>（2）实时数据监控与展示</w:t>
            </w:r>
            <w:r>
              <w:br w:type="textWrapping"/>
            </w:r>
          </w:p>
          <w:p w14:paraId="257BBFA5">
            <w:pPr>
              <w:pStyle w:val="4"/>
            </w:pPr>
            <w:r>
              <w:t>建设数据源接入与整合、实时数据展示、数据刷新与自动更新等功能模块。</w:t>
            </w:r>
            <w:r>
              <w:br w:type="textWrapping"/>
            </w:r>
          </w:p>
          <w:p w14:paraId="1145CFB1">
            <w:pPr>
              <w:pStyle w:val="4"/>
            </w:pPr>
            <w:r>
              <w:t>①数据源接入与整合</w:t>
            </w:r>
            <w:r>
              <w:br w:type="textWrapping"/>
            </w:r>
          </w:p>
          <w:p w14:paraId="127C0F8A">
            <w:pPr>
              <w:pStyle w:val="4"/>
            </w:pPr>
            <w:r>
              <w:t>支持从学校各个子系统、传感器设备等多个数据源获取数据，至少包括mysql、oracle、DM、sqlserver、kafka等多种数据源，实现数据整合和实时更新。</w:t>
            </w:r>
            <w:r>
              <w:br w:type="textWrapping"/>
            </w:r>
          </w:p>
          <w:p w14:paraId="3FB5976B">
            <w:pPr>
              <w:pStyle w:val="4"/>
            </w:pPr>
            <w:r>
              <w:t>②实时数据展示</w:t>
            </w:r>
            <w:r>
              <w:br w:type="textWrapping"/>
            </w:r>
          </w:p>
          <w:p w14:paraId="1F1FCE79">
            <w:pPr>
              <w:pStyle w:val="4"/>
            </w:pPr>
            <w:r>
              <w:t>将各类数据以动态、实时的方式在大屏上展示，至少包括实时人流量、温度、能耗等。</w:t>
            </w:r>
            <w:r>
              <w:br w:type="textWrapping"/>
            </w:r>
          </w:p>
          <w:p w14:paraId="105413C1">
            <w:pPr>
              <w:pStyle w:val="4"/>
            </w:pPr>
            <w:r>
              <w:t>③数据刷新与自动更新</w:t>
            </w:r>
            <w:r>
              <w:br w:type="textWrapping"/>
            </w:r>
          </w:p>
          <w:p w14:paraId="1C9175C5">
            <w:pPr>
              <w:pStyle w:val="4"/>
            </w:pPr>
            <w:r>
              <w:t>提供数据刷新和自动更新机制，确保大屏上的数据与源数据保持同步，及时反映最新的消息。</w:t>
            </w:r>
            <w:r>
              <w:br w:type="textWrapping"/>
            </w:r>
          </w:p>
          <w:p w14:paraId="70CE7302">
            <w:pPr>
              <w:pStyle w:val="4"/>
            </w:pPr>
            <w:r>
              <w:t>（3）多维度数据分析</w:t>
            </w:r>
            <w:r>
              <w:br w:type="textWrapping"/>
            </w:r>
          </w:p>
          <w:p w14:paraId="679C48AB">
            <w:pPr>
              <w:pStyle w:val="4"/>
            </w:pPr>
            <w:r>
              <w:t>建设多维度数据展示、图表与图形展示等功能模块。</w:t>
            </w:r>
            <w:r>
              <w:br w:type="textWrapping"/>
            </w:r>
          </w:p>
          <w:p w14:paraId="3C211B6E">
            <w:pPr>
              <w:pStyle w:val="4"/>
            </w:pPr>
            <w:r>
              <w:t>①多维度数据展示</w:t>
            </w:r>
            <w:r>
              <w:br w:type="textWrapping"/>
            </w:r>
          </w:p>
          <w:p w14:paraId="51DD4128">
            <w:pPr>
              <w:pStyle w:val="4"/>
            </w:pPr>
            <w:r>
              <w:t>支持在大屏上展示多维度的数据分析结果，包括按时间、地区、学校等维度进行数据切片和比较分析。</w:t>
            </w:r>
            <w:r>
              <w:br w:type="textWrapping"/>
            </w:r>
          </w:p>
          <w:p w14:paraId="1DD36823">
            <w:pPr>
              <w:pStyle w:val="4"/>
            </w:pPr>
            <w:r>
              <w:t>②图表与图形展示</w:t>
            </w:r>
            <w:r>
              <w:br w:type="textWrapping"/>
            </w:r>
          </w:p>
          <w:p w14:paraId="3E4A8726">
            <w:pPr>
              <w:pStyle w:val="4"/>
            </w:pPr>
            <w:r>
              <w:t>提供丰富的图表和图形类型，如折线图、柱状图、饼图、地图、条形图、环形图、象形图、单值百分比图、基本雷达图、水球图、基本气泡图、弧形柱状图、仪表盘、词云、轮播列表柱状图、散点图、日历图等类型，帮助用户直观地理解和分析数据。</w:t>
            </w:r>
            <w:r>
              <w:br w:type="textWrapping"/>
            </w:r>
          </w:p>
          <w:p w14:paraId="7A5F9320">
            <w:pPr>
              <w:pStyle w:val="4"/>
            </w:pPr>
            <w:r>
              <w:t>（4）实时预警与异常检测</w:t>
            </w:r>
            <w:r>
              <w:br w:type="textWrapping"/>
            </w:r>
          </w:p>
          <w:p w14:paraId="22726187">
            <w:pPr>
              <w:pStyle w:val="4"/>
            </w:pPr>
            <w:r>
              <w:t>建设预警规则设置、预警提示与推送、异常监测与处理等功能模块。</w:t>
            </w:r>
            <w:r>
              <w:br w:type="textWrapping"/>
            </w:r>
          </w:p>
          <w:p w14:paraId="531B09F4">
            <w:pPr>
              <w:pStyle w:val="4"/>
            </w:pPr>
            <w:r>
              <w:t>①预警规则设置</w:t>
            </w:r>
            <w:r>
              <w:br w:type="textWrapping"/>
            </w:r>
          </w:p>
          <w:p w14:paraId="0C09E280">
            <w:pPr>
              <w:pStyle w:val="4"/>
            </w:pPr>
            <w:r>
              <w:t>允许用户定义各类预警规则，如人流量超过阈值、温度异常等，达到或超过阈值进行预警。</w:t>
            </w:r>
            <w:r>
              <w:br w:type="textWrapping"/>
            </w:r>
          </w:p>
          <w:p w14:paraId="02F5C69B">
            <w:pPr>
              <w:pStyle w:val="4"/>
            </w:pPr>
            <w:r>
              <w:t>②预警提示与推送</w:t>
            </w:r>
            <w:r>
              <w:br w:type="textWrapping"/>
            </w:r>
          </w:p>
          <w:p w14:paraId="064A9E3B">
            <w:pPr>
              <w:pStyle w:val="4"/>
            </w:pPr>
            <w:r>
              <w:t>支持在大屏上以弹窗、声音闪烁等方式进行预警提示；支持以邮件、即时通信软件等方式将预警信息推送给相关人员。</w:t>
            </w:r>
            <w:r>
              <w:br w:type="textWrapping"/>
            </w:r>
          </w:p>
          <w:p w14:paraId="62545CA0">
            <w:pPr>
              <w:pStyle w:val="4"/>
            </w:pPr>
            <w:r>
              <w:t>③异常监测与处理</w:t>
            </w:r>
            <w:r>
              <w:br w:type="textWrapping"/>
            </w:r>
          </w:p>
          <w:p w14:paraId="43EB59DB">
            <w:pPr>
              <w:pStyle w:val="4"/>
            </w:pPr>
            <w:r>
              <w:t>支持监测数据的异常情况，提供异常报告和处理流程，帮助用户快速发现和解决问题。</w:t>
            </w:r>
          </w:p>
        </w:tc>
      </w:tr>
      <w:tr w14:paraId="4E809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533185"/>
        </w:tc>
        <w:tc>
          <w:tcPr>
            <w:tcW w:w="2769" w:type="dxa"/>
          </w:tcPr>
          <w:p w14:paraId="0B942932">
            <w:pPr>
              <w:pStyle w:val="4"/>
              <w:jc w:val="center"/>
            </w:pPr>
            <w:r>
              <w:t>3</w:t>
            </w:r>
          </w:p>
        </w:tc>
        <w:tc>
          <w:tcPr>
            <w:tcW w:w="2769" w:type="dxa"/>
          </w:tcPr>
          <w:p w14:paraId="3A659D49">
            <w:pPr>
              <w:pStyle w:val="4"/>
            </w:pPr>
            <w:r>
              <w:t>智能报表服务</w:t>
            </w:r>
            <w:r>
              <w:br w:type="textWrapping"/>
            </w:r>
          </w:p>
          <w:p w14:paraId="19CB53F4">
            <w:pPr>
              <w:pStyle w:val="4"/>
            </w:pPr>
            <w:r>
              <w:t>在授权数据的基础上，可支持个性定制报表格式、报表算法，自动生成表单，实现所需数据抽取和个人数据的自动填报，支持报表导出与打印，解决数据重复填报的老大难问题。</w:t>
            </w:r>
            <w:r>
              <w:br w:type="textWrapping"/>
            </w:r>
          </w:p>
          <w:p w14:paraId="74142A5E">
            <w:pPr>
              <w:pStyle w:val="4"/>
            </w:pPr>
            <w:r>
              <w:t>（1）报表导出</w:t>
            </w:r>
            <w:r>
              <w:br w:type="textWrapping"/>
            </w:r>
          </w:p>
          <w:p w14:paraId="63013AA4">
            <w:pPr>
              <w:pStyle w:val="4"/>
            </w:pPr>
            <w:r>
              <w:t>支持按照内部及上级系统要求模板和字段一键导出要求数据，支持临时增加字段。</w:t>
            </w:r>
            <w:r>
              <w:br w:type="textWrapping"/>
            </w:r>
          </w:p>
          <w:p w14:paraId="0602CC8E">
            <w:pPr>
              <w:pStyle w:val="4"/>
            </w:pPr>
            <w:r>
              <w:t>（2）报表模板设计与管理</w:t>
            </w:r>
            <w:r>
              <w:br w:type="textWrapping"/>
            </w:r>
          </w:p>
          <w:p w14:paraId="42702C0F">
            <w:pPr>
              <w:pStyle w:val="4"/>
            </w:pPr>
            <w:r>
              <w:t>包括报表模板创建、报表模板管理等功能。</w:t>
            </w:r>
            <w:r>
              <w:br w:type="textWrapping"/>
            </w:r>
          </w:p>
          <w:p w14:paraId="472CBB36">
            <w:pPr>
              <w:pStyle w:val="4"/>
            </w:pPr>
            <w:r>
              <w:t>①报表模板创建</w:t>
            </w:r>
            <w:r>
              <w:br w:type="textWrapping"/>
            </w:r>
          </w:p>
          <w:p w14:paraId="3197B720">
            <w:pPr>
              <w:pStyle w:val="4"/>
            </w:pPr>
            <w:r>
              <w:t>支持用户自定义需求创建报表模板，包括报表的结构、样式、数据源等。</w:t>
            </w:r>
            <w:r>
              <w:br w:type="textWrapping"/>
            </w:r>
          </w:p>
          <w:p w14:paraId="0CF55009">
            <w:pPr>
              <w:pStyle w:val="4"/>
            </w:pPr>
            <w:r>
              <w:t>②报表模板管理</w:t>
            </w:r>
            <w:r>
              <w:br w:type="textWrapping"/>
            </w:r>
          </w:p>
          <w:p w14:paraId="1FFB5A6F">
            <w:pPr>
              <w:pStyle w:val="4"/>
            </w:pPr>
            <w:r>
              <w:t>需实现对报表模板的集中管理，包括模板的编辑、复制、删除、导入和导出等操作。</w:t>
            </w:r>
            <w:r>
              <w:br w:type="textWrapping"/>
            </w:r>
          </w:p>
          <w:p w14:paraId="6C306BEF">
            <w:pPr>
              <w:pStyle w:val="4"/>
            </w:pPr>
            <w:r>
              <w:t>（3）数据源接入与整合</w:t>
            </w:r>
            <w:r>
              <w:br w:type="textWrapping"/>
            </w:r>
          </w:p>
          <w:p w14:paraId="06F14994">
            <w:pPr>
              <w:pStyle w:val="4"/>
            </w:pPr>
            <w:r>
              <w:t>包括多数据源接入和数据预处理等功能。</w:t>
            </w:r>
            <w:r>
              <w:br w:type="textWrapping"/>
            </w:r>
          </w:p>
          <w:p w14:paraId="1B02C42E">
            <w:pPr>
              <w:pStyle w:val="4"/>
            </w:pPr>
            <w:r>
              <w:t>①多数据源接入</w:t>
            </w:r>
            <w:r>
              <w:br w:type="textWrapping"/>
            </w:r>
          </w:p>
          <w:p w14:paraId="1C5E6E8D">
            <w:pPr>
              <w:pStyle w:val="4"/>
            </w:pPr>
            <w:r>
              <w:t>支持从不同数据源（如学员信息系统、教职工信息系统、课程管理系统等，支持mysql、oracle、DM、sqlserver、kafka等多种数据类型）中获取数据。</w:t>
            </w:r>
            <w:r>
              <w:br w:type="textWrapping"/>
            </w:r>
          </w:p>
          <w:p w14:paraId="0C802146">
            <w:pPr>
              <w:pStyle w:val="4"/>
            </w:pPr>
            <w:r>
              <w:t>②数据预处理</w:t>
            </w:r>
            <w:r>
              <w:br w:type="textWrapping"/>
            </w:r>
          </w:p>
          <w:p w14:paraId="431B999C">
            <w:pPr>
              <w:pStyle w:val="4"/>
            </w:pPr>
            <w:r>
              <w:t>需对接入的数据进行预处理和清洗，去除重复、缺失或错误的数据，提高报表数据的准确性和完整性。</w:t>
            </w:r>
            <w:r>
              <w:br w:type="textWrapping"/>
            </w:r>
          </w:p>
          <w:p w14:paraId="70B2DDB5">
            <w:pPr>
              <w:pStyle w:val="4"/>
            </w:pPr>
            <w:r>
              <w:t>（4）报表生成与呈现</w:t>
            </w:r>
            <w:r>
              <w:br w:type="textWrapping"/>
            </w:r>
          </w:p>
          <w:p w14:paraId="40099B04">
            <w:pPr>
              <w:pStyle w:val="4"/>
            </w:pPr>
            <w:r>
              <w:t>包括动态报表生成、报表样式设置、数据可视化、多维度分析等功能。</w:t>
            </w:r>
            <w:r>
              <w:br w:type="textWrapping"/>
            </w:r>
          </w:p>
          <w:p w14:paraId="62C051C7">
            <w:pPr>
              <w:pStyle w:val="4"/>
            </w:pPr>
            <w:r>
              <w:t>①动态报表生成</w:t>
            </w:r>
            <w:r>
              <w:br w:type="textWrapping"/>
            </w:r>
          </w:p>
          <w:p w14:paraId="56C0DD23">
            <w:pPr>
              <w:pStyle w:val="4"/>
            </w:pPr>
            <w:r>
              <w:t>需根据用户选择的报表模板和数据源，动态生成报表内容；</w:t>
            </w:r>
            <w:r>
              <w:br w:type="textWrapping"/>
            </w:r>
          </w:p>
          <w:p w14:paraId="526D190E">
            <w:pPr>
              <w:pStyle w:val="4"/>
            </w:pPr>
            <w:r>
              <w:t>支持报表的刷新和实时更新。</w:t>
            </w:r>
            <w:r>
              <w:br w:type="textWrapping"/>
            </w:r>
          </w:p>
          <w:p w14:paraId="32D23011">
            <w:pPr>
              <w:pStyle w:val="4"/>
            </w:pPr>
            <w:r>
              <w:t>②报表样式设置</w:t>
            </w:r>
            <w:r>
              <w:br w:type="textWrapping"/>
            </w:r>
          </w:p>
          <w:p w14:paraId="471E6AB6">
            <w:pPr>
              <w:pStyle w:val="4"/>
            </w:pPr>
            <w:r>
              <w:t>提供丰富的报表样式设置选项，包括颜色、字体、边框等。</w:t>
            </w:r>
            <w:r>
              <w:br w:type="textWrapping"/>
            </w:r>
          </w:p>
          <w:p w14:paraId="1E2E7FBE">
            <w:pPr>
              <w:pStyle w:val="4"/>
            </w:pPr>
            <w:r>
              <w:t>③数据可视化</w:t>
            </w:r>
            <w:r>
              <w:br w:type="textWrapping"/>
            </w:r>
          </w:p>
          <w:p w14:paraId="21C88662">
            <w:pPr>
              <w:pStyle w:val="4"/>
            </w:pPr>
            <w:r>
              <w:t>支持将数据以图表、图形、表格等形式进行可视化展示。</w:t>
            </w:r>
            <w:r>
              <w:br w:type="textWrapping"/>
            </w:r>
          </w:p>
          <w:p w14:paraId="550AA656">
            <w:pPr>
              <w:pStyle w:val="4"/>
            </w:pPr>
            <w:r>
              <w:t>④多维度分析</w:t>
            </w:r>
            <w:r>
              <w:br w:type="textWrapping"/>
            </w:r>
          </w:p>
          <w:p w14:paraId="2526D278">
            <w:pPr>
              <w:pStyle w:val="4"/>
            </w:pPr>
            <w:r>
              <w:t>支持在报表中进行多维的数据分析，如按时间、地区、学校等维度进行数据切片和钻取分析。</w:t>
            </w:r>
            <w:r>
              <w:br w:type="textWrapping"/>
            </w:r>
          </w:p>
          <w:p w14:paraId="60041932">
            <w:pPr>
              <w:pStyle w:val="4"/>
            </w:pPr>
            <w:r>
              <w:t>（5）报表分发与共享</w:t>
            </w:r>
            <w:r>
              <w:br w:type="textWrapping"/>
            </w:r>
          </w:p>
          <w:p w14:paraId="567FB006">
            <w:pPr>
              <w:pStyle w:val="4"/>
            </w:pPr>
            <w:r>
              <w:t>支持报表导出、报表共享与发布、订阅与定时发送等功能</w:t>
            </w:r>
            <w:r>
              <w:br w:type="textWrapping"/>
            </w:r>
          </w:p>
          <w:p w14:paraId="3F124927">
            <w:pPr>
              <w:pStyle w:val="4"/>
            </w:pPr>
            <w:r>
              <w:t>①报表导出</w:t>
            </w:r>
            <w:r>
              <w:br w:type="textWrapping"/>
            </w:r>
          </w:p>
          <w:p w14:paraId="63106DBA">
            <w:pPr>
              <w:pStyle w:val="4"/>
            </w:pPr>
            <w:r>
              <w:t>支持报表导出为PDF、xlsx工作表、CSV以及OFD、WPS等常见的文件格式。</w:t>
            </w:r>
            <w:r>
              <w:br w:type="textWrapping"/>
            </w:r>
          </w:p>
          <w:p w14:paraId="58304C30">
            <w:pPr>
              <w:pStyle w:val="4"/>
            </w:pPr>
            <w:r>
              <w:t>②报表共享与发布</w:t>
            </w:r>
            <w:r>
              <w:br w:type="textWrapping"/>
            </w:r>
          </w:p>
          <w:p w14:paraId="6DAA9E11">
            <w:pPr>
              <w:pStyle w:val="4"/>
            </w:pPr>
            <w:r>
              <w:t>提供报表的共享和发布功能，允许选择将报表分享给特定用户、团队或公开给所有人。</w:t>
            </w:r>
            <w:r>
              <w:br w:type="textWrapping"/>
            </w:r>
          </w:p>
          <w:p w14:paraId="4BF805B6">
            <w:pPr>
              <w:pStyle w:val="4"/>
            </w:pPr>
            <w:r>
              <w:t>③订阅与定时发送</w:t>
            </w:r>
            <w:r>
              <w:br w:type="textWrapping"/>
            </w:r>
          </w:p>
          <w:p w14:paraId="5FAE1DF6">
            <w:pPr>
              <w:pStyle w:val="4"/>
            </w:pPr>
            <w:r>
              <w:t>需允许用户订阅报表并设置发送频率，自动将最新的报表发送给指定的收件人或群组。</w:t>
            </w:r>
            <w:r>
              <w:br w:type="textWrapping"/>
            </w:r>
          </w:p>
          <w:p w14:paraId="045E3803">
            <w:pPr>
              <w:pStyle w:val="4"/>
            </w:pPr>
            <w:r>
              <w:t>支持提供及时的数据更新和定期的报表分发。</w:t>
            </w:r>
            <w:r>
              <w:br w:type="textWrapping"/>
            </w:r>
          </w:p>
          <w:p w14:paraId="3A57E065">
            <w:pPr>
              <w:pStyle w:val="4"/>
            </w:pPr>
            <w:r>
              <w:t>（6）报表权限管理</w:t>
            </w:r>
            <w:r>
              <w:br w:type="textWrapping"/>
            </w:r>
          </w:p>
          <w:p w14:paraId="6E34FF7B">
            <w:pPr>
              <w:pStyle w:val="4"/>
            </w:pPr>
            <w:r>
              <w:t>支持用户权限设置、角色管理等功能。</w:t>
            </w:r>
            <w:r>
              <w:br w:type="textWrapping"/>
            </w:r>
          </w:p>
          <w:p w14:paraId="73498843">
            <w:pPr>
              <w:pStyle w:val="4"/>
            </w:pPr>
            <w:r>
              <w:t>①用户权限设置</w:t>
            </w:r>
            <w:r>
              <w:br w:type="textWrapping"/>
            </w:r>
          </w:p>
          <w:p w14:paraId="75CBD945">
            <w:pPr>
              <w:pStyle w:val="4"/>
            </w:pPr>
            <w:r>
              <w:t>支持对报表的访问权限进行细粒度的设置，包括报表的查看、编辑、共享等权限。</w:t>
            </w:r>
            <w:r>
              <w:br w:type="textWrapping"/>
            </w:r>
          </w:p>
          <w:p w14:paraId="1B8BB571">
            <w:pPr>
              <w:pStyle w:val="4"/>
            </w:pPr>
            <w:r>
              <w:t>②角色管理</w:t>
            </w:r>
            <w:r>
              <w:br w:type="textWrapping"/>
            </w:r>
          </w:p>
          <w:p w14:paraId="21BA6B13">
            <w:pPr>
              <w:pStyle w:val="4"/>
            </w:pPr>
            <w:r>
              <w:t>支持定义不同角色，基于角色进行授权管理，简化用户管理和权限控制的操作。</w:t>
            </w:r>
          </w:p>
        </w:tc>
      </w:tr>
      <w:tr w14:paraId="7F899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490AD0"/>
        </w:tc>
        <w:tc>
          <w:tcPr>
            <w:tcW w:w="2769" w:type="dxa"/>
          </w:tcPr>
          <w:p w14:paraId="58081D78">
            <w:pPr>
              <w:pStyle w:val="4"/>
              <w:jc w:val="center"/>
            </w:pPr>
            <w:r>
              <w:t>4</w:t>
            </w:r>
          </w:p>
        </w:tc>
        <w:tc>
          <w:tcPr>
            <w:tcW w:w="2769" w:type="dxa"/>
          </w:tcPr>
          <w:p w14:paraId="2DFB56A3">
            <w:pPr>
              <w:pStyle w:val="4"/>
            </w:pPr>
            <w:r>
              <w:t>GIS应用服务（只需建模重庆本部校区）</w:t>
            </w:r>
          </w:p>
          <w:p w14:paraId="2EF5315B">
            <w:pPr>
              <w:pStyle w:val="4"/>
            </w:pPr>
            <w:r>
              <w:t>GIS应用服务利用地理信息系统（GIS）技术，实现对学校各类地理数据的管理、分析和3D可视化展示。支持发布地图、数据、空间分析、网络分析、动态标绘、地址匹配、三维、数据目录、分布式分析等服务；支持将远程Web服务作为数据来源二次发布，发布空间数据为地图服务或数据服务。</w:t>
            </w:r>
          </w:p>
          <w:p w14:paraId="44461237">
            <w:pPr>
              <w:pStyle w:val="4"/>
            </w:pPr>
            <w:r>
              <w:t>（1）地图数据管理与维护</w:t>
            </w:r>
          </w:p>
          <w:p w14:paraId="5F607D41">
            <w:pPr>
              <w:pStyle w:val="4"/>
            </w:pPr>
            <w:r>
              <w:t>①地图数据采集与导入</w:t>
            </w:r>
          </w:p>
          <w:p w14:paraId="6D4AC40F">
            <w:pPr>
              <w:pStyle w:val="4"/>
            </w:pPr>
            <w:r>
              <w:t>支持将各类地图数据进行采集和导入，包括校园地图、建筑物信息（具体到房间）、道路网络等。</w:t>
            </w:r>
          </w:p>
          <w:p w14:paraId="1DCC8077">
            <w:pPr>
              <w:pStyle w:val="4"/>
            </w:pPr>
            <w:r>
              <w:t>②地图数据编辑与更新</w:t>
            </w:r>
          </w:p>
          <w:p w14:paraId="4BD391A8">
            <w:pPr>
              <w:pStyle w:val="4"/>
            </w:pPr>
            <w:r>
              <w:t>支持地图数据的编辑和更新功能，包括添加、删除、修改地图要素等。</w:t>
            </w:r>
          </w:p>
          <w:p w14:paraId="03F908CD">
            <w:pPr>
              <w:pStyle w:val="4"/>
            </w:pPr>
            <w:r>
              <w:t>③地图数据关联与整合</w:t>
            </w:r>
          </w:p>
          <w:p w14:paraId="2E66090D">
            <w:pPr>
              <w:pStyle w:val="4"/>
            </w:pPr>
            <w:r>
              <w:t>支持将不同来源的地图数据进行关联和整合，以实现多层次、多维度的地图展示和分析。</w:t>
            </w:r>
          </w:p>
          <w:p w14:paraId="082E2E15">
            <w:pPr>
              <w:pStyle w:val="4"/>
            </w:pPr>
            <w:r>
              <w:t>（2）空间查询与分析</w:t>
            </w:r>
          </w:p>
          <w:p w14:paraId="6248359D">
            <w:pPr>
              <w:pStyle w:val="4"/>
            </w:pPr>
            <w:r>
              <w:t>①空间查询功能</w:t>
            </w:r>
          </w:p>
          <w:p w14:paraId="250EB229">
            <w:pPr>
              <w:pStyle w:val="4"/>
            </w:pPr>
            <w:r>
              <w:t>支持通过地理位置、属性条件等进行空间查询，快速获取特定地点或区域的相关信息。</w:t>
            </w:r>
          </w:p>
          <w:p w14:paraId="4956927C">
            <w:pPr>
              <w:pStyle w:val="4"/>
            </w:pPr>
            <w:r>
              <w:t>②空间统计与分析</w:t>
            </w:r>
          </w:p>
          <w:p w14:paraId="205F6F16">
            <w:pPr>
              <w:pStyle w:val="4"/>
            </w:pPr>
            <w:r>
              <w:t>支持多种空间统计与分析方法，如热力图、缓冲区分析、空间关联分析等。</w:t>
            </w:r>
          </w:p>
          <w:p w14:paraId="0C245F09">
            <w:pPr>
              <w:pStyle w:val="4"/>
            </w:pPr>
            <w:r>
              <w:t>③空间可视化展示</w:t>
            </w:r>
          </w:p>
          <w:p w14:paraId="701E9DF5">
            <w:pPr>
              <w:pStyle w:val="4"/>
            </w:pPr>
            <w:r>
              <w:t>支持将查询和分析结果以地图、图表等形式进行可视化展示。</w:t>
            </w:r>
          </w:p>
          <w:p w14:paraId="58A57366">
            <w:pPr>
              <w:pStyle w:val="4"/>
            </w:pPr>
            <w:r>
              <w:t>（3）校园资源管理</w:t>
            </w:r>
          </w:p>
          <w:p w14:paraId="139804FB">
            <w:pPr>
              <w:pStyle w:val="4"/>
            </w:pPr>
            <w:r>
              <w:t>①建筑物管理</w:t>
            </w:r>
          </w:p>
          <w:p w14:paraId="61A63079">
            <w:pPr>
              <w:pStyle w:val="4"/>
            </w:pPr>
            <w:r>
              <w:t>支持记录和管理学校的建筑物信息。</w:t>
            </w:r>
          </w:p>
          <w:p w14:paraId="65DBE7D4">
            <w:pPr>
              <w:pStyle w:val="4"/>
            </w:pPr>
            <w:r>
              <w:t>②资产位置管理</w:t>
            </w:r>
          </w:p>
          <w:p w14:paraId="0DE3F468">
            <w:pPr>
              <w:pStyle w:val="4"/>
            </w:pPr>
            <w:r>
              <w:t>支持管理学校各类固定资产的信息。</w:t>
            </w:r>
          </w:p>
          <w:p w14:paraId="4ED7D79C">
            <w:pPr>
              <w:pStyle w:val="4"/>
            </w:pPr>
            <w:r>
              <w:t>③资源调配与规划</w:t>
            </w:r>
          </w:p>
          <w:p w14:paraId="436C5EC7">
            <w:pPr>
              <w:pStyle w:val="4"/>
            </w:pPr>
            <w:r>
              <w:t>支持通过GIS应用服务对校园资源进行评估和规划，如教室利用率、设施设备布局等。</w:t>
            </w:r>
          </w:p>
          <w:p w14:paraId="7AE527DF">
            <w:pPr>
              <w:pStyle w:val="4"/>
            </w:pPr>
            <w:r>
              <w:t>（4）地理信息共享与发布</w:t>
            </w:r>
          </w:p>
          <w:p w14:paraId="447F24C5">
            <w:pPr>
              <w:pStyle w:val="4"/>
            </w:pPr>
            <w:r>
              <w:t>①地理信息共享平台</w:t>
            </w:r>
          </w:p>
          <w:p w14:paraId="68F9B255">
            <w:pPr>
              <w:pStyle w:val="4"/>
            </w:pPr>
            <w:r>
              <w:t>提供地理信息共享平台，允许教职工和学员共享和访问地理数据和信息。</w:t>
            </w:r>
          </w:p>
          <w:p w14:paraId="12A046D5">
            <w:pPr>
              <w:pStyle w:val="4"/>
            </w:pPr>
            <w:r>
              <w:t>②地理信息发布服务</w:t>
            </w:r>
          </w:p>
          <w:p w14:paraId="572B889C">
            <w:pPr>
              <w:pStyle w:val="4"/>
            </w:pPr>
            <w:r>
              <w:t>支持将学校的地理信息以服务的形式发布，供外部应用程序和系统访问和使用。</w:t>
            </w:r>
          </w:p>
          <w:p w14:paraId="23D81719">
            <w:pPr>
              <w:pStyle w:val="4"/>
            </w:pPr>
            <w:r>
              <w:t>（5）校园安全与应急管理</w:t>
            </w:r>
          </w:p>
          <w:p w14:paraId="7A94A0E0">
            <w:pPr>
              <w:pStyle w:val="4"/>
            </w:pPr>
            <w:r>
              <w:t>①事件定位与监控</w:t>
            </w:r>
          </w:p>
          <w:p w14:paraId="38D793A0">
            <w:pPr>
              <w:pStyle w:val="4"/>
            </w:pPr>
            <w:r>
              <w:t>支持对接学校安管平台，将校园安全事件与地理位置进行关联，实时监控事件发生地点，并提供快速定位和展示功能。</w:t>
            </w:r>
          </w:p>
          <w:p w14:paraId="2FA556C3">
            <w:pPr>
              <w:pStyle w:val="4"/>
            </w:pPr>
            <w:r>
              <w:t>②紧急应急响应</w:t>
            </w:r>
          </w:p>
          <w:p w14:paraId="5E217760">
            <w:pPr>
              <w:pStyle w:val="4"/>
            </w:pPr>
            <w:r>
              <w:t>支持通过GIS应用服务提供实时的应急响应方案和指引。</w:t>
            </w:r>
          </w:p>
          <w:p w14:paraId="64AC0AB8">
            <w:pPr>
              <w:pStyle w:val="4"/>
            </w:pPr>
            <w:r>
              <w:t>③安全演练与模拟</w:t>
            </w:r>
          </w:p>
          <w:p w14:paraId="72462929">
            <w:pPr>
              <w:pStyle w:val="4"/>
            </w:pPr>
            <w:r>
              <w:t>支持通过GIS应用服务开展校园安全演练和模拟。</w:t>
            </w:r>
          </w:p>
          <w:p w14:paraId="2EE926FB">
            <w:pPr>
              <w:pStyle w:val="4"/>
            </w:pPr>
            <w:r>
              <w:t>（6）地理数据与其他数据集成</w:t>
            </w:r>
          </w:p>
          <w:p w14:paraId="72AE1FBB">
            <w:pPr>
              <w:pStyle w:val="4"/>
            </w:pPr>
            <w:r>
              <w:t>①数据集成与共享</w:t>
            </w:r>
          </w:p>
          <w:p w14:paraId="628D3710">
            <w:pPr>
              <w:pStyle w:val="4"/>
            </w:pPr>
            <w:r>
              <w:t>支持将GIS应用服务与其他系统和数据源进行集成。</w:t>
            </w:r>
          </w:p>
          <w:p w14:paraId="18ECE75B">
            <w:pPr>
              <w:pStyle w:val="4"/>
            </w:pPr>
            <w:r>
              <w:t>②数据可视化展示</w:t>
            </w:r>
          </w:p>
          <w:p w14:paraId="6DB1189A">
            <w:pPr>
              <w:pStyle w:val="4"/>
            </w:pPr>
            <w:r>
              <w:t>支持将GIS应用服务中的地理数据与其他数据进行融合，以图表、报表等形式进行可视化展示。</w:t>
            </w:r>
          </w:p>
        </w:tc>
      </w:tr>
      <w:tr w14:paraId="772E8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CED46C"/>
        </w:tc>
        <w:tc>
          <w:tcPr>
            <w:tcW w:w="2769" w:type="dxa"/>
          </w:tcPr>
          <w:p w14:paraId="2477B929">
            <w:pPr>
              <w:pStyle w:val="4"/>
              <w:jc w:val="center"/>
            </w:pPr>
            <w:r>
              <w:t>5</w:t>
            </w:r>
          </w:p>
        </w:tc>
        <w:tc>
          <w:tcPr>
            <w:tcW w:w="2769" w:type="dxa"/>
          </w:tcPr>
          <w:p w14:paraId="36E4A4D3">
            <w:pPr>
              <w:pStyle w:val="4"/>
            </w:pPr>
            <w:r>
              <w:t>应用接入服务</w:t>
            </w:r>
            <w:r>
              <w:br w:type="textWrapping"/>
            </w:r>
          </w:p>
          <w:p w14:paraId="0CEE737E">
            <w:pPr>
              <w:pStyle w:val="4"/>
            </w:pPr>
            <w:r>
              <w:t>支持第三方应用集成，对部队和大学各单位研发的各类型B/S及C/S架构的应用均支持融合集成，可采用本地部署集成或远程调用集成等多种方式，为大学或部队其它单位提供系统服务。</w:t>
            </w:r>
            <w:r>
              <w:br w:type="textWrapping"/>
            </w:r>
          </w:p>
          <w:p w14:paraId="191CD4A2">
            <w:pPr>
              <w:pStyle w:val="4"/>
            </w:pPr>
            <w:r>
              <w:t>（1）容器管理</w:t>
            </w:r>
            <w:r>
              <w:br w:type="textWrapping"/>
            </w:r>
          </w:p>
          <w:p w14:paraId="7973F64F">
            <w:pPr>
              <w:pStyle w:val="4"/>
            </w:pPr>
            <w:r>
              <w:t>①集群管理</w:t>
            </w:r>
            <w:r>
              <w:br w:type="textWrapping"/>
            </w:r>
          </w:p>
          <w:p w14:paraId="557795E5">
            <w:pPr>
              <w:pStyle w:val="4"/>
            </w:pPr>
            <w:r>
              <w:t>支持集群参数配置、主机和容器实例管理。</w:t>
            </w:r>
            <w:r>
              <w:br w:type="textWrapping"/>
            </w:r>
          </w:p>
          <w:p w14:paraId="137E9104">
            <w:pPr>
              <w:pStyle w:val="4"/>
            </w:pPr>
            <w:r>
              <w:t>支持不少于两种集群创建方式，包括新建和导入等。</w:t>
            </w:r>
            <w:r>
              <w:br w:type="textWrapping"/>
            </w:r>
          </w:p>
          <w:p w14:paraId="1928BF38">
            <w:pPr>
              <w:pStyle w:val="4"/>
            </w:pPr>
            <w:r>
              <w:t>②容器引擎</w:t>
            </w:r>
            <w:r>
              <w:br w:type="textWrapping"/>
            </w:r>
          </w:p>
          <w:p w14:paraId="5EF804F0">
            <w:pPr>
              <w:pStyle w:val="4"/>
            </w:pPr>
            <w:r>
              <w:t>支持创建容器、启动容器、删掉容器、暂停及恢复容器等。</w:t>
            </w:r>
            <w:r>
              <w:br w:type="textWrapping"/>
            </w:r>
          </w:p>
          <w:p w14:paraId="49C360DD">
            <w:pPr>
              <w:pStyle w:val="4"/>
            </w:pPr>
            <w:r>
              <w:t>支持删除镜像、保存镜像、导入镜像、查看镜像列表等。</w:t>
            </w:r>
            <w:r>
              <w:br w:type="textWrapping"/>
            </w:r>
          </w:p>
          <w:p w14:paraId="7AB9B284">
            <w:pPr>
              <w:pStyle w:val="4"/>
            </w:pPr>
            <w:r>
              <w:t>③容器编排</w:t>
            </w:r>
            <w:r>
              <w:br w:type="textWrapping"/>
            </w:r>
          </w:p>
          <w:p w14:paraId="46C6E94D">
            <w:pPr>
              <w:pStyle w:val="4"/>
            </w:pPr>
            <w:r>
              <w:t>支持自动将容器部署到集群的节点上。</w:t>
            </w:r>
            <w:r>
              <w:br w:type="textWrapping"/>
            </w:r>
          </w:p>
          <w:p w14:paraId="440ECE25">
            <w:pPr>
              <w:pStyle w:val="4"/>
            </w:pPr>
            <w:r>
              <w:t>支持服务发现和负载均衡。</w:t>
            </w:r>
            <w:r>
              <w:br w:type="textWrapping"/>
            </w:r>
          </w:p>
          <w:p w14:paraId="5D74570C">
            <w:pPr>
              <w:pStyle w:val="4"/>
            </w:pPr>
            <w:r>
              <w:t>支持自动地增加或减少容器实例数量，达到应用程序的负载和性能要求。</w:t>
            </w:r>
            <w:r>
              <w:br w:type="textWrapping"/>
            </w:r>
          </w:p>
          <w:p w14:paraId="528112A7">
            <w:pPr>
              <w:pStyle w:val="4"/>
            </w:pPr>
            <w:r>
              <w:t>支持应用程序的更新与回滚。</w:t>
            </w:r>
            <w:r>
              <w:br w:type="textWrapping"/>
            </w:r>
          </w:p>
          <w:p w14:paraId="712C41B6">
            <w:pPr>
              <w:pStyle w:val="4"/>
            </w:pPr>
            <w:r>
              <w:t>④容器安全</w:t>
            </w:r>
            <w:r>
              <w:br w:type="textWrapping"/>
            </w:r>
          </w:p>
          <w:p w14:paraId="51E5B39B">
            <w:pPr>
              <w:pStyle w:val="4"/>
            </w:pPr>
            <w:r>
              <w:t>支持评估容器集群的安全状况并识别漏洞，控制镜像以确保永远不会从受感染或受损的镜像部署容器。</w:t>
            </w:r>
            <w:r>
              <w:br w:type="textWrapping"/>
            </w:r>
          </w:p>
          <w:p w14:paraId="17502652">
            <w:pPr>
              <w:pStyle w:val="4"/>
            </w:pPr>
            <w:r>
              <w:t>⑤镜像仓库</w:t>
            </w:r>
            <w:r>
              <w:br w:type="textWrapping"/>
            </w:r>
          </w:p>
          <w:p w14:paraId="2E315112">
            <w:pPr>
              <w:pStyle w:val="4"/>
            </w:pPr>
            <w:r>
              <w:t>提供镜像仓库功能，仓库存储的内容包括：基础镜像、官方镜像、项目镜像等三大类。</w:t>
            </w:r>
            <w:r>
              <w:br w:type="textWrapping"/>
            </w:r>
          </w:p>
          <w:p w14:paraId="36BF7B43">
            <w:pPr>
              <w:pStyle w:val="4"/>
            </w:pPr>
            <w:r>
              <w:t>⑥监控管理</w:t>
            </w:r>
            <w:r>
              <w:br w:type="textWrapping"/>
            </w:r>
          </w:p>
          <w:p w14:paraId="38BF74F0">
            <w:pPr>
              <w:pStyle w:val="4"/>
            </w:pPr>
            <w:r>
              <w:t>支持业务部署监控、实例运行监控、容器和主机等的监控。</w:t>
            </w:r>
            <w:r>
              <w:br w:type="textWrapping"/>
            </w:r>
          </w:p>
          <w:p w14:paraId="4B3D8C42">
            <w:pPr>
              <w:pStyle w:val="4"/>
            </w:pPr>
            <w:r>
              <w:t>支持对主机、部署实例、负载均衡三种类型进行CPU占用、内存占用、网络流入总量和网络流出总量的常态监控。</w:t>
            </w:r>
            <w:r>
              <w:br w:type="textWrapping"/>
            </w:r>
          </w:p>
          <w:p w14:paraId="4E7EECBA">
            <w:pPr>
              <w:pStyle w:val="4"/>
            </w:pPr>
            <w:r>
              <w:t>（2）微服务支持</w:t>
            </w:r>
            <w:r>
              <w:br w:type="textWrapping"/>
            </w:r>
          </w:p>
          <w:p w14:paraId="6FB859E2">
            <w:pPr>
              <w:pStyle w:val="4"/>
            </w:pPr>
            <w:r>
              <w:t>①微服务网关</w:t>
            </w:r>
            <w:r>
              <w:br w:type="textWrapping"/>
            </w:r>
          </w:p>
          <w:p w14:paraId="331477CF">
            <w:pPr>
              <w:pStyle w:val="4"/>
            </w:pPr>
            <w:r>
              <w:t>支持服务横切功能，如进行权限校验、限流以及监控等。</w:t>
            </w:r>
            <w:r>
              <w:br w:type="textWrapping"/>
            </w:r>
          </w:p>
          <w:p w14:paraId="5638E931">
            <w:pPr>
              <w:pStyle w:val="4"/>
            </w:pPr>
            <w:r>
              <w:t>支持通过路由转发规则，支持扩展边缘微服务能力。</w:t>
            </w:r>
            <w:r>
              <w:br w:type="textWrapping"/>
            </w:r>
          </w:p>
          <w:p w14:paraId="04AB094F">
            <w:pPr>
              <w:pStyle w:val="4"/>
            </w:pPr>
            <w:r>
              <w:t>微服务的接口规范支持RestfulAPI、RPC和gRPC。</w:t>
            </w:r>
            <w:r>
              <w:br w:type="textWrapping"/>
            </w:r>
          </w:p>
          <w:p w14:paraId="13328476">
            <w:pPr>
              <w:pStyle w:val="4"/>
            </w:pPr>
            <w:r>
              <w:t>②微服务环境</w:t>
            </w:r>
            <w:r>
              <w:br w:type="textWrapping"/>
            </w:r>
          </w:p>
          <w:p w14:paraId="0715E475">
            <w:pPr>
              <w:pStyle w:val="4"/>
            </w:pPr>
            <w:r>
              <w:t>服务注册中心支持心跳检测。</w:t>
            </w:r>
            <w:r>
              <w:br w:type="textWrapping"/>
            </w:r>
          </w:p>
          <w:p w14:paraId="3182675E">
            <w:pPr>
              <w:pStyle w:val="4"/>
            </w:pPr>
            <w:r>
              <w:t>配置中心支持自动读取配置文件，当配置文件更新时，自动进行配置热更新。</w:t>
            </w:r>
            <w:r>
              <w:br w:type="textWrapping"/>
            </w:r>
          </w:p>
          <w:p w14:paraId="71AE5EC9">
            <w:pPr>
              <w:pStyle w:val="4"/>
            </w:pPr>
            <w:r>
              <w:t>分布式事务引擎支持多个微服务的一致性和原子性操作。</w:t>
            </w:r>
            <w:r>
              <w:br w:type="textWrapping"/>
            </w:r>
          </w:p>
          <w:p w14:paraId="2F59AED2">
            <w:pPr>
              <w:pStyle w:val="4"/>
            </w:pPr>
            <w:r>
              <w:t>③微服务治理</w:t>
            </w:r>
            <w:r>
              <w:br w:type="textWrapping"/>
            </w:r>
          </w:p>
          <w:p w14:paraId="18D089C8">
            <w:pPr>
              <w:pStyle w:val="4"/>
            </w:pPr>
            <w:r>
              <w:t>提供仪表盘，支持实时查看微服务运行的相关指标，并做出相应的动作，保障微服务系统高可靠运行。</w:t>
            </w:r>
            <w:r>
              <w:br w:type="textWrapping"/>
            </w:r>
          </w:p>
          <w:p w14:paraId="466B3BD0">
            <w:pPr>
              <w:pStyle w:val="4"/>
            </w:pPr>
            <w:r>
              <w:t>支持手动／自动化手段，支持负载均衡、限流、容错、降级、熔断和错误注入等治理手段。</w:t>
            </w:r>
            <w:r>
              <w:br w:type="textWrapping"/>
            </w:r>
          </w:p>
          <w:p w14:paraId="01C6E049">
            <w:pPr>
              <w:pStyle w:val="4"/>
            </w:pPr>
            <w:r>
              <w:t>④微服务监控</w:t>
            </w:r>
            <w:r>
              <w:br w:type="textWrapping"/>
            </w:r>
          </w:p>
          <w:p w14:paraId="21953AE5">
            <w:pPr>
              <w:pStyle w:val="4"/>
            </w:pPr>
            <w:r>
              <w:t>支持以图形、图表方式展示托管应用的数量、运行情况、告警情况，支持查询微服务展示筛选出的微服务的运行指标：吞吐量、平均时延、请求失败率、请求数、熔断数、熔断状态、请求超时数等，以拓扑图图形方式展示微服务调用关系全景图，展示微服务系统的运行状态，支持按时间范围以拓扑图图形方式展示微服务器的调用关系，显示调用来源、调用次数、运行状态等。</w:t>
            </w:r>
            <w:r>
              <w:br w:type="textWrapping"/>
            </w:r>
          </w:p>
          <w:p w14:paraId="0CAEC4E4">
            <w:pPr>
              <w:pStyle w:val="4"/>
            </w:pPr>
            <w:r>
              <w:t>⑤微服务框架</w:t>
            </w:r>
            <w:r>
              <w:br w:type="textWrapping"/>
            </w:r>
          </w:p>
          <w:p w14:paraId="53E8055D">
            <w:pPr>
              <w:pStyle w:val="4"/>
            </w:pPr>
            <w:r>
              <w:t>支持基于契约自动生产微服务框架代码、文档和测试接口。支持一键式创建Java、Go等语言开发环境（包括框架代码、构建任务、部署任务和流水线），提供微服务开发框架和脚手架工具，减小微服务项目准备的难度，提高新服务开发效率。开发框架支持多协议多语言接入，提供Java/Go语言微服务开发框架SDK，兼容Javachassis，Gochassis等开源微服务框架，支持Dubbo框架接入。支持基于契约的开发模式，使用yaml描述微服务接口契约支持通过SwaggerEditor进行契约接口的编写和管理，规范化内部的开发流程和协作模式。</w:t>
            </w:r>
            <w:r>
              <w:br w:type="textWrapping"/>
            </w:r>
          </w:p>
          <w:p w14:paraId="4AEF2322">
            <w:pPr>
              <w:pStyle w:val="4"/>
            </w:pPr>
            <w:r>
              <w:t>⑥微服务对接</w:t>
            </w:r>
            <w:r>
              <w:br w:type="textWrapping"/>
            </w:r>
          </w:p>
          <w:p w14:paraId="2067A63E">
            <w:pPr>
              <w:pStyle w:val="4"/>
            </w:pPr>
            <w:r>
              <w:t>支持零修改对接原生SpringCloud、Dubbo应用。支持SerivceMesh服务，支持多种开发语言的SerivceMesh服务对接。支持基于Python、PHP、Node.JS和.NET等语言开发微服务。兼容开源的Javachassis，SpringCloud，Dubbo，Gochassis框架。</w:t>
            </w:r>
            <w:r>
              <w:br w:type="textWrapping"/>
            </w:r>
          </w:p>
          <w:p w14:paraId="1EDA48E0">
            <w:pPr>
              <w:pStyle w:val="4"/>
            </w:pPr>
            <w:r>
              <w:t>（3）开发集成</w:t>
            </w:r>
            <w:r>
              <w:br w:type="textWrapping"/>
            </w:r>
          </w:p>
          <w:p w14:paraId="44C30FEC">
            <w:pPr>
              <w:pStyle w:val="4"/>
            </w:pPr>
            <w:r>
              <w:t>①软件包仓库</w:t>
            </w:r>
            <w:r>
              <w:br w:type="textWrapping"/>
            </w:r>
          </w:p>
          <w:p w14:paraId="1DCEFB79">
            <w:pPr>
              <w:pStyle w:val="4"/>
            </w:pPr>
            <w:r>
              <w:t>提供软件包管理工具的私有仓库服务，支持针对前端和后端设置不同的仓库。</w:t>
            </w:r>
            <w:r>
              <w:br w:type="textWrapping"/>
            </w:r>
          </w:p>
          <w:p w14:paraId="53AF75DC">
            <w:pPr>
              <w:pStyle w:val="4"/>
            </w:pPr>
            <w:r>
              <w:t>②代码仓库</w:t>
            </w:r>
            <w:r>
              <w:br w:type="textWrapping"/>
            </w:r>
          </w:p>
          <w:p w14:paraId="15769B8F">
            <w:pPr>
              <w:pStyle w:val="4"/>
            </w:pPr>
            <w:r>
              <w:t>支持项目开发过程中的代码、测试用例、产品手册、配置等的管理。</w:t>
            </w:r>
            <w:r>
              <w:br w:type="textWrapping"/>
            </w:r>
          </w:p>
          <w:p w14:paraId="752541B0">
            <w:pPr>
              <w:pStyle w:val="4"/>
            </w:pPr>
            <w:r>
              <w:t>③项目管理</w:t>
            </w:r>
            <w:r>
              <w:br w:type="textWrapping"/>
            </w:r>
          </w:p>
          <w:p w14:paraId="29B0A6E1">
            <w:pPr>
              <w:pStyle w:val="4"/>
            </w:pPr>
            <w:r>
              <w:t>支持管理目下的工程和镜像，还可以添加成员，赋予他们相应的权限。</w:t>
            </w:r>
            <w:r>
              <w:br w:type="textWrapping"/>
            </w:r>
          </w:p>
          <w:p w14:paraId="1AA6ED52">
            <w:pPr>
              <w:pStyle w:val="4"/>
            </w:pPr>
            <w:r>
              <w:t>支持用户关联自己的代码仓库，用代码和简单的配置来创建工程，对创建的工程进行管理并将工程构建成能够部署的镜像文件。</w:t>
            </w:r>
            <w:r>
              <w:br w:type="textWrapping"/>
            </w:r>
          </w:p>
          <w:p w14:paraId="3AECC96B">
            <w:pPr>
              <w:pStyle w:val="4"/>
            </w:pPr>
            <w:r>
              <w:t>④持续集成</w:t>
            </w:r>
            <w:r>
              <w:br w:type="textWrapping"/>
            </w:r>
          </w:p>
          <w:p w14:paraId="36EA4B0B">
            <w:pPr>
              <w:pStyle w:val="4"/>
            </w:pPr>
            <w:r>
              <w:t>支持制定构建计划，根据代码项目的tag和branch自动构建,构建结果自动放到软件包或镜像仓库中。支持对接主流代码仓库，如Github、Gitlab。提供容器化编译工具，提供java、GO等语言的容器编译工具，或与容器编译工具做对接，支持多语言的编译打包功能；提供容器环境自动化测试，容器环境自动化测试工具或与客户测试工具做对接，支持自动化单元测试功能；支持持续集成日志功能，即自动生成并在平台实时显示构建状态，存储每次构建的日志信息。</w:t>
            </w:r>
            <w:r>
              <w:br w:type="textWrapping"/>
            </w:r>
          </w:p>
          <w:p w14:paraId="1F04B863">
            <w:pPr>
              <w:pStyle w:val="4"/>
            </w:pPr>
            <w:r>
              <w:t>⑤持续部署</w:t>
            </w:r>
            <w:r>
              <w:br w:type="textWrapping"/>
            </w:r>
          </w:p>
          <w:p w14:paraId="7A02D26C">
            <w:pPr>
              <w:pStyle w:val="4"/>
            </w:pPr>
            <w:r>
              <w:t>支持将持续集成完成并通过测试的应用变更自动发布到生产环境中。支持按应用定义和编排应用的发布流程，实现应用发布自动化。通过编排工具定义出来的流程，包括确保所有项目环境都正确配置，能够以最高性能水平运行。</w:t>
            </w:r>
            <w:r>
              <w:br w:type="textWrapping"/>
            </w:r>
          </w:p>
          <w:p w14:paraId="0A799EE8">
            <w:pPr>
              <w:pStyle w:val="4"/>
            </w:pPr>
            <w:r>
              <w:t>（4）应用管理</w:t>
            </w:r>
            <w:r>
              <w:br w:type="textWrapping"/>
            </w:r>
          </w:p>
          <w:p w14:paraId="2FD656AC">
            <w:pPr>
              <w:pStyle w:val="4"/>
            </w:pPr>
            <w:r>
              <w:t>①应用管理</w:t>
            </w:r>
            <w:r>
              <w:br w:type="textWrapping"/>
            </w:r>
          </w:p>
          <w:p w14:paraId="7C24C5B4">
            <w:pPr>
              <w:pStyle w:val="4"/>
            </w:pPr>
            <w:r>
              <w:t>应用是一种服务的集合，包括新建、修改、删除、查询受管应用，支持JAVA、GO、PHP、Node.js、Python等多种语言应用环境。</w:t>
            </w:r>
            <w:r>
              <w:br w:type="textWrapping"/>
            </w:r>
          </w:p>
          <w:p w14:paraId="5A2096B0">
            <w:pPr>
              <w:pStyle w:val="4"/>
            </w:pPr>
            <w:r>
              <w:t>②服务管理</w:t>
            </w:r>
            <w:r>
              <w:br w:type="textWrapping"/>
            </w:r>
          </w:p>
          <w:p w14:paraId="278CADD7">
            <w:pPr>
              <w:pStyle w:val="4"/>
            </w:pPr>
            <w:r>
              <w:t>支持增加、删除受管的应用服务。提供模板和自定义两种配置方式，方便不同层次的人员进行使用。对已管理的服务提供查询、修改、部署、扩容等。</w:t>
            </w:r>
            <w:r>
              <w:br w:type="textWrapping"/>
            </w:r>
          </w:p>
          <w:p w14:paraId="6514C471">
            <w:pPr>
              <w:pStyle w:val="4"/>
            </w:pPr>
            <w:r>
              <w:t>③部署管理</w:t>
            </w:r>
            <w:r>
              <w:br w:type="textWrapping"/>
            </w:r>
          </w:p>
          <w:p w14:paraId="72EE017A">
            <w:pPr>
              <w:pStyle w:val="4"/>
            </w:pPr>
            <w:r>
              <w:t>支持从源码、软件包（zip、jar、war）、docker镜像包等多种部署。</w:t>
            </w:r>
            <w:r>
              <w:br w:type="textWrapping"/>
            </w:r>
          </w:p>
          <w:p w14:paraId="2FDE99B0">
            <w:pPr>
              <w:pStyle w:val="4"/>
            </w:pPr>
            <w:r>
              <w:t>④升级回滚</w:t>
            </w:r>
            <w:r>
              <w:br w:type="textWrapping"/>
            </w:r>
          </w:p>
          <w:p w14:paraId="0E78F314">
            <w:pPr>
              <w:pStyle w:val="4"/>
            </w:pPr>
            <w:r>
              <w:t>支持服务的升级，支持服务回滚到任一旧版本。</w:t>
            </w:r>
            <w:r>
              <w:br w:type="textWrapping"/>
            </w:r>
          </w:p>
          <w:p w14:paraId="378A6D51">
            <w:pPr>
              <w:pStyle w:val="4"/>
            </w:pPr>
            <w:r>
              <w:t>⑤健康检测</w:t>
            </w:r>
            <w:r>
              <w:br w:type="textWrapping"/>
            </w:r>
          </w:p>
          <w:p w14:paraId="74060E6F">
            <w:pPr>
              <w:pStyle w:val="4"/>
            </w:pPr>
            <w:r>
              <w:t>支持对应用设置健康检查参数，健康检查是指应用组件在运行过程中，根据需要，定时检查应用健康状况，健康检查方式包括进行TCP或HTTP心跳检查。健康检查应记录检测结果。</w:t>
            </w:r>
            <w:r>
              <w:br w:type="textWrapping"/>
            </w:r>
          </w:p>
          <w:p w14:paraId="7BC8B2B0">
            <w:pPr>
              <w:pStyle w:val="4"/>
            </w:pPr>
            <w:r>
              <w:t>⑥负载均衡</w:t>
            </w:r>
            <w:r>
              <w:br w:type="textWrapping"/>
            </w:r>
          </w:p>
          <w:p w14:paraId="1FC6851F">
            <w:pPr>
              <w:pStyle w:val="4"/>
            </w:pPr>
            <w:r>
              <w:t>支持轮询、随机、响应时间权值、会话粘滞等策略。</w:t>
            </w:r>
            <w:r>
              <w:br w:type="textWrapping"/>
            </w:r>
          </w:p>
          <w:p w14:paraId="008E9D1F">
            <w:pPr>
              <w:pStyle w:val="4"/>
            </w:pPr>
            <w:r>
              <w:t>⑦弹性伸缩</w:t>
            </w:r>
            <w:r>
              <w:br w:type="textWrapping"/>
            </w:r>
          </w:p>
          <w:p w14:paraId="06FCF3CF">
            <w:pPr>
              <w:pStyle w:val="4"/>
            </w:pPr>
            <w:r>
              <w:t>支持根据应用重要程度、负载情况等指标或根据保障要求在运行中可以随时进行扩容/缩容，增/减实例个数。支持应用实例通过手工或自动弹性伸缩。</w:t>
            </w:r>
            <w:r>
              <w:br w:type="textWrapping"/>
            </w:r>
          </w:p>
          <w:p w14:paraId="17D8FBBB">
            <w:pPr>
              <w:pStyle w:val="4"/>
            </w:pPr>
            <w:r>
              <w:t>（5）低代码平台</w:t>
            </w:r>
            <w:r>
              <w:br w:type="textWrapping"/>
            </w:r>
          </w:p>
          <w:p w14:paraId="35D5731C">
            <w:pPr>
              <w:pStyle w:val="4"/>
            </w:pPr>
            <w:r>
              <w:t>①流程开发</w:t>
            </w:r>
            <w:r>
              <w:br w:type="textWrapping"/>
            </w:r>
          </w:p>
          <w:p w14:paraId="5E905FF4">
            <w:pPr>
              <w:pStyle w:val="4"/>
            </w:pPr>
            <w:r>
              <w:t>支持创建新的流程或修改现有流程，并设置好该流程所属的分类及主表、主键；支持为流程配置发起人、角色、组织机构、通知方式等；支持添加删除审批节点，可以配置多个审批人，普通审批节点的下级节点可以是审批节点、抄送节点、条件分支和并行分支；支持为每个节点配置条件、规则、分支等；支持发布已设计完整的流程，配置相关权限后，普通用户按照约定使用该发布的流程。</w:t>
            </w:r>
            <w:r>
              <w:br w:type="textWrapping"/>
            </w:r>
          </w:p>
          <w:p w14:paraId="03044688">
            <w:pPr>
              <w:pStyle w:val="4"/>
            </w:pPr>
            <w:r>
              <w:t>②表单自定义设计</w:t>
            </w:r>
            <w:r>
              <w:br w:type="textWrapping"/>
            </w:r>
          </w:p>
          <w:p w14:paraId="45D7648C">
            <w:pPr>
              <w:pStyle w:val="4"/>
            </w:pPr>
            <w:r>
              <w:t>支持管理员使用表单引擎提供表单设计器，通过数据主表配置、子表配置、视图配置、映射配置以及控件配置等多项功能，设计出符合业务需求的表单界面。这些配置选项允许管理员与业务数据之间建立紧密的绑定，确保表单组件与数据之间的无缝交互和信息传递。</w:t>
            </w:r>
            <w:r>
              <w:br w:type="textWrapping"/>
            </w:r>
          </w:p>
          <w:p w14:paraId="70665D7C">
            <w:pPr>
              <w:pStyle w:val="4"/>
            </w:pPr>
            <w:r>
              <w:t>在数据主表配置方面，支持管理员选择合适的数据源，指定字段类型和属性，以及设置校验规则和默认值，从而确保数据的完整性和准确性。</w:t>
            </w:r>
            <w:r>
              <w:br w:type="textWrapping"/>
            </w:r>
          </w:p>
          <w:p w14:paraId="61CD7BE5">
            <w:pPr>
              <w:pStyle w:val="4"/>
            </w:pPr>
            <w:r>
              <w:t>支持通过子表配置功能，管理员可以创建多个关联的子表，并定义它们与主表之间的关系，使得在表单中能够方便地展示和处理相关联的数据。</w:t>
            </w:r>
            <w:r>
              <w:br w:type="textWrapping"/>
            </w:r>
          </w:p>
          <w:p w14:paraId="3A870C91">
            <w:pPr>
              <w:pStyle w:val="4"/>
            </w:pPr>
            <w:r>
              <w:t>支持视图配置，允许管理员根据需求定义不同的表单视图，以便在不同的场景中展示不同的数据和布局。</w:t>
            </w:r>
            <w:r>
              <w:br w:type="textWrapping"/>
            </w:r>
          </w:p>
          <w:p w14:paraId="3287AF7E">
            <w:pPr>
              <w:pStyle w:val="4"/>
            </w:pPr>
            <w:r>
              <w:t>支持映射配置功能，为管理员提供了灵活的数据映射选项，使得表单组件能够正确地显示和处理各种类型的数据。</w:t>
            </w:r>
            <w:r>
              <w:br w:type="textWrapping"/>
            </w:r>
          </w:p>
          <w:p w14:paraId="211AFF80">
            <w:pPr>
              <w:pStyle w:val="4"/>
            </w:pPr>
            <w:r>
              <w:t>支持控件配置功能，管理员可以自定义各种表单控件的外观和行为，包括样式、大小、可见性、可编辑性等，从而实现个性化的表单设计。</w:t>
            </w:r>
            <w:r>
              <w:br w:type="textWrapping"/>
            </w:r>
          </w:p>
          <w:p w14:paraId="385BC1CC">
            <w:pPr>
              <w:pStyle w:val="4"/>
            </w:pPr>
            <w:r>
              <w:t>③动态列表自定义设计</w:t>
            </w:r>
            <w:r>
              <w:br w:type="textWrapping"/>
            </w:r>
          </w:p>
          <w:p w14:paraId="0D547BBE">
            <w:pPr>
              <w:pStyle w:val="4"/>
            </w:pPr>
            <w:r>
              <w:t>支持动态列表设计器，通过表单配置、列表配置、操作配置、查询配置以及菜单配置等操作，能够设计出高度灵活和可定制的动态列表。</w:t>
            </w:r>
            <w:r>
              <w:br w:type="textWrapping"/>
            </w:r>
          </w:p>
          <w:p w14:paraId="4DCDDE13">
            <w:pPr>
              <w:pStyle w:val="4"/>
            </w:pPr>
            <w:r>
              <w:t>支持表单配置，可根据需求选择合适的表单模板，设置字段类型和属性，并定义校验规则和默认值，确保数据的一致性和准确性。</w:t>
            </w:r>
            <w:r>
              <w:br w:type="textWrapping"/>
            </w:r>
          </w:p>
          <w:p w14:paraId="1C5E1864">
            <w:pPr>
              <w:pStyle w:val="4"/>
            </w:pPr>
            <w:r>
              <w:t>支持列表配置功能，管理员可以自由地指定显示的字段、排序方式、分组规则以及其他列表属性，从而实现个性化的列表显示效果。</w:t>
            </w:r>
            <w:r>
              <w:br w:type="textWrapping"/>
            </w:r>
          </w:p>
          <w:p w14:paraId="1E147413">
            <w:pPr>
              <w:pStyle w:val="4"/>
            </w:pPr>
            <w:r>
              <w:t>支持操作配置选项，允许管理员定义各种操作按钮，例如添加、编辑、删除等，以及指定操作的触发条件和后续处理逻辑，使得用户能够方便地进行操作和数据处理。</w:t>
            </w:r>
            <w:r>
              <w:br w:type="textWrapping"/>
            </w:r>
          </w:p>
          <w:p w14:paraId="0747E418">
            <w:pPr>
              <w:pStyle w:val="4"/>
            </w:pPr>
            <w:r>
              <w:t>支持查询配置功能，提供灵活的查询选项，包括条件筛选、排序和分页等，使得管理员能够根据需求快速检索所需的数据。</w:t>
            </w:r>
            <w:r>
              <w:br w:type="textWrapping"/>
            </w:r>
          </w:p>
          <w:p w14:paraId="1829248E">
            <w:pPr>
              <w:pStyle w:val="4"/>
            </w:pPr>
            <w:r>
              <w:t>支持菜单配置，管理员可以定义列表所在的菜单位置、菜单项的显示和权限控制等，以便用户能够方便地访问和浏览列表数据。</w:t>
            </w:r>
            <w:r>
              <w:br w:type="textWrapping"/>
            </w:r>
          </w:p>
          <w:p w14:paraId="1E8DEB68">
            <w:pPr>
              <w:pStyle w:val="4"/>
            </w:pPr>
            <w:r>
              <w:t>④流程自定义设计</w:t>
            </w:r>
            <w:r>
              <w:br w:type="textWrapping"/>
            </w:r>
          </w:p>
          <w:p w14:paraId="233C930B">
            <w:pPr>
              <w:pStyle w:val="4"/>
            </w:pPr>
            <w:r>
              <w:t>支持流程列表设计器，通过流程配置、表单配置、列表配置、操作配置、导出配置、查询配置和菜单配置等操作，能够设计出高度定制化的流程列表。</w:t>
            </w:r>
            <w:r>
              <w:br w:type="textWrapping"/>
            </w:r>
          </w:p>
          <w:p w14:paraId="4FCB34C4">
            <w:pPr>
              <w:pStyle w:val="4"/>
            </w:pPr>
            <w:r>
              <w:t>支持流程配置功能，管理员可以定义流程的各个节点、流转条件和审批人员，以及指定流程的触发方式和处理逻辑，实现流程的灵活管理和跟踪。</w:t>
            </w:r>
            <w:r>
              <w:br w:type="textWrapping"/>
            </w:r>
          </w:p>
          <w:p w14:paraId="6C22388A">
            <w:pPr>
              <w:pStyle w:val="4"/>
            </w:pPr>
            <w:r>
              <w:t>支持表单配置，管理员可以根据需求选择合适的表单模板，并进行字段类型和属性的设置，确保表单数据的完整性和准确性。</w:t>
            </w:r>
            <w:r>
              <w:br w:type="textWrapping"/>
            </w:r>
          </w:p>
          <w:p w14:paraId="2C61D15D">
            <w:pPr>
              <w:pStyle w:val="4"/>
            </w:pPr>
            <w:r>
              <w:t>支持列表配置选项，允许管理员自由选择需要展示的字段、排序方式、分组规则等，以及定义列表的样式和布局，使得流程列表的展示效果符合用户需求。</w:t>
            </w:r>
            <w:r>
              <w:br w:type="textWrapping"/>
            </w:r>
          </w:p>
          <w:p w14:paraId="6FEDE02B">
            <w:pPr>
              <w:pStyle w:val="4"/>
            </w:pPr>
            <w:r>
              <w:t>支持操作配置功能，提供各种操作按钮的定义，例如提交、审批、退回等，以及相关操作的触发条件和后续处理，使得用户能够方便地进行流程操作和数据处理。</w:t>
            </w:r>
            <w:r>
              <w:br w:type="textWrapping"/>
            </w:r>
          </w:p>
          <w:p w14:paraId="2D69C263">
            <w:pPr>
              <w:pStyle w:val="4"/>
            </w:pPr>
            <w:r>
              <w:t>支持导出配置选项，允许管理员定义导出的格式和字段，以及导出操作的权限控制，方便用户将流程数据导出到其他系统进行分析和处理。</w:t>
            </w:r>
            <w:r>
              <w:br w:type="textWrapping"/>
            </w:r>
          </w:p>
          <w:p w14:paraId="2B14802B">
            <w:pPr>
              <w:pStyle w:val="4"/>
            </w:pPr>
            <w:r>
              <w:t>支持查询配置功能，提供强大的查询选项，包括条件筛选、排序和分页等，以便管理员能够快速检索所需的流程数据。</w:t>
            </w:r>
            <w:r>
              <w:br w:type="textWrapping"/>
            </w:r>
          </w:p>
          <w:p w14:paraId="245E3B96">
            <w:pPr>
              <w:pStyle w:val="4"/>
            </w:pPr>
            <w:r>
              <w:t>支持菜单配置，管理员可以定义流程列表在菜单中的位置、菜单项的显示和权限控制，实现用户对流程列表的方便访问和浏览。</w:t>
            </w:r>
            <w:r>
              <w:br w:type="textWrapping"/>
            </w:r>
          </w:p>
          <w:p w14:paraId="614E49D3">
            <w:pPr>
              <w:pStyle w:val="4"/>
            </w:pPr>
            <w:r>
              <w:t>⑤框架页自定义设计</w:t>
            </w:r>
            <w:r>
              <w:br w:type="textWrapping"/>
            </w:r>
          </w:p>
          <w:p w14:paraId="4A6D7EDA">
            <w:pPr>
              <w:pStyle w:val="4"/>
            </w:pPr>
            <w:r>
              <w:t>支持框架页设计器，通过域名配置、路径配置、请求参数配置、动态参数配置、菜单配置等操作，能够完成高度定制化的框架页设计。</w:t>
            </w:r>
            <w:r>
              <w:br w:type="textWrapping"/>
            </w:r>
          </w:p>
          <w:p w14:paraId="25118F4D">
            <w:pPr>
              <w:pStyle w:val="4"/>
            </w:pPr>
            <w:r>
              <w:t>支持域名配置，管理员可以指定不同的域名与框架页进行关联，使得用户能够通过不同的域名访问到特定的框架页。</w:t>
            </w:r>
            <w:r>
              <w:br w:type="textWrapping"/>
            </w:r>
          </w:p>
          <w:p w14:paraId="3F36FFC1">
            <w:pPr>
              <w:pStyle w:val="4"/>
            </w:pPr>
            <w:r>
              <w:t>支持路径配置功能，允许管理员定义不同路径下的框架页布局和内容，使得用户能够根据路径的不同获取不同的页面展示。</w:t>
            </w:r>
            <w:r>
              <w:br w:type="textWrapping"/>
            </w:r>
          </w:p>
          <w:p w14:paraId="6DDA383C">
            <w:pPr>
              <w:pStyle w:val="4"/>
            </w:pPr>
            <w:r>
              <w:t>支持请求参数配置，管理员能够设置框架页接收的请求参数，以便根据参数的不同动态展示页面内容，满足个性化需求。</w:t>
            </w:r>
            <w:r>
              <w:br w:type="textWrapping"/>
            </w:r>
          </w:p>
          <w:p w14:paraId="138AD676">
            <w:pPr>
              <w:pStyle w:val="4"/>
            </w:pPr>
            <w:r>
              <w:t>支持动态参数配置选项，允许管理员定义框架页中的动态参数，使得页面能够根据参数的变化自动更新内容，提供更加动态和实时的用户体验。</w:t>
            </w:r>
            <w:r>
              <w:br w:type="textWrapping"/>
            </w:r>
          </w:p>
          <w:p w14:paraId="4D06EC9D">
            <w:pPr>
              <w:pStyle w:val="4"/>
            </w:pPr>
            <w:r>
              <w:t>支持菜单配置，提供灵活的菜单项定义和权限控制，管理员可以根据需要配置框架页在菜单中的位置、显示方式和权限限制，使得用户能够方便地访问和浏览框架页。</w:t>
            </w:r>
            <w:r>
              <w:br w:type="textWrapping"/>
            </w:r>
          </w:p>
          <w:p w14:paraId="7F48607F">
            <w:pPr>
              <w:pStyle w:val="4"/>
            </w:pPr>
            <w:r>
              <w:t>⑥报表自定义设计</w:t>
            </w:r>
            <w:r>
              <w:br w:type="textWrapping"/>
            </w:r>
          </w:p>
          <w:p w14:paraId="6FAF9B9D">
            <w:pPr>
              <w:pStyle w:val="4"/>
            </w:pPr>
            <w:r>
              <w:t>支持报表设计器，结合业务需求，能够轻松进行新增或修改现有报表的设计。</w:t>
            </w:r>
            <w:r>
              <w:br w:type="textWrapping"/>
            </w:r>
          </w:p>
          <w:p w14:paraId="5A0D139C">
            <w:pPr>
              <w:pStyle w:val="4"/>
            </w:pPr>
            <w:r>
              <w:t>报表设计器提供丰富的工具和选项，使管理员能够灵活地定义报表的布局、数据源和展示方式，以满足业务数据统计和明细数据报表开发的需求。</w:t>
            </w:r>
            <w:r>
              <w:br w:type="textWrapping"/>
            </w:r>
          </w:p>
          <w:p w14:paraId="0BBCA737">
            <w:pPr>
              <w:pStyle w:val="4"/>
            </w:pPr>
            <w:r>
              <w:t>支持管理员选择适当的数据源，并根据业务需求选择需要的字段和指标进行统计和分析。</w:t>
            </w:r>
            <w:r>
              <w:br w:type="textWrapping"/>
            </w:r>
          </w:p>
          <w:p w14:paraId="5D803148">
            <w:pPr>
              <w:pStyle w:val="4"/>
            </w:pPr>
            <w:r>
              <w:t>支持通过报表设计器提供的丰富的数据展示选项，管理员能够选择合适的图表类型、表格布局和数据格式，以便清晰而直观地呈现数据。</w:t>
            </w:r>
            <w:r>
              <w:br w:type="textWrapping"/>
            </w:r>
          </w:p>
          <w:p w14:paraId="76791B7B">
            <w:pPr>
              <w:pStyle w:val="4"/>
            </w:pPr>
            <w:r>
              <w:t>报表设计器支持将报表导出为常用的文档格式，例如：Excel、PDF、Word、WPS等。</w:t>
            </w:r>
            <w:r>
              <w:br w:type="textWrapping"/>
            </w:r>
          </w:p>
          <w:p w14:paraId="642EFA83">
            <w:pPr>
              <w:pStyle w:val="4"/>
            </w:pPr>
            <w:r>
              <w:t>（6）系统管理</w:t>
            </w:r>
            <w:r>
              <w:br w:type="textWrapping"/>
            </w:r>
          </w:p>
          <w:p w14:paraId="6455ECE5">
            <w:pPr>
              <w:pStyle w:val="4"/>
            </w:pPr>
            <w:r>
              <w:t>支持对智慧服务支撑平台的使用人员和访问权限信息进行维护管理，包括：成员管理、组、权限管理。</w:t>
            </w:r>
          </w:p>
        </w:tc>
      </w:tr>
      <w:tr w14:paraId="54EB9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8D1CF0"/>
        </w:tc>
        <w:tc>
          <w:tcPr>
            <w:tcW w:w="2769" w:type="dxa"/>
          </w:tcPr>
          <w:p w14:paraId="3AE309EB">
            <w:pPr>
              <w:pStyle w:val="4"/>
              <w:jc w:val="center"/>
            </w:pPr>
            <w:r>
              <w:t>6</w:t>
            </w:r>
          </w:p>
        </w:tc>
        <w:tc>
          <w:tcPr>
            <w:tcW w:w="2769" w:type="dxa"/>
          </w:tcPr>
          <w:p w14:paraId="6EE045D4">
            <w:pPr>
              <w:pStyle w:val="4"/>
            </w:pPr>
            <w:r>
              <w:t>物联管控平台</w:t>
            </w:r>
            <w:r>
              <w:br w:type="textWrapping"/>
            </w:r>
          </w:p>
          <w:p w14:paraId="1BE84295">
            <w:pPr>
              <w:pStyle w:val="4"/>
            </w:pPr>
            <w:r>
              <w:t>物联管控平台是整个智慧校园环境感知基础，通过管理物联设备及物联网关，实时采集物联数据，实现对校园全方位感知和控制。具体物联设备对象包括学校所有门禁设备、车辆行人通行设备、安防监控设备、教学训练监控设备、训练器械、智慧教室教学设备如智慧黑板、智能考核设备、温湿度传感器等环境监测设备等。</w:t>
            </w:r>
            <w:r>
              <w:br w:type="textWrapping"/>
            </w:r>
          </w:p>
          <w:p w14:paraId="6736049F">
            <w:pPr>
              <w:pStyle w:val="4"/>
            </w:pPr>
            <w:r>
              <w:t>（1）设备连接与管理</w:t>
            </w:r>
            <w:r>
              <w:br w:type="textWrapping"/>
            </w:r>
          </w:p>
          <w:p w14:paraId="76928514">
            <w:pPr>
              <w:pStyle w:val="4"/>
            </w:pPr>
            <w:r>
              <w:t>①设备注册</w:t>
            </w:r>
            <w:r>
              <w:br w:type="textWrapping"/>
            </w:r>
          </w:p>
          <w:p w14:paraId="2C917FFA">
            <w:pPr>
              <w:pStyle w:val="4"/>
            </w:pPr>
            <w:r>
              <w:t>支持设备注册流程验证设备身份。</w:t>
            </w:r>
            <w:r>
              <w:br w:type="textWrapping"/>
            </w:r>
          </w:p>
          <w:p w14:paraId="2CB98E52">
            <w:pPr>
              <w:pStyle w:val="4"/>
            </w:pPr>
            <w:r>
              <w:t>②设备认证</w:t>
            </w:r>
            <w:r>
              <w:br w:type="textWrapping"/>
            </w:r>
          </w:p>
          <w:p w14:paraId="5CD7075C">
            <w:pPr>
              <w:pStyle w:val="4"/>
            </w:pPr>
            <w:r>
              <w:t>支持设备认证流程验证设备权限。</w:t>
            </w:r>
            <w:r>
              <w:br w:type="textWrapping"/>
            </w:r>
          </w:p>
          <w:p w14:paraId="69692D1B">
            <w:pPr>
              <w:pStyle w:val="4"/>
            </w:pPr>
            <w:r>
              <w:t>（2）数据采集与存储</w:t>
            </w:r>
            <w:r>
              <w:br w:type="textWrapping"/>
            </w:r>
          </w:p>
          <w:p w14:paraId="37A34C58">
            <w:pPr>
              <w:pStyle w:val="4"/>
            </w:pPr>
            <w:r>
              <w:t>①数据采集协议</w:t>
            </w:r>
            <w:r>
              <w:br w:type="textWrapping"/>
            </w:r>
          </w:p>
          <w:p w14:paraId="36D55CA9">
            <w:pPr>
              <w:pStyle w:val="4"/>
            </w:pPr>
            <w:r>
              <w:t>支持常用的物联网数据采集协议。</w:t>
            </w:r>
            <w:r>
              <w:br w:type="textWrapping"/>
            </w:r>
          </w:p>
          <w:p w14:paraId="29D983CE">
            <w:pPr>
              <w:pStyle w:val="4"/>
            </w:pPr>
            <w:r>
              <w:t>②数据存储与管理</w:t>
            </w:r>
            <w:r>
              <w:br w:type="textWrapping"/>
            </w:r>
          </w:p>
          <w:p w14:paraId="273CDA21">
            <w:pPr>
              <w:pStyle w:val="4"/>
            </w:pPr>
            <w:r>
              <w:t>支持可扩展的数据存储架构，支持大规模设备数据的高效存储和管理。</w:t>
            </w:r>
            <w:r>
              <w:br w:type="textWrapping"/>
            </w:r>
          </w:p>
          <w:p w14:paraId="483350E9">
            <w:pPr>
              <w:pStyle w:val="4"/>
            </w:pPr>
            <w:r>
              <w:t>（3）远程监测与控制</w:t>
            </w:r>
            <w:r>
              <w:br w:type="textWrapping"/>
            </w:r>
          </w:p>
          <w:p w14:paraId="0338FC8F">
            <w:pPr>
              <w:pStyle w:val="4"/>
            </w:pPr>
            <w:r>
              <w:t>①实时数据展示</w:t>
            </w:r>
            <w:r>
              <w:br w:type="textWrapping"/>
            </w:r>
          </w:p>
          <w:p w14:paraId="3142E437">
            <w:pPr>
              <w:pStyle w:val="4"/>
            </w:pPr>
            <w:r>
              <w:t>支持可视化的实时数据展示界面，以图表、仪表盘等形式展示设备的实时数据。</w:t>
            </w:r>
            <w:r>
              <w:br w:type="textWrapping"/>
            </w:r>
          </w:p>
          <w:p w14:paraId="18B3BEF8">
            <w:pPr>
              <w:pStyle w:val="4"/>
            </w:pPr>
            <w:r>
              <w:t>②远程控制功能</w:t>
            </w:r>
            <w:r>
              <w:br w:type="textWrapping"/>
            </w:r>
          </w:p>
          <w:p w14:paraId="3B1D75AE">
            <w:pPr>
              <w:pStyle w:val="4"/>
            </w:pPr>
            <w:r>
              <w:t>支持通过平台远程控制设备，如远程开关、参数调整等操作。</w:t>
            </w:r>
            <w:r>
              <w:br w:type="textWrapping"/>
            </w:r>
          </w:p>
          <w:p w14:paraId="46750195">
            <w:pPr>
              <w:pStyle w:val="4"/>
            </w:pPr>
            <w:r>
              <w:t>（4）告警与异常处理</w:t>
            </w:r>
            <w:r>
              <w:br w:type="textWrapping"/>
            </w:r>
          </w:p>
          <w:p w14:paraId="3F03C187">
            <w:pPr>
              <w:pStyle w:val="4"/>
            </w:pPr>
            <w:r>
              <w:t>①告警设置与管理</w:t>
            </w:r>
            <w:r>
              <w:br w:type="textWrapping"/>
            </w:r>
          </w:p>
          <w:p w14:paraId="3A8782C6">
            <w:pPr>
              <w:pStyle w:val="4"/>
            </w:pPr>
            <w:r>
              <w:t>支持设置设备状态阈值，并配置告警规则。</w:t>
            </w:r>
            <w:r>
              <w:br w:type="textWrapping"/>
            </w:r>
          </w:p>
          <w:p w14:paraId="7A215364">
            <w:pPr>
              <w:pStyle w:val="4"/>
            </w:pPr>
            <w:r>
              <w:t>②异常处理与故障排查</w:t>
            </w:r>
            <w:r>
              <w:br w:type="textWrapping"/>
            </w:r>
          </w:p>
          <w:p w14:paraId="45E7DF5E">
            <w:pPr>
              <w:pStyle w:val="4"/>
            </w:pPr>
            <w:r>
              <w:t>支持异常处理流程、故障排查和故障解决方案等功能。</w:t>
            </w:r>
            <w:r>
              <w:br w:type="textWrapping"/>
            </w:r>
          </w:p>
          <w:p w14:paraId="54DC8499">
            <w:pPr>
              <w:pStyle w:val="4"/>
            </w:pPr>
            <w:r>
              <w:t>（5）扩展与集成接口</w:t>
            </w:r>
            <w:r>
              <w:br w:type="textWrapping"/>
            </w:r>
          </w:p>
          <w:p w14:paraId="67CAA0EE">
            <w:pPr>
              <w:pStyle w:val="4"/>
            </w:pPr>
            <w:r>
              <w:t>①设备接入接口</w:t>
            </w:r>
            <w:r>
              <w:br w:type="textWrapping"/>
            </w:r>
          </w:p>
          <w:p w14:paraId="2A28FB10">
            <w:pPr>
              <w:pStyle w:val="4"/>
            </w:pPr>
            <w:r>
              <w:t>提供灵活的设备接入接口，支持不同类型的设备接入和集成，如传感器、执行器、网关等。</w:t>
            </w:r>
            <w:r>
              <w:br w:type="textWrapping"/>
            </w:r>
          </w:p>
          <w:p w14:paraId="468C5EF8">
            <w:pPr>
              <w:pStyle w:val="4"/>
            </w:pPr>
            <w:r>
              <w:t>②开放API</w:t>
            </w:r>
            <w:r>
              <w:br w:type="textWrapping"/>
            </w:r>
          </w:p>
          <w:p w14:paraId="178ECC86">
            <w:pPr>
              <w:pStyle w:val="4"/>
            </w:pPr>
            <w:r>
              <w:t>提供开放API，方便开发者进行二次开发和定制化，实现与其他系统的集成和互联互通。</w:t>
            </w:r>
            <w:r>
              <w:br w:type="textWrapping"/>
            </w:r>
          </w:p>
          <w:p w14:paraId="01316449">
            <w:pPr>
              <w:pStyle w:val="4"/>
            </w:pPr>
            <w:r>
              <w:t>③第三方应用支持</w:t>
            </w:r>
            <w:r>
              <w:br w:type="textWrapping"/>
            </w:r>
          </w:p>
          <w:p w14:paraId="7070E971">
            <w:pPr>
              <w:pStyle w:val="4"/>
            </w:pPr>
            <w:r>
              <w:t>支持第三方应用的接入和集成，允许用户扩展平台功能，提供更多的服务和应用。</w:t>
            </w:r>
          </w:p>
        </w:tc>
      </w:tr>
      <w:tr w14:paraId="63027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23901B"/>
        </w:tc>
        <w:tc>
          <w:tcPr>
            <w:tcW w:w="2769" w:type="dxa"/>
          </w:tcPr>
          <w:p w14:paraId="60B27A90">
            <w:pPr>
              <w:pStyle w:val="4"/>
              <w:jc w:val="center"/>
            </w:pPr>
            <w:r>
              <w:t>7</w:t>
            </w:r>
          </w:p>
        </w:tc>
        <w:tc>
          <w:tcPr>
            <w:tcW w:w="2769" w:type="dxa"/>
          </w:tcPr>
          <w:p w14:paraId="17579973">
            <w:pPr>
              <w:pStyle w:val="4"/>
            </w:pPr>
            <w:r>
              <w:t>电子签章服务</w:t>
            </w:r>
            <w:r>
              <w:br w:type="textWrapping"/>
            </w:r>
          </w:p>
          <w:p w14:paraId="7728B8DB">
            <w:pPr>
              <w:pStyle w:val="4"/>
            </w:pPr>
            <w:r>
              <w:t>（1）签章服务</w:t>
            </w:r>
            <w:r>
              <w:br w:type="textWrapping"/>
            </w:r>
          </w:p>
          <w:p w14:paraId="6ECF70FE">
            <w:pPr>
              <w:pStyle w:val="4"/>
            </w:pPr>
            <w:r>
              <w:t>①基本功能</w:t>
            </w:r>
            <w:r>
              <w:br w:type="textWrapping"/>
            </w:r>
          </w:p>
          <w:p w14:paraId="53C4DDFF">
            <w:pPr>
              <w:pStyle w:val="4"/>
            </w:pPr>
            <w:r>
              <w:t>提供制章、盖章、验章功能，提供单位签章及个人签章；；支持与版式软件集成，提供盖章、验章功能；支持在线模式、离线模式验章；支持采购方确定的专用密码算法；支持USB签章Key；</w:t>
            </w:r>
            <w:r>
              <w:br w:type="textWrapping"/>
            </w:r>
          </w:p>
          <w:p w14:paraId="4478D662">
            <w:pPr>
              <w:pStyle w:val="4"/>
            </w:pPr>
            <w:r>
              <w:t>②自主可控</w:t>
            </w:r>
            <w:r>
              <w:br w:type="textWrapping"/>
            </w:r>
          </w:p>
          <w:p w14:paraId="6988F035">
            <w:pPr>
              <w:pStyle w:val="4"/>
            </w:pPr>
            <w:r>
              <w:t>支持国产主流操作系统；支持国产主流处理器；支持至少一种关键软硬件自主可控产品名录中的数据库管理系统；</w:t>
            </w:r>
            <w:r>
              <w:br w:type="textWrapping"/>
            </w:r>
          </w:p>
          <w:p w14:paraId="52026AA3">
            <w:pPr>
              <w:pStyle w:val="4"/>
            </w:pPr>
            <w:r>
              <w:t>③制章管理</w:t>
            </w:r>
            <w:r>
              <w:br w:type="textWrapping"/>
            </w:r>
          </w:p>
          <w:p w14:paraId="55EC0054">
            <w:pPr>
              <w:pStyle w:val="4"/>
            </w:pPr>
            <w:r>
              <w:t>提供电子印章的制作申请、审批流转、制章信息登记和管理维护、状态发布等功能；</w:t>
            </w:r>
            <w:r>
              <w:br w:type="textWrapping"/>
            </w:r>
          </w:p>
          <w:p w14:paraId="03F3E14F">
            <w:pPr>
              <w:pStyle w:val="4"/>
            </w:pPr>
            <w:r>
              <w:t>④印章发放</w:t>
            </w:r>
            <w:r>
              <w:br w:type="textWrapping"/>
            </w:r>
          </w:p>
          <w:p w14:paraId="73320DB0">
            <w:pPr>
              <w:pStyle w:val="4"/>
            </w:pPr>
            <w:r>
              <w:t>提供对印章分发的信息进行登记以及登记信息的管理；</w:t>
            </w:r>
            <w:r>
              <w:br w:type="textWrapping"/>
            </w:r>
          </w:p>
          <w:p w14:paraId="6F5F76F6">
            <w:pPr>
              <w:pStyle w:val="4"/>
            </w:pPr>
            <w:r>
              <w:t>⑤印章信息管理</w:t>
            </w:r>
            <w:r>
              <w:br w:type="textWrapping"/>
            </w:r>
          </w:p>
          <w:p w14:paraId="1100F146">
            <w:pPr>
              <w:pStyle w:val="4"/>
            </w:pPr>
            <w:r>
              <w:t>提供对印章属性信息、状态信息、关联信息进行管理，实现对发放的印章信息进行管理，以及印章的使用时效和状态进行控制；</w:t>
            </w:r>
            <w:r>
              <w:br w:type="textWrapping"/>
            </w:r>
          </w:p>
          <w:p w14:paraId="21300349">
            <w:pPr>
              <w:pStyle w:val="4"/>
            </w:pPr>
            <w:r>
              <w:t>⑥印章吊销</w:t>
            </w:r>
            <w:r>
              <w:br w:type="textWrapping"/>
            </w:r>
          </w:p>
          <w:p w14:paraId="6B43F423">
            <w:pPr>
              <w:pStyle w:val="4"/>
            </w:pPr>
            <w:r>
              <w:t>提供对印章使用状态的维护，实现对印章可用性的控制管理；</w:t>
            </w:r>
            <w:r>
              <w:br w:type="textWrapping"/>
            </w:r>
          </w:p>
          <w:p w14:paraId="6B42C289">
            <w:pPr>
              <w:pStyle w:val="4"/>
            </w:pPr>
            <w:r>
              <w:t>⑦印章销毁</w:t>
            </w:r>
            <w:r>
              <w:br w:type="textWrapping"/>
            </w:r>
          </w:p>
          <w:p w14:paraId="16C6EA8D">
            <w:pPr>
              <w:pStyle w:val="4"/>
            </w:pPr>
            <w:r>
              <w:t>提供对电子印章信息的销毁，实现对已发放的电子印章的彻底删除；</w:t>
            </w:r>
            <w:r>
              <w:br w:type="textWrapping"/>
            </w:r>
          </w:p>
          <w:p w14:paraId="15E78B96">
            <w:pPr>
              <w:pStyle w:val="4"/>
            </w:pPr>
            <w:r>
              <w:t>⑧验章服务</w:t>
            </w:r>
            <w:r>
              <w:br w:type="textWrapping"/>
            </w:r>
          </w:p>
          <w:p w14:paraId="7A58106A">
            <w:pPr>
              <w:pStyle w:val="4"/>
            </w:pPr>
            <w:r>
              <w:t>提供电子印章真实性和完整性的验证服务，与电子公文应用系统进行数据交互，从而实现对电子公文真实性、完整性、有效性的验证；</w:t>
            </w:r>
            <w:r>
              <w:br w:type="textWrapping"/>
            </w:r>
          </w:p>
          <w:p w14:paraId="0F99511C">
            <w:pPr>
              <w:pStyle w:val="4"/>
            </w:pPr>
            <w:r>
              <w:t>⑨密码算法</w:t>
            </w:r>
            <w:r>
              <w:br w:type="textWrapping"/>
            </w:r>
          </w:p>
          <w:p w14:paraId="01E8D260">
            <w:pPr>
              <w:pStyle w:val="4"/>
            </w:pPr>
            <w:r>
              <w:t>能够与专用密码设备集成，支持数据的加密传输和加密存储功能。</w:t>
            </w:r>
            <w:r>
              <w:br w:type="textWrapping"/>
            </w:r>
          </w:p>
          <w:p w14:paraId="226BDC99">
            <w:pPr>
              <w:pStyle w:val="4"/>
            </w:pPr>
            <w:r>
              <w:t>（2）签章客户端</w:t>
            </w:r>
            <w:r>
              <w:br w:type="textWrapping"/>
            </w:r>
          </w:p>
          <w:p w14:paraId="23AF7922">
            <w:pPr>
              <w:pStyle w:val="4"/>
            </w:pPr>
            <w:r>
              <w:t>①版式软件支持</w:t>
            </w:r>
            <w:r>
              <w:br w:type="textWrapping"/>
            </w:r>
          </w:p>
          <w:p w14:paraId="18D35AA4">
            <w:pPr>
              <w:pStyle w:val="4"/>
            </w:pPr>
            <w:r>
              <w:t>支持与版式软件集成，提供盖章、验章功能；</w:t>
            </w:r>
            <w:r>
              <w:br w:type="textWrapping"/>
            </w:r>
          </w:p>
          <w:p w14:paraId="6CB9BEFA">
            <w:pPr>
              <w:pStyle w:val="4"/>
            </w:pPr>
            <w:r>
              <w:t>②支持USB签章Key</w:t>
            </w:r>
            <w:r>
              <w:br w:type="textWrapping"/>
            </w:r>
          </w:p>
          <w:p w14:paraId="426D3DE4">
            <w:pPr>
              <w:pStyle w:val="4"/>
            </w:pPr>
            <w:r>
              <w:t>通过与版式软件结合能够进行电子签章操作，并能够通过验章操作判断版式文件是否被篡改，保证版式文件内容的合法性。</w:t>
            </w:r>
          </w:p>
        </w:tc>
      </w:tr>
      <w:tr w14:paraId="43670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DDCE5F"/>
        </w:tc>
        <w:tc>
          <w:tcPr>
            <w:tcW w:w="2769" w:type="dxa"/>
          </w:tcPr>
          <w:p w14:paraId="5A594E43">
            <w:pPr>
              <w:pStyle w:val="4"/>
              <w:jc w:val="center"/>
            </w:pPr>
            <w:r>
              <w:t>8</w:t>
            </w:r>
          </w:p>
        </w:tc>
        <w:tc>
          <w:tcPr>
            <w:tcW w:w="2769" w:type="dxa"/>
          </w:tcPr>
          <w:p w14:paraId="68F75224">
            <w:pPr>
              <w:pStyle w:val="4"/>
            </w:pPr>
            <w:r>
              <w:t>校园轻应用</w:t>
            </w:r>
            <w:r>
              <w:br w:type="textWrapping"/>
            </w:r>
          </w:p>
          <w:p w14:paraId="1A5C7E07">
            <w:pPr>
              <w:pStyle w:val="4"/>
            </w:pPr>
            <w:r>
              <w:t>可借助微信小程序或者校园APP，实现消息推送、场地预约管理等不少于50个校园轻应用服务。</w:t>
            </w:r>
            <w:r>
              <w:br w:type="textWrapping"/>
            </w:r>
          </w:p>
          <w:p w14:paraId="220AB17F">
            <w:pPr>
              <w:pStyle w:val="4"/>
            </w:pPr>
            <w:r>
              <w:t>（1）账号注册与管理</w:t>
            </w:r>
            <w:r>
              <w:br w:type="textWrapping"/>
            </w:r>
          </w:p>
          <w:p w14:paraId="6E0840ED">
            <w:pPr>
              <w:pStyle w:val="4"/>
            </w:pPr>
            <w:r>
              <w:t>支持学员、教员和后勤人员等通过小程序进行账号注册，支持小程序导入个人信息，支持用户选择账号类型。</w:t>
            </w:r>
            <w:r>
              <w:br w:type="textWrapping"/>
            </w:r>
          </w:p>
          <w:p w14:paraId="392BFDBB">
            <w:pPr>
              <w:pStyle w:val="4"/>
            </w:pPr>
            <w:r>
              <w:t>支持用户信息验证，如果验证通过，生成唯一的用户标识。</w:t>
            </w:r>
            <w:r>
              <w:br w:type="textWrapping"/>
            </w:r>
          </w:p>
          <w:p w14:paraId="12A454A9">
            <w:pPr>
              <w:pStyle w:val="4"/>
            </w:pPr>
            <w:r>
              <w:t>用户可以通过小程序进行个人账号信息的修改，包括但不仅限于名称、密码、绑定的手机号、用户类型等。</w:t>
            </w:r>
            <w:r>
              <w:br w:type="textWrapping"/>
            </w:r>
          </w:p>
          <w:p w14:paraId="2E6B7E1F">
            <w:pPr>
              <w:pStyle w:val="4"/>
            </w:pPr>
            <w:r>
              <w:t>支持内网身份认证信息同步导入，实施账号安全策略，包括账号锁定机制和密码强度检查，以提高账号的安全性。</w:t>
            </w:r>
            <w:r>
              <w:br w:type="textWrapping"/>
            </w:r>
          </w:p>
          <w:p w14:paraId="48E323F0">
            <w:pPr>
              <w:pStyle w:val="4"/>
            </w:pPr>
            <w:r>
              <w:t>（2）账号密码登录</w:t>
            </w:r>
            <w:r>
              <w:br w:type="textWrapping"/>
            </w:r>
          </w:p>
          <w:p w14:paraId="7BE51D0C">
            <w:pPr>
              <w:pStyle w:val="4"/>
            </w:pPr>
            <w:r>
              <w:t>支持通过账号与密码进行登录，登录成功后，自动加载个人先关信息及功能模块。</w:t>
            </w:r>
            <w:r>
              <w:br w:type="textWrapping"/>
            </w:r>
          </w:p>
          <w:p w14:paraId="62691795">
            <w:pPr>
              <w:pStyle w:val="4"/>
            </w:pPr>
            <w:r>
              <w:t>支持短信验证码登录的安全性措施，如验证码有效期限制、错误次数限制等，以增加系统的安全性。</w:t>
            </w:r>
            <w:r>
              <w:br w:type="textWrapping"/>
            </w:r>
          </w:p>
          <w:p w14:paraId="487961ED">
            <w:pPr>
              <w:pStyle w:val="4"/>
            </w:pPr>
            <w:r>
              <w:t>（3）短信验证码登录</w:t>
            </w:r>
            <w:r>
              <w:br w:type="textWrapping"/>
            </w:r>
          </w:p>
          <w:p w14:paraId="138D5BF4">
            <w:pPr>
              <w:pStyle w:val="4"/>
            </w:pPr>
            <w:r>
              <w:t>支持短信验证码登录功能。</w:t>
            </w:r>
            <w:r>
              <w:br w:type="textWrapping"/>
            </w:r>
          </w:p>
          <w:p w14:paraId="12D5E49E">
            <w:pPr>
              <w:pStyle w:val="4"/>
            </w:pPr>
            <w:r>
              <w:t>（4）第三方账号登录</w:t>
            </w:r>
            <w:r>
              <w:br w:type="textWrapping"/>
            </w:r>
          </w:p>
          <w:p w14:paraId="2FDD202C">
            <w:pPr>
              <w:pStyle w:val="4"/>
            </w:pPr>
            <w:r>
              <w:t>支持第三方账号（如微信、QQ）等进行登录。</w:t>
            </w:r>
            <w:r>
              <w:br w:type="textWrapping"/>
            </w:r>
          </w:p>
          <w:p w14:paraId="6CFF87D1">
            <w:pPr>
              <w:pStyle w:val="4"/>
            </w:pPr>
            <w:r>
              <w:t>支持在小程序中绑定第三方账号，并授权给小程序访问相关信息的权限。</w:t>
            </w:r>
            <w:r>
              <w:br w:type="textWrapping"/>
            </w:r>
          </w:p>
          <w:p w14:paraId="00BEBFFF">
            <w:pPr>
              <w:pStyle w:val="4"/>
            </w:pPr>
            <w:r>
              <w:t>（5）单点登录</w:t>
            </w:r>
            <w:r>
              <w:br w:type="textWrapping"/>
            </w:r>
          </w:p>
          <w:p w14:paraId="7B83A8B3">
            <w:pPr>
              <w:pStyle w:val="4"/>
            </w:pPr>
            <w:r>
              <w:t>支持登录成功后，访问其他应用系统，无需再次输入账号密码。</w:t>
            </w:r>
            <w:r>
              <w:br w:type="textWrapping"/>
            </w:r>
          </w:p>
          <w:p w14:paraId="7519A9EB">
            <w:pPr>
              <w:pStyle w:val="4"/>
            </w:pPr>
            <w:r>
              <w:t>支持会话保持机制，保持用户登录状态，确保用户在访问关联应用时不需要重新登录。</w:t>
            </w:r>
            <w:r>
              <w:br w:type="textWrapping"/>
            </w:r>
          </w:p>
          <w:p w14:paraId="1A3A58E4">
            <w:pPr>
              <w:pStyle w:val="4"/>
            </w:pPr>
            <w:r>
              <w:t>支持用户注销或安全退出的功能，确保用户在需要时能够安全地结束单点登录会话。</w:t>
            </w:r>
            <w:r>
              <w:br w:type="textWrapping"/>
            </w:r>
          </w:p>
          <w:p w14:paraId="69B23DEB">
            <w:pPr>
              <w:pStyle w:val="4"/>
            </w:pPr>
            <w:r>
              <w:t>（6）安全策略与风险控制</w:t>
            </w:r>
            <w:r>
              <w:br w:type="textWrapping"/>
            </w:r>
          </w:p>
          <w:p w14:paraId="66E5566D">
            <w:pPr>
              <w:pStyle w:val="4"/>
            </w:pPr>
            <w:r>
              <w:t>支持密码强度检测、多次登录失败锁定、账号异常行为检测等，以及时发现潜在的安全风险。</w:t>
            </w:r>
            <w:r>
              <w:br w:type="textWrapping"/>
            </w:r>
          </w:p>
          <w:p w14:paraId="70055441">
            <w:pPr>
              <w:pStyle w:val="4"/>
            </w:pPr>
            <w:r>
              <w:t>密码必须采用加密算法进行传输与存储。</w:t>
            </w:r>
            <w:r>
              <w:br w:type="textWrapping"/>
            </w:r>
          </w:p>
          <w:p w14:paraId="1433235E">
            <w:pPr>
              <w:pStyle w:val="4"/>
            </w:pPr>
            <w:r>
              <w:t>（7）忘记密码与账号恢复</w:t>
            </w:r>
            <w:r>
              <w:br w:type="textWrapping"/>
            </w:r>
          </w:p>
          <w:p w14:paraId="74A6DB5E">
            <w:pPr>
              <w:pStyle w:val="4"/>
            </w:pPr>
            <w:r>
              <w:t>支持通过手机号、邮箱等多种方式来重置账号与密码。</w:t>
            </w:r>
            <w:r>
              <w:br w:type="textWrapping"/>
            </w:r>
          </w:p>
          <w:p w14:paraId="301D1666">
            <w:pPr>
              <w:pStyle w:val="4"/>
            </w:pPr>
            <w:r>
              <w:t>（8）学术资源与教学</w:t>
            </w:r>
            <w:r>
              <w:br w:type="textWrapping"/>
            </w:r>
          </w:p>
          <w:p w14:paraId="23CFF22A">
            <w:pPr>
              <w:pStyle w:val="4"/>
            </w:pPr>
            <w:r>
              <w:t>对接学术资源库，包括但不仅限于学术期刊、论文、学术会议等相关文献和资料。</w:t>
            </w:r>
            <w:r>
              <w:br w:type="textWrapping"/>
            </w:r>
          </w:p>
          <w:p w14:paraId="5997D3EC">
            <w:pPr>
              <w:pStyle w:val="4"/>
            </w:pPr>
            <w:r>
              <w:t>支持用户通过小程序进行浏览、搜索学术资源，并进行在线阅读或下载。</w:t>
            </w:r>
            <w:r>
              <w:br w:type="textWrapping"/>
            </w:r>
          </w:p>
          <w:p w14:paraId="7C1D0238">
            <w:pPr>
              <w:pStyle w:val="4"/>
            </w:pPr>
            <w:r>
              <w:t>（9）信息交互与通知</w:t>
            </w:r>
            <w:r>
              <w:br w:type="textWrapping"/>
            </w:r>
          </w:p>
          <w:p w14:paraId="67D9B6B9">
            <w:pPr>
              <w:pStyle w:val="4"/>
            </w:pPr>
            <w:r>
              <w:t>支持消息推送功能，推送的内容包括但不仅限于新的消息及提醒、学术资源更新、维修进度更新等。</w:t>
            </w:r>
            <w:r>
              <w:br w:type="textWrapping"/>
            </w:r>
          </w:p>
          <w:p w14:paraId="0A1BDC50">
            <w:pPr>
              <w:pStyle w:val="4"/>
            </w:pPr>
            <w:r>
              <w:t>支持学术资源的订阅与收藏功能，用户可定期获取感兴趣的学术内容。</w:t>
            </w:r>
            <w:r>
              <w:br w:type="textWrapping"/>
            </w:r>
          </w:p>
          <w:p w14:paraId="75649E83">
            <w:pPr>
              <w:pStyle w:val="4"/>
            </w:pPr>
            <w:r>
              <w:t>支持消息的发布，如课程安排、考试安排、监控安排等。</w:t>
            </w:r>
            <w:r>
              <w:br w:type="textWrapping"/>
            </w:r>
          </w:p>
          <w:p w14:paraId="40539D4A">
            <w:pPr>
              <w:pStyle w:val="4"/>
            </w:pPr>
            <w:r>
              <w:t>（10）资源预约与借用</w:t>
            </w:r>
            <w:r>
              <w:br w:type="textWrapping"/>
            </w:r>
          </w:p>
          <w:p w14:paraId="5099B20A">
            <w:pPr>
              <w:pStyle w:val="4"/>
            </w:pPr>
            <w:r>
              <w:t>支持浏览学校内的各种资源，包含但不仅限于教室、会议室、实验室等。支持特定搜索条件，如位置、类型、规格等。</w:t>
            </w:r>
            <w:r>
              <w:br w:type="textWrapping"/>
            </w:r>
          </w:p>
          <w:p w14:paraId="2A47D6D0">
            <w:pPr>
              <w:pStyle w:val="4"/>
            </w:pPr>
            <w:r>
              <w:t>支持预约申请，预约信息包括时间、目的、预计时长、使用者、联系方式等。管理员可以对预约进行审批，如果审批不通过，则填写审议意见。</w:t>
            </w:r>
            <w:r>
              <w:br w:type="textWrapping"/>
            </w:r>
          </w:p>
          <w:p w14:paraId="10C96175">
            <w:pPr>
              <w:pStyle w:val="4"/>
            </w:pPr>
            <w:r>
              <w:t>支持资源归还确认。</w:t>
            </w:r>
            <w:r>
              <w:br w:type="textWrapping"/>
            </w:r>
          </w:p>
          <w:p w14:paraId="4E420614">
            <w:pPr>
              <w:pStyle w:val="4"/>
            </w:pPr>
            <w:r>
              <w:t>支持查看资源占用冲突检测机制，防止资源被重复预约或借用。</w:t>
            </w:r>
            <w:r>
              <w:br w:type="textWrapping"/>
            </w:r>
          </w:p>
          <w:p w14:paraId="41279A69">
            <w:pPr>
              <w:pStyle w:val="4"/>
            </w:pPr>
            <w:r>
              <w:t>支持查看资源的使用规则和说明，包括使用时间、使用方法、注意事项等。</w:t>
            </w:r>
            <w:r>
              <w:br w:type="textWrapping"/>
            </w:r>
          </w:p>
          <w:p w14:paraId="2F2A5805">
            <w:pPr>
              <w:pStyle w:val="4"/>
            </w:pPr>
            <w:r>
              <w:t>支持查看个人的资源预约历史记录，能够对资源借用进行使用反馈和使用评价。</w:t>
            </w:r>
          </w:p>
        </w:tc>
      </w:tr>
      <w:tr w14:paraId="52916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C52E39"/>
        </w:tc>
        <w:tc>
          <w:tcPr>
            <w:tcW w:w="2769" w:type="dxa"/>
          </w:tcPr>
          <w:p w14:paraId="7606596C">
            <w:pPr>
              <w:pStyle w:val="4"/>
              <w:jc w:val="center"/>
            </w:pPr>
            <w:r>
              <w:t>9</w:t>
            </w:r>
          </w:p>
        </w:tc>
        <w:tc>
          <w:tcPr>
            <w:tcW w:w="2769" w:type="dxa"/>
          </w:tcPr>
          <w:p w14:paraId="637C1F93">
            <w:pPr>
              <w:pStyle w:val="4"/>
            </w:pPr>
            <w:r>
              <w:t>跨网个人文件同步系统</w:t>
            </w:r>
            <w:r>
              <w:br w:type="textWrapping"/>
            </w:r>
          </w:p>
          <w:p w14:paraId="558E4616">
            <w:pPr>
              <w:pStyle w:val="4"/>
            </w:pPr>
            <w:r>
              <w:t>该系统主要功能是实现从互联网个人终端到校园网个人空间的单向文件传递。</w:t>
            </w:r>
            <w:r>
              <w:br w:type="textWrapping"/>
            </w:r>
          </w:p>
          <w:p w14:paraId="3A7D04F7">
            <w:pPr>
              <w:pStyle w:val="4"/>
            </w:pPr>
            <w:r>
              <w:t>（1）具备跨网交换设备对接，内置接口调用程序，具备调用跨网传输设备接口实现文件跨网传输；具备对接的跨网隔离传输设备包含光盘摆渡、安全隔离与信息单向导入系统等；</w:t>
            </w:r>
            <w:r>
              <w:br w:type="textWrapping"/>
            </w:r>
          </w:p>
          <w:p w14:paraId="7B275E29">
            <w:pPr>
              <w:pStyle w:val="4"/>
            </w:pPr>
            <w:r>
              <w:t>（2）支持数据存储，利用服务器磁盘或存储设备的存储空间为用户分配独立的存储空间；</w:t>
            </w:r>
            <w:r>
              <w:br w:type="textWrapping"/>
            </w:r>
          </w:p>
          <w:p w14:paraId="1CE642A3">
            <w:pPr>
              <w:pStyle w:val="4"/>
            </w:pPr>
            <w:r>
              <w:t>（3）具备用户文件上传与下载，用户文件上传功能支持拖拽上传和选择文件路径上传，支持单文件或多文件批量上传；用户文件下载功能支持单文件或多文件批量下载；</w:t>
            </w:r>
            <w:r>
              <w:br w:type="textWrapping"/>
            </w:r>
          </w:p>
          <w:p w14:paraId="72783EC8">
            <w:pPr>
              <w:pStyle w:val="4"/>
            </w:pPr>
            <w:r>
              <w:t>（4）具备通过手机等移动终端上传文件，支持单文件或多文件批量上传。</w:t>
            </w:r>
          </w:p>
        </w:tc>
      </w:tr>
      <w:tr w14:paraId="29186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8AA711"/>
        </w:tc>
        <w:tc>
          <w:tcPr>
            <w:tcW w:w="2769" w:type="dxa"/>
          </w:tcPr>
          <w:p w14:paraId="25947816">
            <w:pPr>
              <w:pStyle w:val="4"/>
              <w:jc w:val="center"/>
            </w:pPr>
            <w:r>
              <w:t>10</w:t>
            </w:r>
          </w:p>
        </w:tc>
        <w:tc>
          <w:tcPr>
            <w:tcW w:w="2769" w:type="dxa"/>
          </w:tcPr>
          <w:p w14:paraId="30B04A10">
            <w:pPr>
              <w:pStyle w:val="4"/>
              <w:jc w:val="both"/>
            </w:pPr>
            <w:r>
              <w:rPr>
                <w:rFonts w:ascii="宋体" w:hAnsi="宋体" w:eastAsia="宋体" w:cs="宋体"/>
                <w:sz w:val="21"/>
              </w:rPr>
              <w:t>配套支撑软件功能概述</w:t>
            </w:r>
          </w:p>
          <w:p w14:paraId="7D261A52">
            <w:pPr>
              <w:pStyle w:val="4"/>
              <w:jc w:val="both"/>
            </w:pPr>
            <w:r>
              <w:rPr>
                <w:rFonts w:ascii="宋体" w:hAnsi="宋体" w:eastAsia="宋体" w:cs="宋体"/>
                <w:sz w:val="21"/>
              </w:rPr>
              <w:t>为保障项目正常运行和统一运维，重庆大学城校区提供不少于</w:t>
            </w:r>
            <w:r>
              <w:rPr>
                <w:rFonts w:ascii="Calibri" w:hAnsi="Calibri" w:eastAsia="Calibri" w:cs="Calibri"/>
                <w:sz w:val="21"/>
              </w:rPr>
              <w:t>6</w:t>
            </w:r>
            <w:r>
              <w:rPr>
                <w:rFonts w:ascii="宋体" w:hAnsi="宋体" w:eastAsia="宋体" w:cs="宋体"/>
                <w:sz w:val="21"/>
              </w:rPr>
              <w:t>套国产数据库管理系统、</w:t>
            </w:r>
            <w:r>
              <w:rPr>
                <w:rFonts w:ascii="Calibri" w:hAnsi="Calibri" w:eastAsia="Calibri" w:cs="Calibri"/>
                <w:sz w:val="21"/>
              </w:rPr>
              <w:t>3</w:t>
            </w:r>
            <w:r>
              <w:rPr>
                <w:rFonts w:ascii="宋体" w:hAnsi="宋体" w:eastAsia="宋体" w:cs="宋体"/>
                <w:sz w:val="21"/>
              </w:rPr>
              <w:t>套读写分离集群、</w:t>
            </w:r>
            <w:r>
              <w:rPr>
                <w:rFonts w:ascii="Calibri" w:hAnsi="Calibri" w:eastAsia="Calibri" w:cs="Calibri"/>
                <w:sz w:val="21"/>
              </w:rPr>
              <w:t>3</w:t>
            </w:r>
            <w:r>
              <w:rPr>
                <w:rFonts w:ascii="宋体" w:hAnsi="宋体" w:eastAsia="宋体" w:cs="宋体"/>
                <w:sz w:val="21"/>
              </w:rPr>
              <w:t>套分析型数据库、</w:t>
            </w:r>
            <w:r>
              <w:rPr>
                <w:rFonts w:ascii="Calibri" w:hAnsi="Calibri" w:eastAsia="Calibri" w:cs="Calibri"/>
                <w:sz w:val="21"/>
              </w:rPr>
              <w:t>5</w:t>
            </w:r>
            <w:r>
              <w:rPr>
                <w:rFonts w:ascii="宋体" w:hAnsi="宋体" w:eastAsia="宋体" w:cs="宋体"/>
                <w:sz w:val="21"/>
              </w:rPr>
              <w:t>套国产服务器操作系统、</w:t>
            </w:r>
            <w:r>
              <w:rPr>
                <w:rFonts w:ascii="Calibri" w:hAnsi="Calibri" w:eastAsia="Calibri" w:cs="Calibri"/>
                <w:sz w:val="21"/>
              </w:rPr>
              <w:t>5</w:t>
            </w:r>
            <w:r>
              <w:rPr>
                <w:rFonts w:ascii="宋体" w:hAnsi="宋体" w:eastAsia="宋体" w:cs="宋体"/>
                <w:sz w:val="21"/>
              </w:rPr>
              <w:t>套国产应用中间件、</w:t>
            </w:r>
            <w:r>
              <w:rPr>
                <w:rFonts w:ascii="Calibri" w:hAnsi="Calibri" w:eastAsia="Calibri" w:cs="Calibri"/>
                <w:sz w:val="21"/>
              </w:rPr>
              <w:t>1</w:t>
            </w:r>
            <w:r>
              <w:rPr>
                <w:rFonts w:ascii="宋体" w:hAnsi="宋体" w:eastAsia="宋体" w:cs="宋体"/>
                <w:sz w:val="21"/>
              </w:rPr>
              <w:t>套国产消息中间件；天津市河东校区、安徽蚌埠校区各提供不少于</w:t>
            </w:r>
            <w:r>
              <w:rPr>
                <w:rFonts w:ascii="Calibri" w:hAnsi="Calibri" w:eastAsia="Calibri" w:cs="Calibri"/>
                <w:sz w:val="21"/>
              </w:rPr>
              <w:t>1</w:t>
            </w:r>
            <w:r>
              <w:rPr>
                <w:rFonts w:ascii="宋体" w:hAnsi="宋体" w:eastAsia="宋体" w:cs="宋体"/>
                <w:sz w:val="21"/>
              </w:rPr>
              <w:t>套国产数据库管理系统、</w:t>
            </w:r>
            <w:r>
              <w:rPr>
                <w:rFonts w:ascii="Calibri" w:hAnsi="Calibri" w:eastAsia="Calibri" w:cs="Calibri"/>
                <w:sz w:val="21"/>
              </w:rPr>
              <w:t>1</w:t>
            </w:r>
            <w:r>
              <w:rPr>
                <w:rFonts w:ascii="宋体" w:hAnsi="宋体" w:eastAsia="宋体" w:cs="宋体"/>
                <w:sz w:val="21"/>
              </w:rPr>
              <w:t>套读写分离集群、</w:t>
            </w:r>
            <w:r>
              <w:rPr>
                <w:rFonts w:ascii="Calibri" w:hAnsi="Calibri" w:eastAsia="Calibri" w:cs="Calibri"/>
                <w:sz w:val="21"/>
              </w:rPr>
              <w:t>1</w:t>
            </w:r>
            <w:r>
              <w:rPr>
                <w:rFonts w:ascii="宋体" w:hAnsi="宋体" w:eastAsia="宋体" w:cs="宋体"/>
                <w:sz w:val="21"/>
              </w:rPr>
              <w:t>套国产服务器操作系统、</w:t>
            </w:r>
            <w:r>
              <w:rPr>
                <w:rFonts w:ascii="Calibri" w:hAnsi="Calibri" w:eastAsia="Calibri" w:cs="Calibri"/>
                <w:sz w:val="21"/>
              </w:rPr>
              <w:t>1</w:t>
            </w:r>
            <w:r>
              <w:rPr>
                <w:rFonts w:ascii="宋体" w:hAnsi="宋体" w:eastAsia="宋体" w:cs="宋体"/>
                <w:sz w:val="21"/>
              </w:rPr>
              <w:t>套国产应用中间件、</w:t>
            </w:r>
            <w:r>
              <w:rPr>
                <w:rFonts w:ascii="Calibri" w:hAnsi="Calibri" w:eastAsia="Calibri" w:cs="Calibri"/>
                <w:sz w:val="21"/>
              </w:rPr>
              <w:t>1</w:t>
            </w:r>
            <w:r>
              <w:rPr>
                <w:rFonts w:ascii="宋体" w:hAnsi="宋体" w:eastAsia="宋体" w:cs="宋体"/>
                <w:sz w:val="21"/>
              </w:rPr>
              <w:t>套国产消息中间件。</w:t>
            </w:r>
          </w:p>
          <w:p w14:paraId="061D166A">
            <w:pPr>
              <w:pStyle w:val="4"/>
              <w:jc w:val="both"/>
            </w:pPr>
            <w:r>
              <w:rPr>
                <w:rFonts w:ascii="宋体" w:hAnsi="宋体" w:eastAsia="宋体" w:cs="宋体"/>
                <w:sz w:val="21"/>
              </w:rPr>
              <w:t>（1）国产数据库管理系统</w:t>
            </w:r>
          </w:p>
          <w:p w14:paraId="02672581">
            <w:pPr>
              <w:pStyle w:val="4"/>
              <w:jc w:val="both"/>
            </w:pPr>
            <w:r>
              <w:rPr>
                <w:rFonts w:ascii="宋体" w:hAnsi="宋体" w:eastAsia="宋体" w:cs="宋体"/>
                <w:sz w:val="21"/>
              </w:rPr>
              <w:t>①数据库采用《名录》（作为补充文件线下领取）内数据库管理系统产品。</w:t>
            </w:r>
          </w:p>
          <w:p w14:paraId="7E0960EC">
            <w:pPr>
              <w:pStyle w:val="4"/>
              <w:jc w:val="both"/>
            </w:pPr>
            <w:r>
              <w:rPr>
                <w:rFonts w:ascii="宋体" w:hAnsi="宋体" w:eastAsia="宋体" w:cs="宋体"/>
                <w:sz w:val="21"/>
              </w:rPr>
              <w:t>②支持国产主流操作系统和处理器，支持本项目软件适配，提供不少于</w:t>
            </w:r>
            <w:r>
              <w:rPr>
                <w:rFonts w:ascii="Calibri" w:hAnsi="Calibri" w:eastAsia="Calibri" w:cs="Calibri"/>
                <w:sz w:val="21"/>
              </w:rPr>
              <w:t>2000</w:t>
            </w:r>
            <w:r>
              <w:rPr>
                <w:rFonts w:ascii="宋体" w:hAnsi="宋体" w:eastAsia="宋体" w:cs="宋体"/>
                <w:sz w:val="21"/>
              </w:rPr>
              <w:t>个连接数。</w:t>
            </w:r>
          </w:p>
          <w:p w14:paraId="1A92B53F">
            <w:pPr>
              <w:pStyle w:val="4"/>
              <w:jc w:val="both"/>
            </w:pPr>
            <w:r>
              <w:rPr>
                <w:rFonts w:ascii="宋体" w:hAnsi="宋体" w:eastAsia="宋体" w:cs="宋体"/>
                <w:sz w:val="21"/>
              </w:rPr>
              <w:t>③支持字符串、数值、时间日期、时间间隔</w:t>
            </w:r>
            <w:r>
              <w:rPr>
                <w:rFonts w:ascii="Calibri" w:hAnsi="Calibri" w:eastAsia="Calibri" w:cs="Calibri"/>
                <w:sz w:val="21"/>
              </w:rPr>
              <w:t>:</w:t>
            </w:r>
            <w:r>
              <w:rPr>
                <w:rFonts w:ascii="宋体" w:hAnsi="宋体" w:eastAsia="宋体" w:cs="宋体"/>
                <w:sz w:val="21"/>
              </w:rPr>
              <w:t>大对象、二进制字串等常用数据类型；支持索引，包括唯一索引、非唯一索引、</w:t>
            </w:r>
            <w:r>
              <w:rPr>
                <w:rFonts w:ascii="Calibri" w:hAnsi="Calibri" w:eastAsia="Calibri" w:cs="Calibri"/>
                <w:sz w:val="21"/>
              </w:rPr>
              <w:t>B-tree</w:t>
            </w:r>
            <w:r>
              <w:rPr>
                <w:rFonts w:ascii="宋体" w:hAnsi="宋体" w:eastAsia="宋体" w:cs="宋体"/>
                <w:sz w:val="21"/>
              </w:rPr>
              <w:t>索引、分区索引等常用索引类型，支持索引重建。</w:t>
            </w:r>
          </w:p>
          <w:p w14:paraId="23C560A1">
            <w:pPr>
              <w:pStyle w:val="4"/>
              <w:jc w:val="both"/>
            </w:pPr>
            <w:r>
              <w:rPr>
                <w:rFonts w:ascii="宋体" w:hAnsi="宋体" w:eastAsia="宋体" w:cs="宋体"/>
                <w:sz w:val="21"/>
              </w:rPr>
              <w:t>④提供图形化或命令行工具，支持数据库管理与维护、性能监控、数据库迁移、</w:t>
            </w:r>
            <w:r>
              <w:rPr>
                <w:rFonts w:ascii="Calibri" w:hAnsi="Calibri" w:eastAsia="Calibri" w:cs="Calibri"/>
                <w:sz w:val="21"/>
              </w:rPr>
              <w:t>SQL</w:t>
            </w:r>
            <w:r>
              <w:rPr>
                <w:rFonts w:ascii="宋体" w:hAnsi="宋体" w:eastAsia="宋体" w:cs="宋体"/>
                <w:sz w:val="21"/>
              </w:rPr>
              <w:t>执行等；</w:t>
            </w:r>
          </w:p>
          <w:p w14:paraId="3E53A698">
            <w:pPr>
              <w:pStyle w:val="4"/>
              <w:jc w:val="both"/>
            </w:pPr>
            <w:r>
              <w:rPr>
                <w:rFonts w:ascii="宋体" w:hAnsi="宋体" w:eastAsia="宋体" w:cs="宋体"/>
                <w:sz w:val="21"/>
              </w:rPr>
              <w:t>⑤支持双机热备，双机热备要求如下：提供主服务器故障时切换到备用服务器的能力；支持主服务器故障后的恢复，同时保证数据的一致性。数据库主备集群因意外情况中断服务（如机房整体断电），可在服务器重启后自动启动，在服务器启动顺序不可预估的场景下支持节点保持原有主备角色启动，无需人工介入。</w:t>
            </w:r>
          </w:p>
          <w:p w14:paraId="0489791C">
            <w:pPr>
              <w:pStyle w:val="4"/>
              <w:jc w:val="both"/>
            </w:pPr>
            <w:r>
              <w:rPr>
                <w:rFonts w:ascii="宋体" w:hAnsi="宋体" w:eastAsia="宋体" w:cs="宋体"/>
                <w:sz w:val="21"/>
              </w:rPr>
              <w:t xml:space="preserve">⑥提供数据迁移工具，支持从 </w:t>
            </w:r>
            <w:r>
              <w:rPr>
                <w:rFonts w:ascii="Calibri" w:hAnsi="Calibri" w:eastAsia="Calibri" w:cs="Calibri"/>
                <w:sz w:val="21"/>
              </w:rPr>
              <w:t>ORACLE</w:t>
            </w:r>
            <w:r>
              <w:rPr>
                <w:rFonts w:ascii="宋体" w:hAnsi="宋体" w:eastAsia="宋体" w:cs="宋体"/>
                <w:sz w:val="21"/>
              </w:rPr>
              <w:t>、</w:t>
            </w:r>
            <w:r>
              <w:rPr>
                <w:rFonts w:ascii="Calibri" w:hAnsi="Calibri" w:eastAsia="Calibri" w:cs="Calibri"/>
                <w:sz w:val="21"/>
              </w:rPr>
              <w:t>Mysq1</w:t>
            </w:r>
            <w:r>
              <w:rPr>
                <w:rFonts w:ascii="宋体" w:hAnsi="宋体" w:eastAsia="宋体" w:cs="宋体"/>
                <w:sz w:val="21"/>
              </w:rPr>
              <w:t>、</w:t>
            </w:r>
            <w:r>
              <w:rPr>
                <w:rFonts w:ascii="Calibri" w:hAnsi="Calibri" w:eastAsia="Calibri" w:cs="Calibri"/>
                <w:sz w:val="21"/>
              </w:rPr>
              <w:t>SQL SERVER</w:t>
            </w:r>
            <w:r>
              <w:rPr>
                <w:rFonts w:ascii="宋体" w:hAnsi="宋体" w:eastAsia="宋体" w:cs="宋体"/>
                <w:sz w:val="21"/>
              </w:rPr>
              <w:t>等数据库迁移到当前数据库。</w:t>
            </w:r>
          </w:p>
          <w:p w14:paraId="6FD1FC17">
            <w:pPr>
              <w:pStyle w:val="4"/>
              <w:jc w:val="both"/>
            </w:pPr>
            <w:r>
              <w:rPr>
                <w:rFonts w:ascii="宋体" w:hAnsi="宋体" w:eastAsia="宋体" w:cs="宋体"/>
                <w:sz w:val="21"/>
              </w:rPr>
              <w:t>⑦图形化数据库开发及管理工具，能够自动匹配数据库服务器的兼容模式，如</w:t>
            </w:r>
            <w:r>
              <w:rPr>
                <w:rFonts w:ascii="Calibri" w:hAnsi="Calibri" w:eastAsia="Calibri" w:cs="Calibri"/>
                <w:sz w:val="21"/>
              </w:rPr>
              <w:t>Oracle</w:t>
            </w:r>
            <w:r>
              <w:rPr>
                <w:rFonts w:ascii="宋体" w:hAnsi="宋体" w:eastAsia="宋体" w:cs="宋体"/>
                <w:sz w:val="21"/>
              </w:rPr>
              <w:t>、</w:t>
            </w:r>
            <w:r>
              <w:rPr>
                <w:rFonts w:ascii="Calibri" w:hAnsi="Calibri" w:eastAsia="Calibri" w:cs="Calibri"/>
                <w:sz w:val="21"/>
              </w:rPr>
              <w:t>MySQL</w:t>
            </w:r>
            <w:r>
              <w:rPr>
                <w:rFonts w:ascii="宋体" w:hAnsi="宋体" w:eastAsia="宋体" w:cs="宋体"/>
                <w:sz w:val="21"/>
              </w:rPr>
              <w:t>、</w:t>
            </w:r>
            <w:r>
              <w:rPr>
                <w:rFonts w:ascii="Calibri" w:hAnsi="Calibri" w:eastAsia="Calibri" w:cs="Calibri"/>
                <w:sz w:val="21"/>
              </w:rPr>
              <w:t>SQLServer</w:t>
            </w:r>
            <w:r>
              <w:rPr>
                <w:rFonts w:ascii="宋体" w:hAnsi="宋体" w:eastAsia="宋体" w:cs="宋体"/>
                <w:sz w:val="21"/>
              </w:rPr>
              <w:t>、</w:t>
            </w:r>
            <w:r>
              <w:rPr>
                <w:rFonts w:ascii="Calibri" w:hAnsi="Calibri" w:eastAsia="Calibri" w:cs="Calibri"/>
                <w:sz w:val="21"/>
              </w:rPr>
              <w:t>PostgreSQL</w:t>
            </w:r>
            <w:r>
              <w:rPr>
                <w:rFonts w:ascii="宋体" w:hAnsi="宋体" w:eastAsia="宋体" w:cs="宋体"/>
                <w:sz w:val="21"/>
              </w:rPr>
              <w:t>模式。</w:t>
            </w:r>
          </w:p>
          <w:p w14:paraId="7B7B687C">
            <w:pPr>
              <w:pStyle w:val="4"/>
              <w:jc w:val="both"/>
            </w:pPr>
            <w:r>
              <w:rPr>
                <w:rFonts w:ascii="宋体" w:hAnsi="宋体" w:eastAsia="宋体" w:cs="宋体"/>
                <w:sz w:val="21"/>
              </w:rPr>
              <w:t xml:space="preserve">⑧支持在 </w:t>
            </w:r>
            <w:r>
              <w:rPr>
                <w:rFonts w:ascii="Calibri" w:hAnsi="Calibri" w:eastAsia="Calibri" w:cs="Calibri"/>
                <w:sz w:val="21"/>
              </w:rPr>
              <w:t>Oracle</w:t>
            </w:r>
            <w:r>
              <w:rPr>
                <w:rFonts w:ascii="宋体" w:hAnsi="宋体" w:eastAsia="宋体" w:cs="宋体"/>
                <w:sz w:val="21"/>
              </w:rPr>
              <w:t>、</w:t>
            </w:r>
            <w:r>
              <w:rPr>
                <w:rFonts w:ascii="Calibri" w:hAnsi="Calibri" w:eastAsia="Calibri" w:cs="Calibri"/>
                <w:sz w:val="21"/>
              </w:rPr>
              <w:t>MySQL</w:t>
            </w:r>
            <w:r>
              <w:rPr>
                <w:rFonts w:ascii="宋体" w:hAnsi="宋体" w:eastAsia="宋体" w:cs="宋体"/>
                <w:sz w:val="21"/>
              </w:rPr>
              <w:t>、</w:t>
            </w:r>
            <w:r>
              <w:rPr>
                <w:rFonts w:ascii="Calibri" w:hAnsi="Calibri" w:eastAsia="Calibri" w:cs="Calibri"/>
                <w:sz w:val="21"/>
              </w:rPr>
              <w:t xml:space="preserve">SQLServer </w:t>
            </w:r>
            <w:r>
              <w:rPr>
                <w:rFonts w:ascii="宋体" w:hAnsi="宋体" w:eastAsia="宋体" w:cs="宋体"/>
                <w:sz w:val="21"/>
              </w:rPr>
              <w:t xml:space="preserve">三种数据库兼容模式下支持表继承的功能。父表支持普通表和外部表，父表的 </w:t>
            </w:r>
            <w:r>
              <w:rPr>
                <w:rFonts w:ascii="Calibri" w:hAnsi="Calibri" w:eastAsia="Calibri" w:cs="Calibri"/>
                <w:sz w:val="21"/>
              </w:rPr>
              <w:t xml:space="preserve">DML </w:t>
            </w:r>
            <w:r>
              <w:rPr>
                <w:rFonts w:ascii="宋体" w:hAnsi="宋体" w:eastAsia="宋体" w:cs="宋体"/>
                <w:sz w:val="21"/>
              </w:rPr>
              <w:t>操作可以通过定义控制对子表的级联影响。</w:t>
            </w:r>
          </w:p>
          <w:p w14:paraId="7751DC69">
            <w:pPr>
              <w:pStyle w:val="4"/>
              <w:jc w:val="both"/>
            </w:pPr>
            <w:r>
              <w:rPr>
                <w:rFonts w:ascii="宋体" w:hAnsi="宋体" w:eastAsia="宋体" w:cs="宋体"/>
                <w:sz w:val="21"/>
              </w:rPr>
              <w:t>⑨所投数据库产品需能够与</w:t>
            </w:r>
            <w:r>
              <w:rPr>
                <w:rFonts w:ascii="Calibri" w:hAnsi="Calibri" w:eastAsia="Calibri" w:cs="Calibri"/>
                <w:sz w:val="21"/>
              </w:rPr>
              <w:t>Oracle</w:t>
            </w:r>
            <w:r>
              <w:rPr>
                <w:rFonts w:ascii="宋体" w:hAnsi="宋体" w:eastAsia="宋体" w:cs="宋体"/>
                <w:sz w:val="21"/>
              </w:rPr>
              <w:t>、</w:t>
            </w:r>
            <w:r>
              <w:rPr>
                <w:rFonts w:ascii="Calibri" w:hAnsi="Calibri" w:eastAsia="Calibri" w:cs="Calibri"/>
                <w:sz w:val="21"/>
              </w:rPr>
              <w:t>MySQL</w:t>
            </w:r>
            <w:r>
              <w:rPr>
                <w:rFonts w:ascii="宋体" w:hAnsi="宋体" w:eastAsia="宋体" w:cs="宋体"/>
                <w:sz w:val="21"/>
              </w:rPr>
              <w:t>、</w:t>
            </w:r>
            <w:r>
              <w:rPr>
                <w:rFonts w:ascii="Calibri" w:hAnsi="Calibri" w:eastAsia="Calibri" w:cs="Calibri"/>
                <w:sz w:val="21"/>
              </w:rPr>
              <w:t>SQLServer</w:t>
            </w:r>
            <w:r>
              <w:rPr>
                <w:rFonts w:ascii="宋体" w:hAnsi="宋体" w:eastAsia="宋体" w:cs="宋体"/>
                <w:sz w:val="21"/>
              </w:rPr>
              <w:t>、</w:t>
            </w:r>
            <w:r>
              <w:rPr>
                <w:rFonts w:ascii="Calibri" w:hAnsi="Calibri" w:eastAsia="Calibri" w:cs="Calibri"/>
                <w:sz w:val="21"/>
              </w:rPr>
              <w:t>PostgreSQL</w:t>
            </w:r>
            <w:r>
              <w:rPr>
                <w:rFonts w:ascii="宋体" w:hAnsi="宋体" w:eastAsia="宋体" w:cs="宋体"/>
                <w:sz w:val="21"/>
              </w:rPr>
              <w:t>兼容，包括但不限于数据迁移、数据实时同步的能力。</w:t>
            </w:r>
          </w:p>
          <w:p w14:paraId="751460CE">
            <w:pPr>
              <w:pStyle w:val="4"/>
              <w:jc w:val="both"/>
            </w:pPr>
            <w:r>
              <w:rPr>
                <w:rFonts w:ascii="宋体" w:hAnsi="宋体" w:eastAsia="宋体" w:cs="宋体"/>
                <w:sz w:val="21"/>
              </w:rPr>
              <w:t>（2）读写分离集群</w:t>
            </w:r>
          </w:p>
          <w:p w14:paraId="7D7F4289">
            <w:pPr>
              <w:pStyle w:val="4"/>
              <w:jc w:val="both"/>
            </w:pPr>
            <w:r>
              <w:rPr>
                <w:rFonts w:ascii="宋体" w:hAnsi="宋体" w:eastAsia="宋体" w:cs="宋体"/>
                <w:sz w:val="21"/>
              </w:rPr>
              <w:t>国产品牌</w:t>
            </w:r>
            <w:r>
              <w:rPr>
                <w:rFonts w:ascii="Calibri" w:hAnsi="Calibri" w:eastAsia="Calibri" w:cs="Calibri"/>
                <w:sz w:val="21"/>
              </w:rPr>
              <w:t>(</w:t>
            </w:r>
            <w:r>
              <w:rPr>
                <w:rFonts w:ascii="宋体" w:hAnsi="宋体" w:eastAsia="宋体" w:cs="宋体"/>
                <w:sz w:val="21"/>
              </w:rPr>
              <w:t>提供承诺书</w:t>
            </w:r>
            <w:r>
              <w:rPr>
                <w:rFonts w:ascii="Calibri" w:hAnsi="Calibri" w:eastAsia="Calibri" w:cs="Calibri"/>
                <w:sz w:val="21"/>
              </w:rPr>
              <w:t>),</w:t>
            </w:r>
            <w:r>
              <w:rPr>
                <w:rFonts w:ascii="宋体" w:hAnsi="宋体" w:eastAsia="宋体" w:cs="宋体"/>
                <w:sz w:val="21"/>
              </w:rPr>
              <w:t>提供透明的读写负载均衡能力。该类集群中所有备库均可对外提供查询能力</w:t>
            </w:r>
            <w:r>
              <w:rPr>
                <w:rFonts w:ascii="Calibri" w:hAnsi="Calibri" w:eastAsia="Calibri" w:cs="Calibri"/>
                <w:sz w:val="21"/>
              </w:rPr>
              <w:t>,</w:t>
            </w:r>
            <w:r>
              <w:rPr>
                <w:rFonts w:ascii="宋体" w:hAnsi="宋体" w:eastAsia="宋体" w:cs="宋体"/>
                <w:sz w:val="21"/>
              </w:rPr>
              <w:t>减少读负载压力</w:t>
            </w:r>
            <w:r>
              <w:rPr>
                <w:rFonts w:ascii="Calibri" w:hAnsi="Calibri" w:eastAsia="Calibri" w:cs="Calibri"/>
                <w:sz w:val="21"/>
              </w:rPr>
              <w:t>,</w:t>
            </w:r>
            <w:r>
              <w:rPr>
                <w:rFonts w:ascii="宋体" w:hAnsi="宋体" w:eastAsia="宋体" w:cs="宋体"/>
                <w:sz w:val="21"/>
              </w:rPr>
              <w:t>支持在多个备库间进行读负载均衡。</w:t>
            </w:r>
          </w:p>
          <w:p w14:paraId="6D1184B4">
            <w:pPr>
              <w:pStyle w:val="4"/>
              <w:jc w:val="both"/>
            </w:pPr>
            <w:r>
              <w:rPr>
                <w:rFonts w:ascii="宋体" w:hAnsi="宋体" w:eastAsia="宋体" w:cs="宋体"/>
                <w:sz w:val="21"/>
              </w:rPr>
              <w:t>（3）分析型数据库</w:t>
            </w:r>
          </w:p>
          <w:p w14:paraId="2F6D2CF0">
            <w:pPr>
              <w:pStyle w:val="4"/>
              <w:jc w:val="both"/>
            </w:pPr>
            <w:r>
              <w:rPr>
                <w:rFonts w:ascii="宋体" w:hAnsi="宋体" w:eastAsia="宋体" w:cs="宋体"/>
                <w:sz w:val="21"/>
              </w:rPr>
              <w:t>a.国产品牌</w:t>
            </w:r>
            <w:r>
              <w:rPr>
                <w:rFonts w:ascii="Calibri" w:hAnsi="Calibri" w:eastAsia="Calibri" w:cs="Calibri"/>
                <w:sz w:val="21"/>
              </w:rPr>
              <w:t>(</w:t>
            </w:r>
            <w:r>
              <w:rPr>
                <w:rFonts w:ascii="宋体" w:hAnsi="宋体" w:eastAsia="宋体" w:cs="宋体"/>
                <w:sz w:val="21"/>
              </w:rPr>
              <w:t>提供承诺书</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CentOS</w:t>
            </w:r>
            <w:r>
              <w:rPr>
                <w:rFonts w:ascii="宋体" w:hAnsi="宋体" w:eastAsia="宋体" w:cs="宋体"/>
                <w:sz w:val="21"/>
              </w:rPr>
              <w:t>、</w:t>
            </w:r>
            <w:r>
              <w:rPr>
                <w:rFonts w:ascii="Calibri" w:hAnsi="Calibri" w:eastAsia="Calibri" w:cs="Calibri"/>
                <w:sz w:val="21"/>
              </w:rPr>
              <w:t>Red Hat</w:t>
            </w:r>
            <w:r>
              <w:rPr>
                <w:rFonts w:ascii="宋体" w:hAnsi="宋体" w:eastAsia="宋体" w:cs="宋体"/>
                <w:sz w:val="21"/>
              </w:rPr>
              <w:t>、</w:t>
            </w:r>
            <w:r>
              <w:rPr>
                <w:rFonts w:ascii="Calibri" w:hAnsi="Calibri" w:eastAsia="Calibri" w:cs="Calibri"/>
                <w:sz w:val="21"/>
              </w:rPr>
              <w:t>SUSE</w:t>
            </w:r>
            <w:r>
              <w:rPr>
                <w:rFonts w:ascii="宋体" w:hAnsi="宋体" w:eastAsia="宋体" w:cs="宋体"/>
                <w:sz w:val="21"/>
              </w:rPr>
              <w:t>等</w:t>
            </w:r>
            <w:r>
              <w:rPr>
                <w:rFonts w:ascii="Calibri" w:hAnsi="Calibri" w:eastAsia="Calibri" w:cs="Calibri"/>
                <w:sz w:val="21"/>
              </w:rPr>
              <w:t>Linux</w:t>
            </w:r>
            <w:r>
              <w:rPr>
                <w:rFonts w:ascii="宋体" w:hAnsi="宋体" w:eastAsia="宋体" w:cs="宋体"/>
                <w:sz w:val="21"/>
              </w:rPr>
              <w:t>主流操作系统</w:t>
            </w:r>
            <w:r>
              <w:rPr>
                <w:rFonts w:ascii="Calibri" w:hAnsi="Calibri" w:eastAsia="Calibri" w:cs="Calibri"/>
                <w:sz w:val="21"/>
              </w:rPr>
              <w:t>;</w:t>
            </w:r>
            <w:r>
              <w:rPr>
                <w:rFonts w:ascii="宋体" w:hAnsi="宋体" w:eastAsia="宋体" w:cs="宋体"/>
                <w:sz w:val="21"/>
              </w:rPr>
              <w:t>支持国产操作系统</w:t>
            </w:r>
            <w:r>
              <w:rPr>
                <w:rFonts w:ascii="Calibri" w:hAnsi="Calibri" w:eastAsia="Calibri" w:cs="Calibri"/>
                <w:sz w:val="21"/>
              </w:rPr>
              <w:t>:</w:t>
            </w:r>
            <w:r>
              <w:rPr>
                <w:rFonts w:ascii="宋体" w:hAnsi="宋体" w:eastAsia="宋体" w:cs="宋体"/>
                <w:sz w:val="21"/>
              </w:rPr>
              <w:t>包括但不限于中标麒麟、银河麒麟、方德、普华、统信等。</w:t>
            </w:r>
          </w:p>
          <w:p w14:paraId="57E5E99A">
            <w:pPr>
              <w:pStyle w:val="4"/>
              <w:jc w:val="both"/>
            </w:pPr>
            <w:r>
              <w:rPr>
                <w:rFonts w:ascii="宋体" w:hAnsi="宋体" w:eastAsia="宋体" w:cs="宋体"/>
                <w:sz w:val="21"/>
              </w:rPr>
              <w:t>b.支持</w:t>
            </w:r>
            <w:r>
              <w:rPr>
                <w:rFonts w:ascii="Calibri" w:hAnsi="Calibri" w:eastAsia="Calibri" w:cs="Calibri"/>
                <w:sz w:val="21"/>
              </w:rPr>
              <w:t>arm</w:t>
            </w:r>
            <w:r>
              <w:rPr>
                <w:rFonts w:ascii="宋体" w:hAnsi="宋体" w:eastAsia="宋体" w:cs="宋体"/>
                <w:sz w:val="21"/>
              </w:rPr>
              <w:t>架构芯片</w:t>
            </w:r>
            <w:r>
              <w:rPr>
                <w:rFonts w:ascii="Calibri" w:hAnsi="Calibri" w:eastAsia="Calibri" w:cs="Calibri"/>
                <w:sz w:val="21"/>
              </w:rPr>
              <w:t>,</w:t>
            </w:r>
            <w:r>
              <w:rPr>
                <w:rFonts w:ascii="宋体" w:hAnsi="宋体" w:eastAsia="宋体" w:cs="宋体"/>
                <w:sz w:val="21"/>
              </w:rPr>
              <w:t>包括飞腾、鲲鹏等</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mpis</w:t>
            </w:r>
            <w:r>
              <w:rPr>
                <w:rFonts w:ascii="宋体" w:hAnsi="宋体" w:eastAsia="宋体" w:cs="宋体"/>
                <w:sz w:val="21"/>
              </w:rPr>
              <w:t>架构芯片</w:t>
            </w:r>
            <w:r>
              <w:rPr>
                <w:rFonts w:ascii="Calibri" w:hAnsi="Calibri" w:eastAsia="Calibri" w:cs="Calibri"/>
                <w:sz w:val="21"/>
              </w:rPr>
              <w:t>,</w:t>
            </w:r>
            <w:r>
              <w:rPr>
                <w:rFonts w:ascii="宋体" w:hAnsi="宋体" w:eastAsia="宋体" w:cs="宋体"/>
                <w:sz w:val="21"/>
              </w:rPr>
              <w:t>包括龙芯等。支持管理、计算节点分离能力</w:t>
            </w:r>
            <w:r>
              <w:rPr>
                <w:rFonts w:ascii="Calibri" w:hAnsi="Calibri" w:eastAsia="Calibri" w:cs="Calibri"/>
                <w:sz w:val="21"/>
              </w:rPr>
              <w:t>,</w:t>
            </w:r>
            <w:r>
              <w:rPr>
                <w:rFonts w:ascii="宋体" w:hAnsi="宋体" w:eastAsia="宋体" w:cs="宋体"/>
                <w:sz w:val="21"/>
              </w:rPr>
              <w:t>支持通用服务器本地盘部署。</w:t>
            </w:r>
          </w:p>
          <w:p w14:paraId="08CF726A">
            <w:pPr>
              <w:pStyle w:val="4"/>
              <w:jc w:val="both"/>
            </w:pPr>
            <w:r>
              <w:rPr>
                <w:rFonts w:ascii="宋体" w:hAnsi="宋体" w:eastAsia="宋体" w:cs="宋体"/>
                <w:sz w:val="21"/>
              </w:rPr>
              <w:t>c.支持按节点的分布存储</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Hash</w:t>
            </w:r>
            <w:r>
              <w:rPr>
                <w:rFonts w:ascii="宋体" w:hAnsi="宋体" w:eastAsia="宋体" w:cs="宋体"/>
                <w:sz w:val="21"/>
              </w:rPr>
              <w:t>分布存储</w:t>
            </w:r>
            <w:r>
              <w:rPr>
                <w:rFonts w:ascii="Calibri" w:hAnsi="Calibri" w:eastAsia="Calibri" w:cs="Calibri"/>
                <w:sz w:val="21"/>
              </w:rPr>
              <w:t>,</w:t>
            </w:r>
            <w:r>
              <w:rPr>
                <w:rFonts w:ascii="宋体" w:hAnsi="宋体" w:eastAsia="宋体" w:cs="宋体"/>
                <w:sz w:val="21"/>
              </w:rPr>
              <w:t>支持多列</w:t>
            </w:r>
            <w:r>
              <w:rPr>
                <w:rFonts w:ascii="Calibri" w:hAnsi="Calibri" w:eastAsia="Calibri" w:cs="Calibri"/>
                <w:sz w:val="21"/>
              </w:rPr>
              <w:t>hash</w:t>
            </w:r>
            <w:r>
              <w:rPr>
                <w:rFonts w:ascii="宋体" w:hAnsi="宋体" w:eastAsia="宋体" w:cs="宋体"/>
                <w:sz w:val="21"/>
              </w:rPr>
              <w:t>分布策略</w:t>
            </w:r>
            <w:r>
              <w:rPr>
                <w:rFonts w:ascii="Calibri" w:hAnsi="Calibri" w:eastAsia="Calibri" w:cs="Calibri"/>
                <w:sz w:val="21"/>
              </w:rPr>
              <w:t>,</w:t>
            </w:r>
            <w:r>
              <w:rPr>
                <w:rFonts w:ascii="宋体" w:hAnsi="宋体" w:eastAsia="宋体" w:cs="宋体"/>
                <w:sz w:val="21"/>
              </w:rPr>
              <w:t>支持随机分布</w:t>
            </w:r>
            <w:r>
              <w:rPr>
                <w:rFonts w:ascii="Calibri" w:hAnsi="Calibri" w:eastAsia="Calibri" w:cs="Calibri"/>
                <w:sz w:val="21"/>
              </w:rPr>
              <w:t>,</w:t>
            </w:r>
            <w:r>
              <w:rPr>
                <w:rFonts w:ascii="宋体" w:hAnsi="宋体" w:eastAsia="宋体" w:cs="宋体"/>
                <w:sz w:val="21"/>
              </w:rPr>
              <w:t>支持复制分布。</w:t>
            </w:r>
          </w:p>
          <w:p w14:paraId="2E68A32C">
            <w:pPr>
              <w:pStyle w:val="4"/>
              <w:jc w:val="both"/>
            </w:pPr>
            <w:r>
              <w:rPr>
                <w:rFonts w:ascii="宋体" w:hAnsi="宋体" w:eastAsia="宋体" w:cs="宋体"/>
                <w:sz w:val="21"/>
              </w:rPr>
              <w:t>d.支持行存储、列存储</w:t>
            </w:r>
            <w:r>
              <w:rPr>
                <w:rFonts w:ascii="Calibri" w:hAnsi="Calibri" w:eastAsia="Calibri" w:cs="Calibri"/>
                <w:sz w:val="21"/>
              </w:rPr>
              <w:t>,</w:t>
            </w:r>
            <w:r>
              <w:rPr>
                <w:rFonts w:ascii="宋体" w:hAnsi="宋体" w:eastAsia="宋体" w:cs="宋体"/>
                <w:sz w:val="21"/>
              </w:rPr>
              <w:t>行列混合存储。</w:t>
            </w:r>
          </w:p>
          <w:p w14:paraId="372909E7">
            <w:pPr>
              <w:pStyle w:val="4"/>
              <w:jc w:val="both"/>
            </w:pPr>
            <w:r>
              <w:rPr>
                <w:rFonts w:ascii="宋体" w:hAnsi="宋体" w:eastAsia="宋体" w:cs="宋体"/>
                <w:sz w:val="21"/>
              </w:rPr>
              <w:t>e.支持基于列存储的数据编码及高效压缩技术</w:t>
            </w:r>
            <w:r>
              <w:rPr>
                <w:rFonts w:ascii="Calibri" w:hAnsi="Calibri" w:eastAsia="Calibri" w:cs="Calibri"/>
                <w:sz w:val="21"/>
              </w:rPr>
              <w:t>;</w:t>
            </w:r>
            <w:r>
              <w:rPr>
                <w:rFonts w:ascii="宋体" w:hAnsi="宋体" w:eastAsia="宋体" w:cs="宋体"/>
                <w:sz w:val="21"/>
              </w:rPr>
              <w:t>支持表级、列级两级压缩</w:t>
            </w:r>
            <w:r>
              <w:rPr>
                <w:rFonts w:ascii="Calibri" w:hAnsi="Calibri" w:eastAsia="Calibri" w:cs="Calibri"/>
                <w:sz w:val="21"/>
              </w:rPr>
              <w:t>;</w:t>
            </w:r>
            <w:r>
              <w:rPr>
                <w:rFonts w:ascii="宋体" w:hAnsi="宋体" w:eastAsia="宋体" w:cs="宋体"/>
                <w:sz w:val="21"/>
              </w:rPr>
              <w:t>支持多种压缩格式</w:t>
            </w:r>
            <w:r>
              <w:rPr>
                <w:rFonts w:ascii="Calibri" w:hAnsi="Calibri" w:eastAsia="Calibri" w:cs="Calibri"/>
                <w:sz w:val="21"/>
              </w:rPr>
              <w:t>,</w:t>
            </w:r>
            <w:r>
              <w:rPr>
                <w:rFonts w:ascii="宋体" w:hAnsi="宋体" w:eastAsia="宋体" w:cs="宋体"/>
                <w:sz w:val="21"/>
              </w:rPr>
              <w:t>支持在不同压缩格式下压缩等级的选择</w:t>
            </w:r>
            <w:r>
              <w:rPr>
                <w:rFonts w:ascii="Calibri" w:hAnsi="Calibri" w:eastAsia="Calibri" w:cs="Calibri"/>
                <w:sz w:val="21"/>
              </w:rPr>
              <w:t>,</w:t>
            </w:r>
            <w:r>
              <w:rPr>
                <w:rFonts w:ascii="宋体" w:hAnsi="宋体" w:eastAsia="宋体" w:cs="宋体"/>
                <w:sz w:val="21"/>
              </w:rPr>
              <w:t>支持数据在压缩形态下的</w:t>
            </w:r>
            <w:r>
              <w:rPr>
                <w:rFonts w:ascii="Calibri" w:hAnsi="Calibri" w:eastAsia="Calibri" w:cs="Calibri"/>
                <w:sz w:val="21"/>
              </w:rPr>
              <w:t>DML</w:t>
            </w:r>
            <w:r>
              <w:rPr>
                <w:rFonts w:ascii="宋体" w:hAnsi="宋体" w:eastAsia="宋体" w:cs="宋体"/>
                <w:sz w:val="21"/>
              </w:rPr>
              <w:t>操作。</w:t>
            </w:r>
          </w:p>
          <w:p w14:paraId="67DE4CC4">
            <w:pPr>
              <w:pStyle w:val="4"/>
              <w:jc w:val="both"/>
            </w:pPr>
            <w:r>
              <w:rPr>
                <w:rFonts w:ascii="宋体" w:hAnsi="宋体" w:eastAsia="宋体" w:cs="宋体"/>
                <w:sz w:val="21"/>
              </w:rPr>
              <w:t>f.具备全文检索能力</w:t>
            </w:r>
            <w:r>
              <w:rPr>
                <w:rFonts w:ascii="Calibri" w:hAnsi="Calibri" w:eastAsia="Calibri" w:cs="Calibri"/>
                <w:sz w:val="21"/>
              </w:rPr>
              <w:t>,</w:t>
            </w:r>
            <w:r>
              <w:rPr>
                <w:rFonts w:ascii="宋体" w:hAnsi="宋体" w:eastAsia="宋体" w:cs="宋体"/>
                <w:sz w:val="21"/>
              </w:rPr>
              <w:t>支持中文和多语种混合检索能力。</w:t>
            </w:r>
          </w:p>
          <w:p w14:paraId="24CCB16D">
            <w:pPr>
              <w:pStyle w:val="4"/>
              <w:jc w:val="both"/>
            </w:pPr>
            <w:r>
              <w:rPr>
                <w:rFonts w:ascii="宋体" w:hAnsi="宋体" w:eastAsia="宋体" w:cs="宋体"/>
                <w:sz w:val="21"/>
              </w:rPr>
              <w:t>g.支持</w:t>
            </w:r>
            <w:r>
              <w:rPr>
                <w:rFonts w:ascii="Calibri" w:hAnsi="Calibri" w:eastAsia="Calibri" w:cs="Calibri"/>
                <w:sz w:val="21"/>
              </w:rPr>
              <w:t>SQL</w:t>
            </w:r>
            <w:r>
              <w:rPr>
                <w:rFonts w:ascii="宋体" w:hAnsi="宋体" w:eastAsia="宋体" w:cs="宋体"/>
                <w:sz w:val="21"/>
              </w:rPr>
              <w:t>标准</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ANSI/ISO SQL 92</w:t>
            </w:r>
            <w:r>
              <w:rPr>
                <w:rFonts w:ascii="宋体" w:hAnsi="宋体" w:eastAsia="宋体" w:cs="宋体"/>
                <w:sz w:val="21"/>
              </w:rPr>
              <w:t>、</w:t>
            </w:r>
            <w:r>
              <w:rPr>
                <w:rFonts w:ascii="Calibri" w:hAnsi="Calibri" w:eastAsia="Calibri" w:cs="Calibri"/>
                <w:sz w:val="21"/>
              </w:rPr>
              <w:t>ANSI/ISO SQL 99</w:t>
            </w:r>
            <w:r>
              <w:rPr>
                <w:rFonts w:ascii="宋体" w:hAnsi="宋体" w:eastAsia="宋体" w:cs="宋体"/>
                <w:sz w:val="21"/>
              </w:rPr>
              <w:t>、</w:t>
            </w:r>
            <w:r>
              <w:rPr>
                <w:rFonts w:ascii="Calibri" w:hAnsi="Calibri" w:eastAsia="Calibri" w:cs="Calibri"/>
                <w:sz w:val="21"/>
              </w:rPr>
              <w:t>ANSI/ISO SQL 2003</w:t>
            </w:r>
            <w:r>
              <w:rPr>
                <w:rFonts w:ascii="宋体" w:hAnsi="宋体" w:eastAsia="宋体" w:cs="宋体"/>
                <w:sz w:val="21"/>
              </w:rPr>
              <w:t>标准。其中支持标准在</w:t>
            </w:r>
            <w:r>
              <w:rPr>
                <w:rFonts w:ascii="Calibri" w:hAnsi="Calibri" w:eastAsia="Calibri" w:cs="Calibri"/>
                <w:sz w:val="21"/>
              </w:rPr>
              <w:t>SQL</w:t>
            </w:r>
            <w:r>
              <w:rPr>
                <w:rFonts w:ascii="宋体" w:hAnsi="宋体" w:eastAsia="宋体" w:cs="宋体"/>
                <w:sz w:val="21"/>
              </w:rPr>
              <w:t>标准中有明确定义</w:t>
            </w:r>
            <w:r>
              <w:rPr>
                <w:rFonts w:ascii="Calibri" w:hAnsi="Calibri" w:eastAsia="Calibri" w:cs="Calibri"/>
                <w:sz w:val="21"/>
              </w:rPr>
              <w:t>,</w:t>
            </w:r>
            <w:r>
              <w:rPr>
                <w:rFonts w:ascii="宋体" w:hAnsi="宋体" w:eastAsia="宋体" w:cs="宋体"/>
                <w:sz w:val="21"/>
              </w:rPr>
              <w:t>包括</w:t>
            </w:r>
            <w:r>
              <w:rPr>
                <w:rFonts w:ascii="Calibri" w:hAnsi="Calibri" w:eastAsia="Calibri" w:cs="Calibri"/>
                <w:sz w:val="21"/>
              </w:rPr>
              <w:t>:</w:t>
            </w:r>
            <w:r>
              <w:rPr>
                <w:rFonts w:ascii="宋体" w:hAnsi="宋体" w:eastAsia="宋体" w:cs="宋体"/>
                <w:sz w:val="21"/>
              </w:rPr>
              <w:t>支持数值类型</w:t>
            </w:r>
            <w:r>
              <w:rPr>
                <w:rFonts w:ascii="Calibri" w:hAnsi="Calibri" w:eastAsia="Calibri" w:cs="Calibri"/>
                <w:sz w:val="21"/>
              </w:rPr>
              <w:t>(SMALLINT</w:t>
            </w:r>
            <w:r>
              <w:rPr>
                <w:rFonts w:ascii="宋体" w:hAnsi="宋体" w:eastAsia="宋体" w:cs="宋体"/>
                <w:sz w:val="21"/>
              </w:rPr>
              <w:t>、</w:t>
            </w:r>
            <w:r>
              <w:rPr>
                <w:rFonts w:ascii="Calibri" w:hAnsi="Calibri" w:eastAsia="Calibri" w:cs="Calibri"/>
                <w:sz w:val="21"/>
              </w:rPr>
              <w:t>INT</w:t>
            </w:r>
            <w:r>
              <w:rPr>
                <w:rFonts w:ascii="宋体" w:hAnsi="宋体" w:eastAsia="宋体" w:cs="宋体"/>
                <w:sz w:val="21"/>
              </w:rPr>
              <w:t>、</w:t>
            </w:r>
            <w:r>
              <w:rPr>
                <w:rFonts w:ascii="Calibri" w:hAnsi="Calibri" w:eastAsia="Calibri" w:cs="Calibri"/>
                <w:sz w:val="21"/>
              </w:rPr>
              <w:t>BIGINT</w:t>
            </w:r>
            <w:r>
              <w:rPr>
                <w:rFonts w:ascii="宋体" w:hAnsi="宋体" w:eastAsia="宋体" w:cs="宋体"/>
                <w:sz w:val="21"/>
              </w:rPr>
              <w:t>、</w:t>
            </w:r>
            <w:r>
              <w:rPr>
                <w:rFonts w:ascii="Calibri" w:hAnsi="Calibri" w:eastAsia="Calibri" w:cs="Calibri"/>
                <w:sz w:val="21"/>
              </w:rPr>
              <w:t>FLOAT</w:t>
            </w:r>
            <w:r>
              <w:rPr>
                <w:rFonts w:ascii="宋体" w:hAnsi="宋体" w:eastAsia="宋体" w:cs="宋体"/>
                <w:sz w:val="21"/>
              </w:rPr>
              <w:t>、</w:t>
            </w:r>
            <w:r>
              <w:rPr>
                <w:rFonts w:ascii="Calibri" w:hAnsi="Calibri" w:eastAsia="Calibri" w:cs="Calibri"/>
                <w:sz w:val="21"/>
              </w:rPr>
              <w:t>REAL</w:t>
            </w:r>
            <w:r>
              <w:rPr>
                <w:rFonts w:ascii="宋体" w:hAnsi="宋体" w:eastAsia="宋体" w:cs="宋体"/>
                <w:sz w:val="21"/>
              </w:rPr>
              <w:t>、</w:t>
            </w:r>
            <w:r>
              <w:rPr>
                <w:rFonts w:ascii="Calibri" w:hAnsi="Calibri" w:eastAsia="Calibri" w:cs="Calibri"/>
                <w:sz w:val="21"/>
              </w:rPr>
              <w:t>DOUBLE PRECISION);</w:t>
            </w:r>
            <w:r>
              <w:rPr>
                <w:rFonts w:ascii="宋体" w:hAnsi="宋体" w:eastAsia="宋体" w:cs="宋体"/>
                <w:sz w:val="21"/>
              </w:rPr>
              <w:t>支持字符串类型</w:t>
            </w:r>
            <w:r>
              <w:rPr>
                <w:rFonts w:ascii="Calibri" w:hAnsi="Calibri" w:eastAsia="Calibri" w:cs="Calibri"/>
                <w:sz w:val="21"/>
              </w:rPr>
              <w:t xml:space="preserve">(CHARACTER </w:t>
            </w:r>
            <w:r>
              <w:rPr>
                <w:rFonts w:ascii="宋体" w:hAnsi="宋体" w:eastAsia="宋体" w:cs="宋体"/>
                <w:sz w:val="21"/>
              </w:rPr>
              <w:t>、</w:t>
            </w:r>
            <w:r>
              <w:rPr>
                <w:rFonts w:ascii="Calibri" w:hAnsi="Calibri" w:eastAsia="Calibri" w:cs="Calibri"/>
                <w:sz w:val="21"/>
              </w:rPr>
              <w:t>CHARACTER VARYING);</w:t>
            </w:r>
            <w:r>
              <w:rPr>
                <w:rFonts w:ascii="宋体" w:hAnsi="宋体" w:eastAsia="宋体" w:cs="宋体"/>
                <w:sz w:val="21"/>
              </w:rPr>
              <w:t>位数据类型</w:t>
            </w:r>
            <w:r>
              <w:rPr>
                <w:rFonts w:ascii="Calibri" w:hAnsi="Calibri" w:eastAsia="Calibri" w:cs="Calibri"/>
                <w:sz w:val="21"/>
              </w:rPr>
              <w:t>(BIT</w:t>
            </w:r>
            <w:r>
              <w:rPr>
                <w:rFonts w:ascii="宋体" w:hAnsi="宋体" w:eastAsia="宋体" w:cs="宋体"/>
                <w:sz w:val="21"/>
              </w:rPr>
              <w:t>、</w:t>
            </w:r>
            <w:r>
              <w:rPr>
                <w:rFonts w:ascii="Calibri" w:hAnsi="Calibri" w:eastAsia="Calibri" w:cs="Calibri"/>
                <w:sz w:val="21"/>
              </w:rPr>
              <w:t>BIT VARYING);</w:t>
            </w:r>
            <w:r>
              <w:rPr>
                <w:rFonts w:ascii="宋体" w:hAnsi="宋体" w:eastAsia="宋体" w:cs="宋体"/>
                <w:sz w:val="21"/>
              </w:rPr>
              <w:t>支持大对象类型</w:t>
            </w:r>
            <w:r>
              <w:rPr>
                <w:rFonts w:ascii="Calibri" w:hAnsi="Calibri" w:eastAsia="Calibri" w:cs="Calibri"/>
                <w:sz w:val="21"/>
              </w:rPr>
              <w:t>(BYTEA</w:t>
            </w:r>
            <w:r>
              <w:rPr>
                <w:rFonts w:ascii="宋体" w:hAnsi="宋体" w:eastAsia="宋体" w:cs="宋体"/>
                <w:sz w:val="21"/>
              </w:rPr>
              <w:t>、</w:t>
            </w:r>
            <w:r>
              <w:rPr>
                <w:rFonts w:ascii="Calibri" w:hAnsi="Calibri" w:eastAsia="Calibri" w:cs="Calibri"/>
                <w:sz w:val="21"/>
              </w:rPr>
              <w:t>TEXT);</w:t>
            </w:r>
            <w:r>
              <w:rPr>
                <w:rFonts w:ascii="宋体" w:hAnsi="宋体" w:eastAsia="宋体" w:cs="宋体"/>
                <w:sz w:val="21"/>
              </w:rPr>
              <w:t>支持日期类型</w:t>
            </w:r>
            <w:r>
              <w:rPr>
                <w:rFonts w:ascii="Calibri" w:hAnsi="Calibri" w:eastAsia="Calibri" w:cs="Calibri"/>
                <w:sz w:val="21"/>
              </w:rPr>
              <w:t>(DATE, TIME, TIMESTAMP, TIME WITH TIME ZONE, TIMESTAMP WITH TIME</w:t>
            </w:r>
          </w:p>
          <w:p w14:paraId="35ADB019">
            <w:pPr>
              <w:pStyle w:val="4"/>
              <w:jc w:val="both"/>
            </w:pPr>
            <w:r>
              <w:rPr>
                <w:rFonts w:ascii="Calibri" w:hAnsi="Calibri" w:eastAsia="Calibri" w:cs="Calibri"/>
                <w:sz w:val="21"/>
              </w:rPr>
              <w:t>ZONE, INTERVAL);</w:t>
            </w:r>
            <w:r>
              <w:rPr>
                <w:rFonts w:ascii="宋体" w:hAnsi="宋体" w:eastAsia="宋体" w:cs="宋体"/>
                <w:sz w:val="21"/>
              </w:rPr>
              <w:t>提供数据类型和处理的拓展能力。</w:t>
            </w:r>
          </w:p>
          <w:p w14:paraId="419F94C7">
            <w:pPr>
              <w:pStyle w:val="4"/>
              <w:jc w:val="both"/>
            </w:pPr>
            <w:r>
              <w:rPr>
                <w:rFonts w:ascii="宋体" w:hAnsi="宋体" w:eastAsia="宋体" w:cs="宋体"/>
                <w:sz w:val="21"/>
              </w:rPr>
              <w:t>h.支持数据库、模式、表、索引、视图、自定义函数等常用数据库对象的创建、修改和删除操作</w:t>
            </w:r>
            <w:r>
              <w:rPr>
                <w:rFonts w:ascii="Calibri" w:hAnsi="Calibri" w:eastAsia="Calibri" w:cs="Calibri"/>
                <w:sz w:val="21"/>
              </w:rPr>
              <w:t>;</w:t>
            </w:r>
            <w:r>
              <w:rPr>
                <w:rFonts w:ascii="宋体" w:hAnsi="宋体" w:eastAsia="宋体" w:cs="宋体"/>
                <w:sz w:val="21"/>
              </w:rPr>
              <w:t>支持数据库用户的创建、删除操作</w:t>
            </w:r>
            <w:r>
              <w:rPr>
                <w:rFonts w:ascii="Calibri" w:hAnsi="Calibri" w:eastAsia="Calibri" w:cs="Calibri"/>
                <w:sz w:val="21"/>
              </w:rPr>
              <w:t>,</w:t>
            </w:r>
            <w:r>
              <w:rPr>
                <w:rFonts w:ascii="宋体" w:hAnsi="宋体" w:eastAsia="宋体" w:cs="宋体"/>
                <w:sz w:val="21"/>
              </w:rPr>
              <w:t>以及用户权限的分配与回收。</w:t>
            </w:r>
          </w:p>
          <w:p w14:paraId="7967F24C">
            <w:pPr>
              <w:pStyle w:val="4"/>
              <w:jc w:val="both"/>
            </w:pPr>
            <w:r>
              <w:rPr>
                <w:rFonts w:ascii="宋体" w:hAnsi="宋体" w:eastAsia="宋体" w:cs="宋体"/>
                <w:sz w:val="21"/>
              </w:rPr>
              <w:t>i.支持数据库的基本运算操作</w:t>
            </w:r>
            <w:r>
              <w:rPr>
                <w:rFonts w:ascii="Calibri" w:hAnsi="Calibri" w:eastAsia="Calibri" w:cs="Calibri"/>
                <w:sz w:val="21"/>
              </w:rPr>
              <w:t>,</w:t>
            </w:r>
            <w:r>
              <w:rPr>
                <w:rFonts w:ascii="宋体" w:hAnsi="宋体" w:eastAsia="宋体" w:cs="宋体"/>
                <w:sz w:val="21"/>
              </w:rPr>
              <w:t>包括等于</w:t>
            </w:r>
            <w:r>
              <w:rPr>
                <w:rFonts w:ascii="Calibri" w:hAnsi="Calibri" w:eastAsia="Calibri" w:cs="Calibri"/>
                <w:sz w:val="21"/>
              </w:rPr>
              <w:t>/</w:t>
            </w:r>
            <w:r>
              <w:rPr>
                <w:rFonts w:ascii="宋体" w:hAnsi="宋体" w:eastAsia="宋体" w:cs="宋体"/>
                <w:sz w:val="21"/>
              </w:rPr>
              <w:t>不等于</w:t>
            </w:r>
            <w:r>
              <w:rPr>
                <w:rFonts w:ascii="Calibri" w:hAnsi="Calibri" w:eastAsia="Calibri" w:cs="Calibri"/>
                <w:sz w:val="21"/>
              </w:rPr>
              <w:t>/</w:t>
            </w:r>
            <w:r>
              <w:rPr>
                <w:rFonts w:ascii="宋体" w:hAnsi="宋体" w:eastAsia="宋体" w:cs="宋体"/>
                <w:sz w:val="21"/>
              </w:rPr>
              <w:t>大于</w:t>
            </w:r>
            <w:r>
              <w:rPr>
                <w:rFonts w:ascii="Calibri" w:hAnsi="Calibri" w:eastAsia="Calibri" w:cs="Calibri"/>
                <w:sz w:val="21"/>
              </w:rPr>
              <w:t>/</w:t>
            </w:r>
            <w:r>
              <w:rPr>
                <w:rFonts w:ascii="宋体" w:hAnsi="宋体" w:eastAsia="宋体" w:cs="宋体"/>
                <w:sz w:val="21"/>
              </w:rPr>
              <w:t>小于</w:t>
            </w:r>
            <w:r>
              <w:rPr>
                <w:rFonts w:ascii="Calibri" w:hAnsi="Calibri" w:eastAsia="Calibri" w:cs="Calibri"/>
                <w:sz w:val="21"/>
              </w:rPr>
              <w:t>/</w:t>
            </w:r>
            <w:r>
              <w:rPr>
                <w:rFonts w:ascii="宋体" w:hAnsi="宋体" w:eastAsia="宋体" w:cs="宋体"/>
                <w:sz w:val="21"/>
              </w:rPr>
              <w:t>大于等于</w:t>
            </w:r>
            <w:r>
              <w:rPr>
                <w:rFonts w:ascii="Calibri" w:hAnsi="Calibri" w:eastAsia="Calibri" w:cs="Calibri"/>
                <w:sz w:val="21"/>
              </w:rPr>
              <w:t>/</w:t>
            </w:r>
            <w:r>
              <w:rPr>
                <w:rFonts w:ascii="宋体" w:hAnsi="宋体" w:eastAsia="宋体" w:cs="宋体"/>
                <w:sz w:val="21"/>
              </w:rPr>
              <w:t>小于等于</w:t>
            </w:r>
            <w:r>
              <w:rPr>
                <w:rFonts w:ascii="Calibri" w:hAnsi="Calibri" w:eastAsia="Calibri" w:cs="Calibri"/>
                <w:sz w:val="21"/>
              </w:rPr>
              <w:t>/BETWEEN...AND...; NOT BETWEEN...AND...; IN; NOT IN; IS NULL; IS NOT NULL; EXISTS; NOT EXISTS; LIKE; NOT LIKE</w:t>
            </w:r>
            <w:r>
              <w:rPr>
                <w:rFonts w:ascii="宋体" w:hAnsi="宋体" w:eastAsia="宋体" w:cs="宋体"/>
                <w:sz w:val="21"/>
              </w:rPr>
              <w:t>。</w:t>
            </w:r>
          </w:p>
          <w:p w14:paraId="09CCAC80">
            <w:pPr>
              <w:pStyle w:val="4"/>
              <w:jc w:val="both"/>
            </w:pPr>
            <w:r>
              <w:rPr>
                <w:rFonts w:ascii="宋体" w:hAnsi="宋体" w:eastAsia="宋体" w:cs="宋体"/>
                <w:sz w:val="21"/>
              </w:rPr>
              <w:t>j.支持多种标准函数</w:t>
            </w:r>
            <w:r>
              <w:rPr>
                <w:rFonts w:ascii="Calibri" w:hAnsi="Calibri" w:eastAsia="Calibri" w:cs="Calibri"/>
                <w:sz w:val="21"/>
              </w:rPr>
              <w:t>,</w:t>
            </w:r>
            <w:r>
              <w:rPr>
                <w:rFonts w:ascii="宋体" w:hAnsi="宋体" w:eastAsia="宋体" w:cs="宋体"/>
                <w:sz w:val="21"/>
              </w:rPr>
              <w:t>包括控制流函数、字符串函数、数值函数、日期和时间函数、转换函数、位函数、加密函数、信息函数、辅助函数、聚集函数、</w:t>
            </w:r>
            <w:r>
              <w:rPr>
                <w:rFonts w:ascii="Calibri" w:hAnsi="Calibri" w:eastAsia="Calibri" w:cs="Calibri"/>
                <w:sz w:val="21"/>
              </w:rPr>
              <w:t>OLAP</w:t>
            </w:r>
            <w:r>
              <w:rPr>
                <w:rFonts w:ascii="宋体" w:hAnsi="宋体" w:eastAsia="宋体" w:cs="宋体"/>
                <w:sz w:val="21"/>
              </w:rPr>
              <w:t>函数、正则表达式函数等。</w:t>
            </w:r>
          </w:p>
          <w:p w14:paraId="3D9463F1">
            <w:pPr>
              <w:pStyle w:val="4"/>
              <w:jc w:val="both"/>
            </w:pPr>
            <w:r>
              <w:rPr>
                <w:rFonts w:ascii="宋体" w:hAnsi="宋体" w:eastAsia="宋体" w:cs="宋体"/>
                <w:sz w:val="21"/>
              </w:rPr>
              <w:t>k.支持多种高效索引类型</w:t>
            </w:r>
            <w:r>
              <w:rPr>
                <w:rFonts w:ascii="Calibri" w:hAnsi="Calibri" w:eastAsia="Calibri" w:cs="Calibri"/>
                <w:sz w:val="21"/>
              </w:rPr>
              <w:t>;</w:t>
            </w:r>
            <w:r>
              <w:rPr>
                <w:rFonts w:ascii="宋体" w:hAnsi="宋体" w:eastAsia="宋体" w:cs="宋体"/>
                <w:sz w:val="21"/>
              </w:rPr>
              <w:t>支持创建表达式索引</w:t>
            </w:r>
            <w:r>
              <w:rPr>
                <w:rFonts w:ascii="Calibri" w:hAnsi="Calibri" w:eastAsia="Calibri" w:cs="Calibri"/>
                <w:sz w:val="21"/>
              </w:rPr>
              <w:t>,</w:t>
            </w:r>
            <w:r>
              <w:rPr>
                <w:rFonts w:ascii="宋体" w:hAnsi="宋体" w:eastAsia="宋体" w:cs="宋体"/>
                <w:sz w:val="21"/>
              </w:rPr>
              <w:t>加速字段通过函数运算后的查询效率。</w:t>
            </w:r>
          </w:p>
          <w:p w14:paraId="35A6469A">
            <w:pPr>
              <w:pStyle w:val="4"/>
              <w:jc w:val="both"/>
            </w:pPr>
            <w:r>
              <w:rPr>
                <w:rFonts w:ascii="宋体" w:hAnsi="宋体" w:eastAsia="宋体" w:cs="宋体"/>
                <w:sz w:val="21"/>
              </w:rPr>
              <w:t>l.支持不同数据库之间的</w:t>
            </w:r>
            <w:r>
              <w:rPr>
                <w:rFonts w:ascii="Calibri" w:hAnsi="Calibri" w:eastAsia="Calibri" w:cs="Calibri"/>
                <w:sz w:val="21"/>
              </w:rPr>
              <w:t>DBLINK</w:t>
            </w:r>
            <w:r>
              <w:rPr>
                <w:rFonts w:ascii="宋体" w:hAnsi="宋体" w:eastAsia="宋体" w:cs="宋体"/>
                <w:sz w:val="21"/>
              </w:rPr>
              <w:t>能力</w:t>
            </w:r>
            <w:r>
              <w:rPr>
                <w:rFonts w:ascii="Calibri" w:hAnsi="Calibri" w:eastAsia="Calibri" w:cs="Calibri"/>
                <w:sz w:val="21"/>
              </w:rPr>
              <w:t>,</w:t>
            </w:r>
            <w:r>
              <w:rPr>
                <w:rFonts w:ascii="宋体" w:hAnsi="宋体" w:eastAsia="宋体" w:cs="宋体"/>
                <w:sz w:val="21"/>
              </w:rPr>
              <w:t>包括数据的查询、写入。</w:t>
            </w:r>
          </w:p>
          <w:p w14:paraId="67914056">
            <w:pPr>
              <w:pStyle w:val="4"/>
              <w:jc w:val="both"/>
            </w:pPr>
            <w:r>
              <w:rPr>
                <w:rFonts w:ascii="宋体" w:hAnsi="宋体" w:eastAsia="宋体" w:cs="宋体"/>
                <w:sz w:val="21"/>
              </w:rPr>
              <w:t>m.支持事件调度功能</w:t>
            </w:r>
            <w:r>
              <w:rPr>
                <w:rFonts w:ascii="Calibri" w:hAnsi="Calibri" w:eastAsia="Calibri" w:cs="Calibri"/>
                <w:sz w:val="21"/>
              </w:rPr>
              <w:t>,</w:t>
            </w:r>
            <w:r>
              <w:rPr>
                <w:rFonts w:ascii="宋体" w:hAnsi="宋体" w:eastAsia="宋体" w:cs="宋体"/>
                <w:sz w:val="21"/>
              </w:rPr>
              <w:t>事件调度器可以在指定的时刻</w:t>
            </w:r>
            <w:r>
              <w:rPr>
                <w:rFonts w:ascii="Calibri" w:hAnsi="Calibri" w:eastAsia="Calibri" w:cs="Calibri"/>
                <w:sz w:val="21"/>
              </w:rPr>
              <w:t>,</w:t>
            </w:r>
            <w:r>
              <w:rPr>
                <w:rFonts w:ascii="宋体" w:hAnsi="宋体" w:eastAsia="宋体" w:cs="宋体"/>
                <w:sz w:val="21"/>
              </w:rPr>
              <w:t>执行特定的任务</w:t>
            </w:r>
            <w:r>
              <w:rPr>
                <w:rFonts w:ascii="Calibri" w:hAnsi="Calibri" w:eastAsia="Calibri" w:cs="Calibri"/>
                <w:sz w:val="21"/>
              </w:rPr>
              <w:t>,</w:t>
            </w:r>
            <w:r>
              <w:rPr>
                <w:rFonts w:ascii="宋体" w:hAnsi="宋体" w:eastAsia="宋体" w:cs="宋体"/>
                <w:sz w:val="21"/>
              </w:rPr>
              <w:t>从而实现系统的自动化操作。</w:t>
            </w:r>
          </w:p>
          <w:p w14:paraId="18ACCBE0">
            <w:pPr>
              <w:pStyle w:val="4"/>
              <w:jc w:val="both"/>
            </w:pPr>
            <w:r>
              <w:rPr>
                <w:rFonts w:ascii="宋体" w:hAnsi="宋体" w:eastAsia="宋体" w:cs="宋体"/>
                <w:sz w:val="21"/>
              </w:rPr>
              <w:t>n.支持通过序列产生唯一序号的数据库对象</w:t>
            </w:r>
            <w:r>
              <w:rPr>
                <w:rFonts w:ascii="Calibri" w:hAnsi="Calibri" w:eastAsia="Calibri" w:cs="Calibri"/>
                <w:sz w:val="21"/>
              </w:rPr>
              <w:t>,</w:t>
            </w:r>
            <w:r>
              <w:rPr>
                <w:rFonts w:ascii="宋体" w:hAnsi="宋体" w:eastAsia="宋体" w:cs="宋体"/>
                <w:sz w:val="21"/>
              </w:rPr>
              <w:t>可以为多个数据库用户依次生成不重复的连续整数</w:t>
            </w:r>
            <w:r>
              <w:rPr>
                <w:rFonts w:ascii="Calibri" w:hAnsi="Calibri" w:eastAsia="Calibri" w:cs="Calibri"/>
                <w:sz w:val="21"/>
              </w:rPr>
              <w:t>;</w:t>
            </w:r>
            <w:r>
              <w:rPr>
                <w:rFonts w:ascii="宋体" w:hAnsi="宋体" w:eastAsia="宋体" w:cs="宋体"/>
                <w:sz w:val="21"/>
              </w:rPr>
              <w:t>支持定义专供某张表使用的自增数据列类型</w:t>
            </w:r>
            <w:r>
              <w:rPr>
                <w:rFonts w:ascii="Calibri" w:hAnsi="Calibri" w:eastAsia="Calibri" w:cs="Calibri"/>
                <w:sz w:val="21"/>
              </w:rPr>
              <w:t>,</w:t>
            </w:r>
            <w:r>
              <w:rPr>
                <w:rFonts w:ascii="宋体" w:hAnsi="宋体" w:eastAsia="宋体" w:cs="宋体"/>
                <w:sz w:val="21"/>
              </w:rPr>
              <w:t>支持多种字段类型。</w:t>
            </w:r>
          </w:p>
          <w:p w14:paraId="0AE18CDC">
            <w:pPr>
              <w:pStyle w:val="4"/>
              <w:jc w:val="both"/>
            </w:pPr>
            <w:r>
              <w:rPr>
                <w:rFonts w:ascii="宋体" w:hAnsi="宋体" w:eastAsia="宋体" w:cs="宋体"/>
                <w:sz w:val="21"/>
              </w:rPr>
              <w:t>o.提供内嵌的并行计算能力</w:t>
            </w:r>
            <w:r>
              <w:rPr>
                <w:rFonts w:ascii="Calibri" w:hAnsi="Calibri" w:eastAsia="Calibri" w:cs="Calibri"/>
                <w:sz w:val="21"/>
              </w:rPr>
              <w:t>,</w:t>
            </w:r>
            <w:r>
              <w:rPr>
                <w:rFonts w:ascii="宋体" w:hAnsi="宋体" w:eastAsia="宋体" w:cs="宋体"/>
                <w:sz w:val="21"/>
              </w:rPr>
              <w:t>包括</w:t>
            </w:r>
            <w:r>
              <w:rPr>
                <w:rFonts w:ascii="Calibri" w:hAnsi="Calibri" w:eastAsia="Calibri" w:cs="Calibri"/>
                <w:sz w:val="21"/>
              </w:rPr>
              <w:t>:SQL</w:t>
            </w:r>
            <w:r>
              <w:rPr>
                <w:rFonts w:ascii="宋体" w:hAnsi="宋体" w:eastAsia="宋体" w:cs="宋体"/>
                <w:sz w:val="21"/>
              </w:rPr>
              <w:t>计算</w:t>
            </w:r>
            <w:r>
              <w:rPr>
                <w:rFonts w:ascii="Calibri" w:hAnsi="Calibri" w:eastAsia="Calibri" w:cs="Calibri"/>
                <w:sz w:val="21"/>
              </w:rPr>
              <w:t>,</w:t>
            </w:r>
            <w:r>
              <w:rPr>
                <w:rFonts w:ascii="宋体" w:hAnsi="宋体" w:eastAsia="宋体" w:cs="宋体"/>
                <w:sz w:val="21"/>
              </w:rPr>
              <w:t>例如排序、分组、聚集、</w:t>
            </w:r>
            <w:r>
              <w:rPr>
                <w:rFonts w:ascii="Calibri" w:hAnsi="Calibri" w:eastAsia="Calibri" w:cs="Calibri"/>
                <w:sz w:val="21"/>
              </w:rPr>
              <w:t>CUBE</w:t>
            </w:r>
            <w:r>
              <w:rPr>
                <w:rFonts w:ascii="宋体" w:hAnsi="宋体" w:eastAsia="宋体" w:cs="宋体"/>
                <w:sz w:val="21"/>
              </w:rPr>
              <w:t>计算等。</w:t>
            </w:r>
          </w:p>
          <w:p w14:paraId="3B1C8205">
            <w:pPr>
              <w:pStyle w:val="4"/>
              <w:jc w:val="both"/>
            </w:pPr>
            <w:r>
              <w:rPr>
                <w:rFonts w:ascii="宋体" w:hAnsi="宋体" w:eastAsia="宋体" w:cs="宋体"/>
                <w:sz w:val="21"/>
              </w:rPr>
              <w:t>p.支持数据库对</w:t>
            </w:r>
            <w:r>
              <w:rPr>
                <w:rFonts w:ascii="Calibri" w:hAnsi="Calibri" w:eastAsia="Calibri" w:cs="Calibri"/>
                <w:sz w:val="21"/>
              </w:rPr>
              <w:t>HDFS</w:t>
            </w:r>
            <w:r>
              <w:rPr>
                <w:rFonts w:ascii="宋体" w:hAnsi="宋体" w:eastAsia="宋体" w:cs="宋体"/>
                <w:sz w:val="21"/>
              </w:rPr>
              <w:t>数据源访问的功能、对</w:t>
            </w:r>
            <w:r>
              <w:rPr>
                <w:rFonts w:ascii="Calibri" w:hAnsi="Calibri" w:eastAsia="Calibri" w:cs="Calibri"/>
                <w:sz w:val="21"/>
              </w:rPr>
              <w:t>Kafka</w:t>
            </w:r>
            <w:r>
              <w:rPr>
                <w:rFonts w:ascii="宋体" w:hAnsi="宋体" w:eastAsia="宋体" w:cs="宋体"/>
                <w:sz w:val="21"/>
              </w:rPr>
              <w:t>数据源访问的功能</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HIVE</w:t>
            </w:r>
            <w:r>
              <w:rPr>
                <w:rFonts w:ascii="宋体" w:hAnsi="宋体" w:eastAsia="宋体" w:cs="宋体"/>
                <w:sz w:val="21"/>
              </w:rPr>
              <w:t>对数据库访问的功能、支持库内集成算法库对数据进行库内挖掘的功能</w:t>
            </w:r>
            <w:r>
              <w:rPr>
                <w:rFonts w:ascii="Calibri" w:hAnsi="Calibri" w:eastAsia="Calibri" w:cs="Calibri"/>
                <w:sz w:val="21"/>
              </w:rPr>
              <w:t>,</w:t>
            </w:r>
            <w:r>
              <w:rPr>
                <w:rFonts w:ascii="宋体" w:hAnsi="宋体" w:eastAsia="宋体" w:cs="宋体"/>
                <w:sz w:val="21"/>
              </w:rPr>
              <w:t>内置多种数据挖掘算法。</w:t>
            </w:r>
          </w:p>
          <w:p w14:paraId="4C17D0D9">
            <w:pPr>
              <w:pStyle w:val="4"/>
              <w:jc w:val="both"/>
            </w:pPr>
            <w:r>
              <w:rPr>
                <w:rFonts w:ascii="宋体" w:hAnsi="宋体" w:eastAsia="宋体" w:cs="宋体"/>
                <w:sz w:val="21"/>
              </w:rPr>
              <w:t>q.支持连接异构数据库</w:t>
            </w:r>
            <w:r>
              <w:rPr>
                <w:rFonts w:ascii="Calibri" w:hAnsi="Calibri" w:eastAsia="Calibri" w:cs="Calibri"/>
                <w:sz w:val="21"/>
              </w:rPr>
              <w:t>,</w:t>
            </w:r>
            <w:r>
              <w:rPr>
                <w:rFonts w:ascii="宋体" w:hAnsi="宋体" w:eastAsia="宋体" w:cs="宋体"/>
                <w:sz w:val="21"/>
              </w:rPr>
              <w:t>异构数据库包括</w:t>
            </w:r>
            <w:r>
              <w:rPr>
                <w:rFonts w:ascii="Calibri" w:hAnsi="Calibri" w:eastAsia="Calibri" w:cs="Calibri"/>
                <w:sz w:val="21"/>
              </w:rPr>
              <w:t>oracle</w:t>
            </w:r>
            <w:r>
              <w:rPr>
                <w:rFonts w:ascii="宋体" w:hAnsi="宋体" w:eastAsia="宋体" w:cs="宋体"/>
                <w:sz w:val="21"/>
              </w:rPr>
              <w:t>、</w:t>
            </w:r>
            <w:r>
              <w:rPr>
                <w:rFonts w:ascii="Calibri" w:hAnsi="Calibri" w:eastAsia="Calibri" w:cs="Calibri"/>
                <w:sz w:val="21"/>
              </w:rPr>
              <w:t>mysql</w:t>
            </w:r>
            <w:r>
              <w:rPr>
                <w:rFonts w:ascii="宋体" w:hAnsi="宋体" w:eastAsia="宋体" w:cs="宋体"/>
                <w:sz w:val="21"/>
              </w:rPr>
              <w:t>、</w:t>
            </w:r>
            <w:r>
              <w:rPr>
                <w:rFonts w:ascii="Calibri" w:hAnsi="Calibri" w:eastAsia="Calibri" w:cs="Calibri"/>
                <w:sz w:val="21"/>
              </w:rPr>
              <w:t>sql server</w:t>
            </w:r>
            <w:r>
              <w:rPr>
                <w:rFonts w:ascii="宋体" w:hAnsi="宋体" w:eastAsia="宋体" w:cs="宋体"/>
                <w:sz w:val="21"/>
              </w:rPr>
              <w:t>、</w:t>
            </w:r>
            <w:r>
              <w:rPr>
                <w:rFonts w:ascii="Calibri" w:hAnsi="Calibri" w:eastAsia="Calibri" w:cs="Calibri"/>
                <w:sz w:val="21"/>
              </w:rPr>
              <w:t>db2</w:t>
            </w:r>
            <w:r>
              <w:rPr>
                <w:rFonts w:ascii="宋体" w:hAnsi="宋体" w:eastAsia="宋体" w:cs="宋体"/>
                <w:sz w:val="21"/>
              </w:rPr>
              <w:t>、</w:t>
            </w:r>
            <w:r>
              <w:rPr>
                <w:rFonts w:ascii="Calibri" w:hAnsi="Calibri" w:eastAsia="Calibri" w:cs="Calibri"/>
                <w:sz w:val="21"/>
              </w:rPr>
              <w:t>postgresql</w:t>
            </w:r>
            <w:r>
              <w:rPr>
                <w:rFonts w:ascii="宋体" w:hAnsi="宋体" w:eastAsia="宋体" w:cs="宋体"/>
                <w:sz w:val="21"/>
              </w:rPr>
              <w:t>等数据库。</w:t>
            </w:r>
          </w:p>
          <w:p w14:paraId="158F711A">
            <w:pPr>
              <w:pStyle w:val="4"/>
              <w:jc w:val="both"/>
            </w:pPr>
            <w:r>
              <w:rPr>
                <w:rFonts w:ascii="宋体" w:hAnsi="宋体" w:eastAsia="宋体" w:cs="宋体"/>
                <w:sz w:val="21"/>
              </w:rPr>
              <w:t>r.支持并发任务数控制、任务队列、等待任务超时处理、运行任务超时处理等。</w:t>
            </w:r>
          </w:p>
          <w:p w14:paraId="00BB3CB9">
            <w:pPr>
              <w:pStyle w:val="4"/>
              <w:jc w:val="both"/>
            </w:pPr>
            <w:r>
              <w:rPr>
                <w:rFonts w:ascii="宋体" w:hAnsi="宋体" w:eastAsia="宋体" w:cs="宋体"/>
                <w:sz w:val="21"/>
              </w:rPr>
              <w:t>s.支持多源并行数据加载和导出</w:t>
            </w:r>
            <w:r>
              <w:rPr>
                <w:rFonts w:ascii="Calibri" w:hAnsi="Calibri" w:eastAsia="Calibri" w:cs="Calibri"/>
                <w:sz w:val="21"/>
              </w:rPr>
              <w:t>,</w:t>
            </w:r>
            <w:r>
              <w:rPr>
                <w:rFonts w:ascii="宋体" w:hAnsi="宋体" w:eastAsia="宋体" w:cs="宋体"/>
                <w:sz w:val="21"/>
              </w:rPr>
              <w:t>包括多种网络协议和多种数据源格式。</w:t>
            </w:r>
          </w:p>
          <w:p w14:paraId="6439A8CB">
            <w:pPr>
              <w:pStyle w:val="4"/>
              <w:jc w:val="both"/>
            </w:pPr>
            <w:r>
              <w:rPr>
                <w:rFonts w:ascii="宋体" w:hAnsi="宋体" w:eastAsia="宋体" w:cs="宋体"/>
                <w:sz w:val="21"/>
              </w:rPr>
              <w:t>t.支持数据并行导入导出成多个文件。</w:t>
            </w:r>
          </w:p>
          <w:p w14:paraId="5F740CEA">
            <w:pPr>
              <w:pStyle w:val="4"/>
              <w:jc w:val="both"/>
            </w:pPr>
            <w:r>
              <w:rPr>
                <w:rFonts w:ascii="Calibri" w:hAnsi="Calibri" w:eastAsia="Calibri" w:cs="Calibri"/>
                <w:sz w:val="21"/>
              </w:rPr>
              <w:t>u..</w:t>
            </w:r>
            <w:r>
              <w:rPr>
                <w:rFonts w:ascii="宋体" w:hAnsi="宋体" w:eastAsia="宋体" w:cs="宋体"/>
                <w:sz w:val="21"/>
              </w:rPr>
              <w:t>产品通过数据冗余机制保证互备的分片数据自动同步。故障节点自动切换</w:t>
            </w:r>
            <w:r>
              <w:rPr>
                <w:rFonts w:ascii="Calibri" w:hAnsi="Calibri" w:eastAsia="Calibri" w:cs="Calibri"/>
                <w:sz w:val="21"/>
              </w:rPr>
              <w:t>,</w:t>
            </w:r>
            <w:r>
              <w:rPr>
                <w:rFonts w:ascii="宋体" w:hAnsi="宋体" w:eastAsia="宋体" w:cs="宋体"/>
                <w:sz w:val="21"/>
              </w:rPr>
              <w:t>切换后故障节点自动成为备节点。</w:t>
            </w:r>
          </w:p>
          <w:p w14:paraId="2442A5F5">
            <w:pPr>
              <w:pStyle w:val="4"/>
              <w:jc w:val="both"/>
            </w:pPr>
            <w:r>
              <w:rPr>
                <w:rFonts w:ascii="Calibri" w:hAnsi="Calibri" w:eastAsia="Calibri" w:cs="Calibri"/>
                <w:sz w:val="21"/>
              </w:rPr>
              <w:t>v..</w:t>
            </w:r>
            <w:r>
              <w:rPr>
                <w:rFonts w:ascii="宋体" w:hAnsi="宋体" w:eastAsia="宋体" w:cs="宋体"/>
                <w:sz w:val="21"/>
              </w:rPr>
              <w:t>支持数据多副本</w:t>
            </w:r>
            <w:r>
              <w:rPr>
                <w:rFonts w:ascii="Calibri" w:hAnsi="Calibri" w:eastAsia="Calibri" w:cs="Calibri"/>
                <w:sz w:val="21"/>
              </w:rPr>
              <w:t>;</w:t>
            </w:r>
            <w:r>
              <w:rPr>
                <w:rFonts w:ascii="宋体" w:hAnsi="宋体" w:eastAsia="宋体" w:cs="宋体"/>
                <w:sz w:val="21"/>
              </w:rPr>
              <w:t>支持多种副本分布方式。</w:t>
            </w:r>
          </w:p>
          <w:p w14:paraId="3A0E384B">
            <w:pPr>
              <w:pStyle w:val="4"/>
              <w:jc w:val="both"/>
            </w:pPr>
            <w:r>
              <w:rPr>
                <w:rFonts w:ascii="Calibri" w:hAnsi="Calibri" w:eastAsia="Calibri" w:cs="Calibri"/>
                <w:sz w:val="21"/>
              </w:rPr>
              <w:t>w..</w:t>
            </w:r>
            <w:r>
              <w:rPr>
                <w:rFonts w:ascii="宋体" w:hAnsi="宋体" w:eastAsia="宋体" w:cs="宋体"/>
                <w:sz w:val="21"/>
              </w:rPr>
              <w:t>支持身份鉴别</w:t>
            </w:r>
            <w:r>
              <w:rPr>
                <w:rFonts w:ascii="Calibri" w:hAnsi="Calibri" w:eastAsia="Calibri" w:cs="Calibri"/>
                <w:sz w:val="21"/>
              </w:rPr>
              <w:t>,</w:t>
            </w:r>
            <w:r>
              <w:rPr>
                <w:rFonts w:ascii="宋体" w:hAnsi="宋体" w:eastAsia="宋体" w:cs="宋体"/>
                <w:sz w:val="21"/>
              </w:rPr>
              <w:t>数据库的鉴别信息能在存储和传输时用加密方法进行安全保护</w:t>
            </w:r>
            <w:r>
              <w:rPr>
                <w:rFonts w:ascii="Calibri" w:hAnsi="Calibri" w:eastAsia="Calibri" w:cs="Calibri"/>
                <w:sz w:val="21"/>
              </w:rPr>
              <w:t>;</w:t>
            </w:r>
            <w:r>
              <w:rPr>
                <w:rFonts w:ascii="宋体" w:hAnsi="宋体" w:eastAsia="宋体" w:cs="宋体"/>
                <w:sz w:val="21"/>
              </w:rPr>
              <w:t>具备不同的用户口令策略</w:t>
            </w:r>
            <w:r>
              <w:rPr>
                <w:rFonts w:ascii="Calibri" w:hAnsi="Calibri" w:eastAsia="Calibri" w:cs="Calibri"/>
                <w:sz w:val="21"/>
              </w:rPr>
              <w:t>;</w:t>
            </w:r>
            <w:r>
              <w:rPr>
                <w:rFonts w:ascii="宋体" w:hAnsi="宋体" w:eastAsia="宋体" w:cs="宋体"/>
                <w:sz w:val="21"/>
              </w:rPr>
              <w:t>支持设置不成功的鉴别尝试次数的值</w:t>
            </w:r>
            <w:r>
              <w:rPr>
                <w:rFonts w:ascii="Calibri" w:hAnsi="Calibri" w:eastAsia="Calibri" w:cs="Calibri"/>
                <w:sz w:val="21"/>
              </w:rPr>
              <w:t>;</w:t>
            </w:r>
            <w:r>
              <w:rPr>
                <w:rFonts w:ascii="宋体" w:hAnsi="宋体" w:eastAsia="宋体" w:cs="宋体"/>
                <w:sz w:val="21"/>
              </w:rPr>
              <w:t>支持通过指定</w:t>
            </w:r>
            <w:r>
              <w:rPr>
                <w:rFonts w:ascii="Calibri" w:hAnsi="Calibri" w:eastAsia="Calibri" w:cs="Calibri"/>
                <w:sz w:val="21"/>
              </w:rPr>
              <w:t>IP</w:t>
            </w:r>
            <w:r>
              <w:rPr>
                <w:rFonts w:ascii="宋体" w:hAnsi="宋体" w:eastAsia="宋体" w:cs="宋体"/>
                <w:sz w:val="21"/>
              </w:rPr>
              <w:t>、指定用户方式限制用户登录。</w:t>
            </w:r>
          </w:p>
          <w:p w14:paraId="25203A11">
            <w:pPr>
              <w:pStyle w:val="4"/>
              <w:jc w:val="both"/>
            </w:pPr>
            <w:r>
              <w:rPr>
                <w:rFonts w:ascii="Calibri" w:hAnsi="Calibri" w:eastAsia="Calibri" w:cs="Calibri"/>
                <w:sz w:val="21"/>
              </w:rPr>
              <w:t>x.</w:t>
            </w:r>
            <w:r>
              <w:rPr>
                <w:rFonts w:ascii="宋体" w:hAnsi="宋体" w:eastAsia="宋体" w:cs="宋体"/>
                <w:sz w:val="21"/>
              </w:rPr>
              <w:t>支持库、表、列级别数据的用户自主访问控制能力</w:t>
            </w:r>
            <w:r>
              <w:rPr>
                <w:rFonts w:ascii="Calibri" w:hAnsi="Calibri" w:eastAsia="Calibri" w:cs="Calibri"/>
                <w:sz w:val="21"/>
              </w:rPr>
              <w:t>;</w:t>
            </w:r>
            <w:r>
              <w:rPr>
                <w:rFonts w:ascii="宋体" w:hAnsi="宋体" w:eastAsia="宋体" w:cs="宋体"/>
                <w:sz w:val="21"/>
              </w:rPr>
              <w:t>支持记录用户的各种成功或不成功的访问</w:t>
            </w:r>
            <w:r>
              <w:rPr>
                <w:rFonts w:ascii="Calibri" w:hAnsi="Calibri" w:eastAsia="Calibri" w:cs="Calibri"/>
                <w:sz w:val="21"/>
              </w:rPr>
              <w:t>;</w:t>
            </w:r>
            <w:r>
              <w:rPr>
                <w:rFonts w:ascii="宋体" w:hAnsi="宋体" w:eastAsia="宋体" w:cs="宋体"/>
                <w:sz w:val="21"/>
              </w:rPr>
              <w:t>支持登录信息提醒、上次成功访问鉴别失败情况、口令到期天数、登录失败次数记录。</w:t>
            </w:r>
          </w:p>
          <w:p w14:paraId="210B2BD3">
            <w:pPr>
              <w:pStyle w:val="4"/>
              <w:jc w:val="both"/>
            </w:pPr>
            <w:r>
              <w:rPr>
                <w:rFonts w:ascii="Calibri" w:hAnsi="Calibri" w:eastAsia="Calibri" w:cs="Calibri"/>
                <w:sz w:val="21"/>
              </w:rPr>
              <w:t>y.</w:t>
            </w:r>
            <w:r>
              <w:rPr>
                <w:rFonts w:ascii="宋体" w:hAnsi="宋体" w:eastAsia="宋体" w:cs="宋体"/>
                <w:sz w:val="21"/>
              </w:rPr>
              <w:t>支持使用图形化开发工具对数据库集群进行操作</w:t>
            </w:r>
            <w:r>
              <w:rPr>
                <w:rFonts w:ascii="Calibri" w:hAnsi="Calibri" w:eastAsia="Calibri" w:cs="Calibri"/>
                <w:sz w:val="21"/>
              </w:rPr>
              <w:t>,</w:t>
            </w:r>
            <w:r>
              <w:rPr>
                <w:rFonts w:ascii="宋体" w:hAnsi="宋体" w:eastAsia="宋体" w:cs="宋体"/>
                <w:sz w:val="21"/>
              </w:rPr>
              <w:t>包括创建、修改、删除用户及角色</w:t>
            </w:r>
            <w:r>
              <w:rPr>
                <w:rFonts w:ascii="Calibri" w:hAnsi="Calibri" w:eastAsia="Calibri" w:cs="Calibri"/>
                <w:sz w:val="21"/>
              </w:rPr>
              <w:t>;</w:t>
            </w:r>
            <w:r>
              <w:rPr>
                <w:rFonts w:ascii="宋体" w:hAnsi="宋体" w:eastAsia="宋体" w:cs="宋体"/>
                <w:sz w:val="21"/>
              </w:rPr>
              <w:t>创建、修改、删除数据库对象</w:t>
            </w:r>
            <w:r>
              <w:rPr>
                <w:rFonts w:ascii="Calibri" w:hAnsi="Calibri" w:eastAsia="Calibri" w:cs="Calibri"/>
                <w:sz w:val="21"/>
              </w:rPr>
              <w:t>;</w:t>
            </w:r>
            <w:r>
              <w:rPr>
                <w:rFonts w:ascii="宋体" w:hAnsi="宋体" w:eastAsia="宋体" w:cs="宋体"/>
                <w:sz w:val="21"/>
              </w:rPr>
              <w:t>支持通过图形化工具执行相关操作</w:t>
            </w:r>
            <w:r>
              <w:rPr>
                <w:rFonts w:ascii="Calibri" w:hAnsi="Calibri" w:eastAsia="Calibri" w:cs="Calibri"/>
                <w:sz w:val="21"/>
              </w:rPr>
              <w:t>;</w:t>
            </w:r>
            <w:r>
              <w:rPr>
                <w:rFonts w:ascii="宋体" w:hAnsi="宋体" w:eastAsia="宋体" w:cs="宋体"/>
                <w:sz w:val="21"/>
              </w:rPr>
              <w:t>支持图形化</w:t>
            </w:r>
            <w:r>
              <w:rPr>
                <w:rFonts w:ascii="Calibri" w:hAnsi="Calibri" w:eastAsia="Calibri" w:cs="Calibri"/>
                <w:sz w:val="21"/>
              </w:rPr>
              <w:t>SQL</w:t>
            </w:r>
            <w:r>
              <w:rPr>
                <w:rFonts w:ascii="宋体" w:hAnsi="宋体" w:eastAsia="宋体" w:cs="宋体"/>
                <w:sz w:val="21"/>
              </w:rPr>
              <w:t>编辑工具</w:t>
            </w:r>
            <w:r>
              <w:rPr>
                <w:rFonts w:ascii="Calibri" w:hAnsi="Calibri" w:eastAsia="Calibri" w:cs="Calibri"/>
                <w:sz w:val="21"/>
              </w:rPr>
              <w:t>,</w:t>
            </w:r>
            <w:r>
              <w:rPr>
                <w:rFonts w:ascii="宋体" w:hAnsi="宋体" w:eastAsia="宋体" w:cs="宋体"/>
                <w:sz w:val="21"/>
              </w:rPr>
              <w:t>包括</w:t>
            </w:r>
            <w:r>
              <w:rPr>
                <w:rFonts w:ascii="Calibri" w:hAnsi="Calibri" w:eastAsia="Calibri" w:cs="Calibri"/>
                <w:sz w:val="21"/>
              </w:rPr>
              <w:t>:</w:t>
            </w:r>
            <w:r>
              <w:rPr>
                <w:rFonts w:ascii="宋体" w:hAnsi="宋体" w:eastAsia="宋体" w:cs="宋体"/>
                <w:sz w:val="21"/>
              </w:rPr>
              <w:t>对象浏览</w:t>
            </w:r>
            <w:r>
              <w:rPr>
                <w:rFonts w:ascii="Calibri" w:hAnsi="Calibri" w:eastAsia="Calibri" w:cs="Calibri"/>
                <w:sz w:val="21"/>
              </w:rPr>
              <w:t>,</w:t>
            </w:r>
            <w:r>
              <w:rPr>
                <w:rFonts w:ascii="宋体" w:hAnsi="宋体" w:eastAsia="宋体" w:cs="宋体"/>
                <w:sz w:val="21"/>
              </w:rPr>
              <w:t>语法高亮</w:t>
            </w:r>
            <w:r>
              <w:rPr>
                <w:rFonts w:ascii="Calibri" w:hAnsi="Calibri" w:eastAsia="Calibri" w:cs="Calibri"/>
                <w:sz w:val="21"/>
              </w:rPr>
              <w:t>,</w:t>
            </w:r>
            <w:r>
              <w:rPr>
                <w:rFonts w:ascii="宋体" w:hAnsi="宋体" w:eastAsia="宋体" w:cs="宋体"/>
                <w:sz w:val="21"/>
              </w:rPr>
              <w:t>智能格式化</w:t>
            </w:r>
            <w:r>
              <w:rPr>
                <w:rFonts w:ascii="Calibri" w:hAnsi="Calibri" w:eastAsia="Calibri" w:cs="Calibri"/>
                <w:sz w:val="21"/>
              </w:rPr>
              <w:t>,</w:t>
            </w:r>
            <w:r>
              <w:rPr>
                <w:rFonts w:ascii="宋体" w:hAnsi="宋体" w:eastAsia="宋体" w:cs="宋体"/>
                <w:sz w:val="21"/>
              </w:rPr>
              <w:t>自动填充</w:t>
            </w:r>
            <w:r>
              <w:rPr>
                <w:rFonts w:ascii="Calibri" w:hAnsi="Calibri" w:eastAsia="Calibri" w:cs="Calibri"/>
                <w:sz w:val="21"/>
              </w:rPr>
              <w:t>,</w:t>
            </w:r>
            <w:r>
              <w:rPr>
                <w:rFonts w:ascii="宋体" w:hAnsi="宋体" w:eastAsia="宋体" w:cs="宋体"/>
                <w:sz w:val="21"/>
              </w:rPr>
              <w:t>图形化执行计划</w:t>
            </w:r>
            <w:r>
              <w:rPr>
                <w:rFonts w:ascii="Calibri" w:hAnsi="Calibri" w:eastAsia="Calibri" w:cs="Calibri"/>
                <w:sz w:val="21"/>
              </w:rPr>
              <w:t>,</w:t>
            </w:r>
            <w:r>
              <w:rPr>
                <w:rFonts w:ascii="宋体" w:hAnsi="宋体" w:eastAsia="宋体" w:cs="宋体"/>
                <w:sz w:val="21"/>
              </w:rPr>
              <w:t>用户管理、权限管理功能。</w:t>
            </w:r>
          </w:p>
          <w:p w14:paraId="5C76A7B1">
            <w:pPr>
              <w:pStyle w:val="4"/>
              <w:jc w:val="both"/>
            </w:pPr>
            <w:r>
              <w:rPr>
                <w:rFonts w:ascii="宋体" w:hAnsi="宋体" w:eastAsia="宋体" w:cs="宋体"/>
                <w:sz w:val="21"/>
              </w:rPr>
              <w:t>（4）国产服务器操作系统</w:t>
            </w:r>
          </w:p>
          <w:p w14:paraId="69F4EFF0">
            <w:pPr>
              <w:pStyle w:val="4"/>
              <w:jc w:val="both"/>
            </w:pPr>
            <w:r>
              <w:rPr>
                <w:rFonts w:ascii="宋体" w:hAnsi="宋体" w:eastAsia="宋体" w:cs="宋体"/>
                <w:sz w:val="21"/>
              </w:rPr>
              <w:t>必须是《名录》（作为补充文件线下领取）内的服务器操作系统产品。具备任务管理、内存管理、文件系统、存储支持、网络协议支持、字符集支持、中文支持、基本命令、硬件适配性、图形用户界面、系统与服务管理等基本功能</w:t>
            </w:r>
            <w:r>
              <w:rPr>
                <w:rFonts w:ascii="Calibri" w:hAnsi="Calibri" w:eastAsia="Calibri" w:cs="Calibri"/>
                <w:sz w:val="21"/>
              </w:rPr>
              <w:t>,</w:t>
            </w:r>
            <w:r>
              <w:rPr>
                <w:rFonts w:ascii="宋体" w:hAnsi="宋体" w:eastAsia="宋体" w:cs="宋体"/>
                <w:sz w:val="21"/>
              </w:rPr>
              <w:t>具备可扩展性、高可用支撑能力</w:t>
            </w:r>
            <w:r>
              <w:rPr>
                <w:rFonts w:ascii="Calibri" w:hAnsi="Calibri" w:eastAsia="Calibri" w:cs="Calibri"/>
                <w:sz w:val="21"/>
              </w:rPr>
              <w:t>,</w:t>
            </w:r>
            <w:r>
              <w:rPr>
                <w:rFonts w:ascii="宋体" w:hAnsi="宋体" w:eastAsia="宋体" w:cs="宋体"/>
                <w:sz w:val="21"/>
              </w:rPr>
              <w:t>提供对军用数据库、军用中间件和外设的支持。</w:t>
            </w:r>
          </w:p>
          <w:p w14:paraId="19A449FC">
            <w:pPr>
              <w:pStyle w:val="4"/>
              <w:jc w:val="both"/>
            </w:pPr>
            <w:r>
              <w:rPr>
                <w:rFonts w:ascii="宋体" w:hAnsi="宋体" w:eastAsia="宋体" w:cs="宋体"/>
                <w:sz w:val="21"/>
              </w:rPr>
              <w:t>(5)国产应用中间件</w:t>
            </w:r>
          </w:p>
          <w:p w14:paraId="6693B71F">
            <w:pPr>
              <w:pStyle w:val="4"/>
              <w:jc w:val="both"/>
            </w:pPr>
            <w:r>
              <w:rPr>
                <w:rFonts w:ascii="宋体" w:hAnsi="宋体" w:eastAsia="宋体" w:cs="宋体"/>
                <w:sz w:val="21"/>
              </w:rPr>
              <w:t>①国产品牌</w:t>
            </w:r>
            <w:r>
              <w:rPr>
                <w:rFonts w:ascii="Calibri" w:hAnsi="Calibri" w:eastAsia="Calibri" w:cs="Calibri"/>
                <w:sz w:val="21"/>
              </w:rPr>
              <w:t>(</w:t>
            </w:r>
            <w:r>
              <w:rPr>
                <w:rFonts w:ascii="宋体" w:hAnsi="宋体" w:eastAsia="宋体" w:cs="宋体"/>
                <w:sz w:val="21"/>
              </w:rPr>
              <w:t>供应商提供承诺书</w:t>
            </w:r>
            <w:r>
              <w:rPr>
                <w:rFonts w:ascii="Calibri" w:hAnsi="Calibri" w:eastAsia="Calibri" w:cs="Calibri"/>
                <w:sz w:val="21"/>
              </w:rPr>
              <w:t>),</w:t>
            </w:r>
            <w:r>
              <w:rPr>
                <w:rFonts w:ascii="宋体" w:hAnsi="宋体" w:eastAsia="宋体" w:cs="宋体"/>
                <w:sz w:val="21"/>
              </w:rPr>
              <w:t>成熟、稳定、可靠</w:t>
            </w:r>
            <w:r>
              <w:rPr>
                <w:rFonts w:ascii="Calibri" w:hAnsi="Calibri" w:eastAsia="Calibri" w:cs="Calibri"/>
                <w:sz w:val="21"/>
              </w:rPr>
              <w:t>,</w:t>
            </w:r>
            <w:r>
              <w:rPr>
                <w:rFonts w:ascii="宋体" w:hAnsi="宋体" w:eastAsia="宋体" w:cs="宋体"/>
                <w:sz w:val="21"/>
              </w:rPr>
              <w:t>具有大型系统的应用案例。</w:t>
            </w:r>
          </w:p>
          <w:p w14:paraId="2CFE6603">
            <w:pPr>
              <w:pStyle w:val="4"/>
              <w:jc w:val="both"/>
            </w:pPr>
            <w:r>
              <w:rPr>
                <w:rFonts w:ascii="宋体" w:hAnsi="宋体" w:eastAsia="宋体" w:cs="宋体"/>
                <w:sz w:val="21"/>
              </w:rPr>
              <w:t>②遵循标准规范，通过</w:t>
            </w:r>
            <w:r>
              <w:rPr>
                <w:rFonts w:ascii="Calibri" w:hAnsi="Calibri" w:eastAsia="Calibri" w:cs="Calibri"/>
                <w:sz w:val="21"/>
              </w:rPr>
              <w:t>Java EE 5</w:t>
            </w:r>
            <w:r>
              <w:rPr>
                <w:rFonts w:ascii="宋体" w:hAnsi="宋体" w:eastAsia="宋体" w:cs="宋体"/>
                <w:sz w:val="21"/>
              </w:rPr>
              <w:t>、</w:t>
            </w:r>
            <w:r>
              <w:rPr>
                <w:rFonts w:ascii="Calibri" w:hAnsi="Calibri" w:eastAsia="Calibri" w:cs="Calibri"/>
                <w:sz w:val="21"/>
              </w:rPr>
              <w:t>JavaEE 6</w:t>
            </w:r>
            <w:r>
              <w:rPr>
                <w:rFonts w:ascii="宋体" w:hAnsi="宋体" w:eastAsia="宋体" w:cs="宋体"/>
                <w:sz w:val="21"/>
              </w:rPr>
              <w:t>、</w:t>
            </w:r>
            <w:r>
              <w:rPr>
                <w:rFonts w:ascii="Calibri" w:hAnsi="Calibri" w:eastAsia="Calibri" w:cs="Calibri"/>
                <w:sz w:val="21"/>
              </w:rPr>
              <w:t>JavaEE 7</w:t>
            </w:r>
            <w:r>
              <w:rPr>
                <w:rFonts w:ascii="宋体" w:hAnsi="宋体" w:eastAsia="宋体" w:cs="宋体"/>
                <w:sz w:val="21"/>
              </w:rPr>
              <w:t>、</w:t>
            </w:r>
            <w:r>
              <w:rPr>
                <w:rFonts w:ascii="Calibri" w:hAnsi="Calibri" w:eastAsia="Calibri" w:cs="Calibri"/>
                <w:sz w:val="21"/>
              </w:rPr>
              <w:t>JavaEE 8</w:t>
            </w:r>
            <w:r>
              <w:rPr>
                <w:rFonts w:ascii="宋体" w:hAnsi="宋体" w:eastAsia="宋体" w:cs="宋体"/>
                <w:sz w:val="21"/>
              </w:rPr>
              <w:t>、</w:t>
            </w:r>
            <w:r>
              <w:rPr>
                <w:rFonts w:ascii="Calibri" w:hAnsi="Calibri" w:eastAsia="Calibri" w:cs="Calibri"/>
                <w:sz w:val="21"/>
              </w:rPr>
              <w:t>Jakarta EE8</w:t>
            </w:r>
            <w:r>
              <w:rPr>
                <w:rFonts w:ascii="宋体" w:hAnsi="宋体" w:eastAsia="宋体" w:cs="宋体"/>
                <w:sz w:val="21"/>
              </w:rPr>
              <w:t>、</w:t>
            </w:r>
            <w:r>
              <w:rPr>
                <w:rFonts w:ascii="Calibri" w:hAnsi="Calibri" w:eastAsia="Calibri" w:cs="Calibri"/>
                <w:sz w:val="21"/>
              </w:rPr>
              <w:t>Jakarta EE9</w:t>
            </w:r>
            <w:r>
              <w:rPr>
                <w:rFonts w:ascii="宋体" w:hAnsi="宋体" w:eastAsia="宋体" w:cs="宋体"/>
                <w:sz w:val="21"/>
              </w:rPr>
              <w:t>标准规范的兼容认证。</w:t>
            </w:r>
          </w:p>
          <w:p w14:paraId="2A3B819A">
            <w:pPr>
              <w:pStyle w:val="4"/>
              <w:jc w:val="both"/>
            </w:pPr>
            <w:r>
              <w:rPr>
                <w:rFonts w:ascii="宋体" w:hAnsi="宋体" w:eastAsia="宋体" w:cs="宋体"/>
                <w:sz w:val="21"/>
              </w:rPr>
              <w:t>③产品应具备良好的生态环境适应能力，支持多种主流国产操作系统，如麒麟软件、统信</w:t>
            </w:r>
            <w:r>
              <w:rPr>
                <w:rFonts w:ascii="Calibri" w:hAnsi="Calibri" w:eastAsia="Calibri" w:cs="Calibri"/>
                <w:sz w:val="21"/>
              </w:rPr>
              <w:t>UOS</w:t>
            </w:r>
            <w:r>
              <w:rPr>
                <w:rFonts w:ascii="宋体" w:hAnsi="宋体" w:eastAsia="宋体" w:cs="宋体"/>
                <w:sz w:val="21"/>
              </w:rPr>
              <w:t>等；支持多种主流国产数据库系统，如达梦、金仓、神通、南大通用等。</w:t>
            </w:r>
          </w:p>
          <w:p w14:paraId="0F68E49F">
            <w:pPr>
              <w:pStyle w:val="4"/>
              <w:jc w:val="both"/>
            </w:pPr>
            <w:r>
              <w:rPr>
                <w:rFonts w:ascii="宋体" w:hAnsi="宋体" w:eastAsia="宋体" w:cs="宋体"/>
                <w:sz w:val="21"/>
              </w:rPr>
              <w:t>④支持集群部署，提供集群管理工具。</w:t>
            </w:r>
          </w:p>
          <w:p w14:paraId="1978C410">
            <w:pPr>
              <w:pStyle w:val="4"/>
              <w:jc w:val="both"/>
            </w:pPr>
            <w:r>
              <w:rPr>
                <w:rFonts w:ascii="宋体" w:hAnsi="宋体" w:eastAsia="宋体" w:cs="宋体"/>
                <w:sz w:val="21"/>
              </w:rPr>
              <w:t>⑤内置</w:t>
            </w:r>
            <w:r>
              <w:rPr>
                <w:rFonts w:ascii="Calibri" w:hAnsi="Calibri" w:eastAsia="Calibri" w:cs="Calibri"/>
                <w:sz w:val="21"/>
              </w:rPr>
              <w:t>APM</w:t>
            </w:r>
            <w:r>
              <w:rPr>
                <w:rFonts w:ascii="宋体" w:hAnsi="宋体" w:eastAsia="宋体" w:cs="宋体"/>
                <w:sz w:val="21"/>
              </w:rPr>
              <w:t>工具，可以针对性能问题进行代码定位，提供线程剖析功能，迅速定位问题。</w:t>
            </w:r>
          </w:p>
          <w:p w14:paraId="768CBEB7">
            <w:pPr>
              <w:pStyle w:val="4"/>
              <w:jc w:val="both"/>
            </w:pPr>
            <w:r>
              <w:rPr>
                <w:rFonts w:ascii="宋体" w:hAnsi="宋体" w:eastAsia="宋体" w:cs="宋体"/>
                <w:sz w:val="21"/>
              </w:rPr>
              <w:t>⑥支持动态加载新业务或更新业务，支持业务系统新旧版本的动态切换。</w:t>
            </w:r>
          </w:p>
          <w:p w14:paraId="54D7A109">
            <w:pPr>
              <w:pStyle w:val="4"/>
              <w:jc w:val="both"/>
            </w:pPr>
            <w:r>
              <w:rPr>
                <w:rFonts w:ascii="宋体" w:hAnsi="宋体" w:eastAsia="宋体" w:cs="宋体"/>
                <w:sz w:val="21"/>
              </w:rPr>
              <w:t>⑦内置类加载冲突检测工具，可以检测出应用部署和运行过程中哪些类存在类加载冲突问题，并能自动生成冲突检测报告，方便快速定位和解决应用类加载问题。</w:t>
            </w:r>
          </w:p>
          <w:p w14:paraId="16C21BD0">
            <w:pPr>
              <w:pStyle w:val="4"/>
              <w:jc w:val="both"/>
            </w:pPr>
            <w:r>
              <w:rPr>
                <w:rFonts w:ascii="宋体" w:hAnsi="宋体" w:eastAsia="宋体" w:cs="宋体"/>
                <w:sz w:val="21"/>
              </w:rPr>
              <w:t>⑧内置快照功能，能够对服务器及应用程序的运行时信息进行捕获。</w:t>
            </w:r>
          </w:p>
          <w:p w14:paraId="77804A7A">
            <w:pPr>
              <w:pStyle w:val="4"/>
              <w:jc w:val="both"/>
            </w:pPr>
            <w:r>
              <w:rPr>
                <w:rFonts w:ascii="宋体" w:hAnsi="宋体" w:eastAsia="宋体" w:cs="宋体"/>
                <w:sz w:val="21"/>
              </w:rPr>
              <w:t>⑨产品采用商用密码技术进行加密保护、安全认证。</w:t>
            </w:r>
          </w:p>
          <w:p w14:paraId="53D0EBD1">
            <w:pPr>
              <w:pStyle w:val="4"/>
              <w:jc w:val="both"/>
            </w:pPr>
            <w:r>
              <w:rPr>
                <w:rFonts w:ascii="宋体" w:hAnsi="宋体" w:eastAsia="宋体" w:cs="宋体"/>
                <w:sz w:val="21"/>
              </w:rPr>
              <w:t>(6)国产消息中间件</w:t>
            </w:r>
          </w:p>
          <w:p w14:paraId="5A59FC59">
            <w:pPr>
              <w:pStyle w:val="4"/>
              <w:jc w:val="both"/>
            </w:pPr>
            <w:r>
              <w:rPr>
                <w:rFonts w:ascii="宋体" w:hAnsi="宋体" w:eastAsia="宋体" w:cs="宋体"/>
                <w:sz w:val="21"/>
              </w:rPr>
              <w:t>①国产品牌</w:t>
            </w:r>
            <w:r>
              <w:rPr>
                <w:rFonts w:ascii="Calibri" w:hAnsi="Calibri" w:eastAsia="Calibri" w:cs="Calibri"/>
                <w:sz w:val="21"/>
              </w:rPr>
              <w:t>(</w:t>
            </w:r>
            <w:r>
              <w:rPr>
                <w:rFonts w:ascii="宋体" w:hAnsi="宋体" w:eastAsia="宋体" w:cs="宋体"/>
                <w:sz w:val="21"/>
              </w:rPr>
              <w:t>供应商提供承诺书</w:t>
            </w:r>
            <w:r>
              <w:rPr>
                <w:rFonts w:ascii="Calibri" w:hAnsi="Calibri" w:eastAsia="Calibri" w:cs="Calibri"/>
                <w:sz w:val="21"/>
              </w:rPr>
              <w:t>),</w:t>
            </w:r>
            <w:r>
              <w:rPr>
                <w:rFonts w:ascii="宋体" w:hAnsi="宋体" w:eastAsia="宋体" w:cs="宋体"/>
                <w:sz w:val="21"/>
              </w:rPr>
              <w:t>成熟、稳定、可靠</w:t>
            </w:r>
            <w:r>
              <w:rPr>
                <w:rFonts w:ascii="Calibri" w:hAnsi="Calibri" w:eastAsia="Calibri" w:cs="Calibri"/>
                <w:sz w:val="21"/>
              </w:rPr>
              <w:t>,</w:t>
            </w:r>
            <w:r>
              <w:rPr>
                <w:rFonts w:ascii="宋体" w:hAnsi="宋体" w:eastAsia="宋体" w:cs="宋体"/>
                <w:sz w:val="21"/>
              </w:rPr>
              <w:t>具有大型系统的应用案例。</w:t>
            </w:r>
          </w:p>
          <w:p w14:paraId="57659F93">
            <w:pPr>
              <w:pStyle w:val="4"/>
              <w:jc w:val="both"/>
            </w:pPr>
            <w:r>
              <w:rPr>
                <w:rFonts w:ascii="宋体" w:hAnsi="宋体" w:eastAsia="宋体" w:cs="宋体"/>
                <w:sz w:val="21"/>
              </w:rPr>
              <w:t>②具备良好的跨平台能力</w:t>
            </w:r>
            <w:r>
              <w:rPr>
                <w:rFonts w:ascii="Calibri" w:hAnsi="Calibri" w:eastAsia="Calibri" w:cs="Calibri"/>
                <w:sz w:val="21"/>
              </w:rPr>
              <w:t>,</w:t>
            </w:r>
            <w:r>
              <w:rPr>
                <w:rFonts w:ascii="宋体" w:hAnsi="宋体" w:eastAsia="宋体" w:cs="宋体"/>
                <w:sz w:val="21"/>
              </w:rPr>
              <w:t>支持主流运行平台</w:t>
            </w:r>
            <w:r>
              <w:rPr>
                <w:rFonts w:ascii="Calibri" w:hAnsi="Calibri" w:eastAsia="Calibri" w:cs="Calibri"/>
                <w:sz w:val="21"/>
              </w:rPr>
              <w:t>,</w:t>
            </w:r>
            <w:r>
              <w:rPr>
                <w:rFonts w:ascii="宋体" w:hAnsi="宋体" w:eastAsia="宋体" w:cs="宋体"/>
                <w:sz w:val="21"/>
              </w:rPr>
              <w:t>支持国产化平台</w:t>
            </w:r>
            <w:r>
              <w:rPr>
                <w:rFonts w:ascii="Calibri" w:hAnsi="Calibri" w:eastAsia="Calibri" w:cs="Calibri"/>
                <w:sz w:val="21"/>
              </w:rPr>
              <w:t>,</w:t>
            </w:r>
            <w:r>
              <w:rPr>
                <w:rFonts w:ascii="宋体" w:hAnsi="宋体" w:eastAsia="宋体" w:cs="宋体"/>
                <w:sz w:val="21"/>
              </w:rPr>
              <w:t>支持</w:t>
            </w:r>
            <w:r>
              <w:rPr>
                <w:rFonts w:ascii="Calibri" w:hAnsi="Calibri" w:eastAsia="Calibri" w:cs="Calibri"/>
                <w:sz w:val="21"/>
              </w:rPr>
              <w:t>C</w:t>
            </w:r>
            <w:r>
              <w:rPr>
                <w:rFonts w:ascii="宋体" w:hAnsi="宋体" w:eastAsia="宋体" w:cs="宋体"/>
                <w:sz w:val="21"/>
              </w:rPr>
              <w:t>、</w:t>
            </w:r>
            <w:r>
              <w:rPr>
                <w:rFonts w:ascii="Calibri" w:hAnsi="Calibri" w:eastAsia="Calibri" w:cs="Calibri"/>
                <w:sz w:val="21"/>
              </w:rPr>
              <w:t>C++</w:t>
            </w:r>
            <w:r>
              <w:rPr>
                <w:rFonts w:ascii="宋体" w:hAnsi="宋体" w:eastAsia="宋体" w:cs="宋体"/>
                <w:sz w:val="21"/>
              </w:rPr>
              <w:t>、</w:t>
            </w:r>
            <w:r>
              <w:rPr>
                <w:rFonts w:ascii="Calibri" w:hAnsi="Calibri" w:eastAsia="Calibri" w:cs="Calibri"/>
                <w:sz w:val="21"/>
              </w:rPr>
              <w:t>C#</w:t>
            </w:r>
            <w:r>
              <w:rPr>
                <w:rFonts w:ascii="宋体" w:hAnsi="宋体" w:eastAsia="宋体" w:cs="宋体"/>
                <w:sz w:val="21"/>
              </w:rPr>
              <w:t>、</w:t>
            </w:r>
            <w:r>
              <w:rPr>
                <w:rFonts w:ascii="Calibri" w:hAnsi="Calibri" w:eastAsia="Calibri" w:cs="Calibri"/>
                <w:sz w:val="21"/>
              </w:rPr>
              <w:t>JAVA</w:t>
            </w:r>
            <w:r>
              <w:rPr>
                <w:rFonts w:ascii="宋体" w:hAnsi="宋体" w:eastAsia="宋体" w:cs="宋体"/>
                <w:sz w:val="21"/>
              </w:rPr>
              <w:t>等开发语言接口。</w:t>
            </w:r>
          </w:p>
          <w:p w14:paraId="6DAF455D">
            <w:pPr>
              <w:pStyle w:val="4"/>
              <w:jc w:val="both"/>
            </w:pPr>
            <w:r>
              <w:rPr>
                <w:rFonts w:ascii="宋体" w:hAnsi="宋体" w:eastAsia="宋体" w:cs="宋体"/>
                <w:sz w:val="21"/>
              </w:rPr>
              <w:t>③保证数据信息传输处理的高效率</w:t>
            </w:r>
            <w:r>
              <w:rPr>
                <w:rFonts w:ascii="Calibri" w:hAnsi="Calibri" w:eastAsia="Calibri" w:cs="Calibri"/>
                <w:sz w:val="21"/>
              </w:rPr>
              <w:t>,</w:t>
            </w:r>
            <w:r>
              <w:rPr>
                <w:rFonts w:ascii="宋体" w:hAnsi="宋体" w:eastAsia="宋体" w:cs="宋体"/>
                <w:sz w:val="21"/>
              </w:rPr>
              <w:t>消息中间件产品内核基于高效的</w:t>
            </w:r>
            <w:r>
              <w:rPr>
                <w:rFonts w:ascii="Calibri" w:hAnsi="Calibri" w:eastAsia="Calibri" w:cs="Calibri"/>
                <w:sz w:val="21"/>
              </w:rPr>
              <w:t>C/C++</w:t>
            </w:r>
            <w:r>
              <w:rPr>
                <w:rFonts w:ascii="宋体" w:hAnsi="宋体" w:eastAsia="宋体" w:cs="宋体"/>
                <w:sz w:val="21"/>
              </w:rPr>
              <w:t>语言实现。</w:t>
            </w:r>
          </w:p>
          <w:p w14:paraId="0FC29C99">
            <w:pPr>
              <w:pStyle w:val="4"/>
              <w:jc w:val="both"/>
            </w:pPr>
            <w:r>
              <w:rPr>
                <w:rFonts w:ascii="宋体" w:hAnsi="宋体" w:eastAsia="宋体" w:cs="宋体"/>
                <w:sz w:val="21"/>
              </w:rPr>
              <w:t>④支持点对点、发布订阅、路由转发、集群等多种消息传输应用模式。</w:t>
            </w:r>
          </w:p>
          <w:p w14:paraId="0507F757">
            <w:pPr>
              <w:pStyle w:val="4"/>
              <w:jc w:val="both"/>
            </w:pPr>
            <w:r>
              <w:rPr>
                <w:rFonts w:ascii="宋体" w:hAnsi="宋体" w:eastAsia="宋体" w:cs="宋体"/>
                <w:sz w:val="21"/>
              </w:rPr>
              <w:t>⑤提供本地队列、发送队列、远程队列、集群队列、虚拟队列、事件队列、死信队列等多种队列以及队列的分组管理机制</w:t>
            </w:r>
            <w:r>
              <w:rPr>
                <w:rFonts w:ascii="Calibri" w:hAnsi="Calibri" w:eastAsia="Calibri" w:cs="Calibri"/>
                <w:sz w:val="21"/>
              </w:rPr>
              <w:t>,</w:t>
            </w:r>
            <w:r>
              <w:rPr>
                <w:rFonts w:ascii="宋体" w:hAnsi="宋体" w:eastAsia="宋体" w:cs="宋体"/>
                <w:sz w:val="21"/>
              </w:rPr>
              <w:t>有利于队列和消息的管理维护。</w:t>
            </w:r>
          </w:p>
          <w:p w14:paraId="5057BE04">
            <w:pPr>
              <w:pStyle w:val="4"/>
              <w:jc w:val="both"/>
            </w:pPr>
            <w:r>
              <w:rPr>
                <w:rFonts w:ascii="宋体" w:hAnsi="宋体" w:eastAsia="宋体" w:cs="宋体"/>
                <w:sz w:val="21"/>
              </w:rPr>
              <w:t>⑥支持集群的负载均衡</w:t>
            </w:r>
            <w:r>
              <w:rPr>
                <w:rFonts w:ascii="Calibri" w:hAnsi="Calibri" w:eastAsia="Calibri" w:cs="Calibri"/>
                <w:sz w:val="21"/>
              </w:rPr>
              <w:t>,</w:t>
            </w:r>
            <w:r>
              <w:rPr>
                <w:rFonts w:ascii="宋体" w:hAnsi="宋体" w:eastAsia="宋体" w:cs="宋体"/>
                <w:sz w:val="21"/>
              </w:rPr>
              <w:t>包括线路备份、静态负载均衡、动态负载均衡、基于内容的路由等多种负载均衡方式。</w:t>
            </w:r>
          </w:p>
          <w:p w14:paraId="67E48DF4">
            <w:pPr>
              <w:pStyle w:val="4"/>
              <w:jc w:val="both"/>
            </w:pPr>
            <w:r>
              <w:rPr>
                <w:rFonts w:ascii="宋体" w:hAnsi="宋体" w:eastAsia="宋体" w:cs="宋体"/>
                <w:sz w:val="21"/>
              </w:rPr>
              <w:t>⑦支持断点续传与消息持久化</w:t>
            </w:r>
            <w:r>
              <w:rPr>
                <w:rFonts w:ascii="Calibri" w:hAnsi="Calibri" w:eastAsia="Calibri" w:cs="Calibri"/>
                <w:sz w:val="21"/>
              </w:rPr>
              <w:t>,</w:t>
            </w:r>
            <w:r>
              <w:rPr>
                <w:rFonts w:ascii="宋体" w:hAnsi="宋体" w:eastAsia="宋体" w:cs="宋体"/>
                <w:sz w:val="21"/>
              </w:rPr>
              <w:t>保证消息可靠传输。</w:t>
            </w:r>
          </w:p>
          <w:p w14:paraId="0FA332E0">
            <w:pPr>
              <w:pStyle w:val="4"/>
              <w:jc w:val="both"/>
            </w:pPr>
            <w:r>
              <w:rPr>
                <w:rFonts w:ascii="宋体" w:hAnsi="宋体" w:eastAsia="宋体" w:cs="宋体"/>
                <w:sz w:val="21"/>
              </w:rPr>
              <w:t>⑧为了保证传输数据的安全</w:t>
            </w:r>
            <w:r>
              <w:rPr>
                <w:rFonts w:ascii="Calibri" w:hAnsi="Calibri" w:eastAsia="Calibri" w:cs="Calibri"/>
                <w:sz w:val="21"/>
              </w:rPr>
              <w:t>,</w:t>
            </w:r>
            <w:r>
              <w:rPr>
                <w:rFonts w:ascii="宋体" w:hAnsi="宋体" w:eastAsia="宋体" w:cs="宋体"/>
                <w:sz w:val="21"/>
              </w:rPr>
              <w:t>产品必须支持传输数据的自动加解密处理</w:t>
            </w:r>
            <w:r>
              <w:rPr>
                <w:rFonts w:ascii="Calibri" w:hAnsi="Calibri" w:eastAsia="Calibri" w:cs="Calibri"/>
                <w:sz w:val="21"/>
              </w:rPr>
              <w:t>;</w:t>
            </w:r>
            <w:r>
              <w:rPr>
                <w:rFonts w:ascii="宋体" w:hAnsi="宋体" w:eastAsia="宋体" w:cs="宋体"/>
                <w:sz w:val="21"/>
              </w:rPr>
              <w:t>并支持使用第三方传输安全保障机制。</w:t>
            </w:r>
          </w:p>
          <w:p w14:paraId="5A87FE62">
            <w:pPr>
              <w:pStyle w:val="4"/>
              <w:jc w:val="both"/>
            </w:pPr>
            <w:r>
              <w:rPr>
                <w:rFonts w:ascii="宋体" w:hAnsi="宋体" w:eastAsia="宋体" w:cs="宋体"/>
                <w:sz w:val="21"/>
              </w:rPr>
              <w:t>⑨提供基于浏览器的统一监控管理。提供对远程消息中间件服务节点进行启动和停止控制</w:t>
            </w:r>
            <w:r>
              <w:rPr>
                <w:rFonts w:ascii="Calibri" w:hAnsi="Calibri" w:eastAsia="Calibri" w:cs="Calibri"/>
                <w:sz w:val="21"/>
              </w:rPr>
              <w:t>,</w:t>
            </w:r>
            <w:r>
              <w:rPr>
                <w:rFonts w:ascii="宋体" w:hAnsi="宋体" w:eastAsia="宋体" w:cs="宋体"/>
                <w:sz w:val="21"/>
              </w:rPr>
              <w:t>支持对节点上发送、接收消息数的成功、失败统计</w:t>
            </w:r>
            <w:r>
              <w:rPr>
                <w:rFonts w:ascii="Calibri" w:hAnsi="Calibri" w:eastAsia="Calibri" w:cs="Calibri"/>
                <w:sz w:val="21"/>
              </w:rPr>
              <w:t>,</w:t>
            </w:r>
            <w:r>
              <w:rPr>
                <w:rFonts w:ascii="宋体" w:hAnsi="宋体" w:eastAsia="宋体" w:cs="宋体"/>
                <w:sz w:val="21"/>
              </w:rPr>
              <w:t>以全面了解节点传输状况。</w:t>
            </w:r>
          </w:p>
        </w:tc>
      </w:tr>
    </w:tbl>
    <w:p w14:paraId="43D437CE">
      <w:pPr>
        <w:pStyle w:val="4"/>
      </w:pPr>
      <w:r>
        <w:t>1-5 标的名称：智慧教学保障管理平台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A0C7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F61E0E">
            <w:pPr>
              <w:pStyle w:val="4"/>
              <w:jc w:val="center"/>
            </w:pPr>
            <w:r>
              <w:t xml:space="preserve"> 参数性质</w:t>
            </w:r>
          </w:p>
        </w:tc>
        <w:tc>
          <w:tcPr>
            <w:tcW w:w="2769" w:type="dxa"/>
          </w:tcPr>
          <w:p w14:paraId="671C666B">
            <w:pPr>
              <w:pStyle w:val="4"/>
              <w:jc w:val="center"/>
            </w:pPr>
            <w:r>
              <w:t xml:space="preserve"> 序号</w:t>
            </w:r>
          </w:p>
        </w:tc>
        <w:tc>
          <w:tcPr>
            <w:tcW w:w="2769" w:type="dxa"/>
          </w:tcPr>
          <w:p w14:paraId="45A0A915">
            <w:pPr>
              <w:pStyle w:val="4"/>
              <w:jc w:val="center"/>
            </w:pPr>
            <w:r>
              <w:t xml:space="preserve"> 技术参数与性能指标</w:t>
            </w:r>
          </w:p>
        </w:tc>
      </w:tr>
      <w:tr w14:paraId="27408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414F10"/>
        </w:tc>
        <w:tc>
          <w:tcPr>
            <w:tcW w:w="2769" w:type="dxa"/>
          </w:tcPr>
          <w:p w14:paraId="01323A96">
            <w:pPr>
              <w:pStyle w:val="4"/>
              <w:jc w:val="center"/>
            </w:pPr>
            <w:r>
              <w:t>1</w:t>
            </w:r>
          </w:p>
        </w:tc>
        <w:tc>
          <w:tcPr>
            <w:tcW w:w="2769" w:type="dxa"/>
          </w:tcPr>
          <w:p w14:paraId="27C0C940">
            <w:pPr>
              <w:pStyle w:val="4"/>
            </w:pPr>
            <w:r>
              <w:t>智慧教学保障管理平台功能概述</w:t>
            </w:r>
          </w:p>
          <w:p w14:paraId="6D463F6F">
            <w:pPr>
              <w:pStyle w:val="4"/>
            </w:pPr>
            <w:r>
              <w:t>以满足学校教学保障科学化、便捷化、高效化为目标，通过建设一体化、信息化、智能化的智慧教保管理平台，逐步完善教学保障资源数据管理、集成业务流程、优化资源配置，为提供精确高效、主动便捷的教学保障服务提供有力支撑。系统包括标准经费管理、教学设备管理和教学物资管理等10个功能模块，通过该系统，机关层面可以实现教学保障经费的审批、切分及统计分析，项目全周期流程管理，教学资产管理，教材发放审批，教学设备的动用维护管理，年度教学物资保障的计划及实施，教学场地可视化管理，软件资产台账统计，实验室使用管理等；教员层面可以实现教材（地图）申领，教学设备动用申请和教学物资需求提报等。</w:t>
            </w:r>
          </w:p>
        </w:tc>
      </w:tr>
      <w:tr w14:paraId="5DCA2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21EE43"/>
        </w:tc>
        <w:tc>
          <w:tcPr>
            <w:tcW w:w="2769" w:type="dxa"/>
          </w:tcPr>
          <w:p w14:paraId="44F5D5F7">
            <w:pPr>
              <w:pStyle w:val="4"/>
              <w:jc w:val="center"/>
            </w:pPr>
            <w:r>
              <w:t>2</w:t>
            </w:r>
          </w:p>
        </w:tc>
        <w:tc>
          <w:tcPr>
            <w:tcW w:w="2769" w:type="dxa"/>
          </w:tcPr>
          <w:p w14:paraId="235EC208">
            <w:pPr>
              <w:pStyle w:val="4"/>
            </w:pPr>
            <w:r>
              <w:t>（1）标准经费管理</w:t>
            </w:r>
            <w:r>
              <w:br w:type="textWrapping"/>
            </w:r>
          </w:p>
          <w:p w14:paraId="33819953">
            <w:pPr>
              <w:pStyle w:val="4"/>
            </w:pPr>
            <w:r>
              <w:t>按照学校规定的教育标准费审批及使用流程，建设经费计划申报、预算分配、查询分析等模块，实现教育训练标准费全过程监管功能。</w:t>
            </w:r>
            <w:r>
              <w:br w:type="textWrapping"/>
            </w:r>
          </w:p>
          <w:p w14:paraId="096F187A">
            <w:pPr>
              <w:pStyle w:val="4"/>
            </w:pPr>
            <w:r>
              <w:t>①计划申报</w:t>
            </w:r>
            <w:r>
              <w:br w:type="textWrapping"/>
            </w:r>
          </w:p>
          <w:p w14:paraId="1E3B2C83">
            <w:pPr>
              <w:pStyle w:val="4"/>
            </w:pPr>
            <w:r>
              <w:t>实现年度教育标准费计划申报、统计、审核审批等功能模块，可在规范流程下实现标准经费的计划申报。</w:t>
            </w:r>
            <w:r>
              <w:br w:type="textWrapping"/>
            </w:r>
          </w:p>
          <w:p w14:paraId="515FC03C">
            <w:pPr>
              <w:pStyle w:val="4"/>
            </w:pPr>
            <w:r>
              <w:t>②预算分配</w:t>
            </w:r>
            <w:r>
              <w:br w:type="textWrapping"/>
            </w:r>
          </w:p>
          <w:p w14:paraId="03F43593">
            <w:pPr>
              <w:pStyle w:val="4"/>
            </w:pPr>
            <w:r>
              <w:t>实现教育标准费预算的汇总审核审批、分配下达等功能模块。</w:t>
            </w:r>
            <w:r>
              <w:br w:type="textWrapping"/>
            </w:r>
          </w:p>
          <w:p w14:paraId="23F70905">
            <w:pPr>
              <w:pStyle w:val="4"/>
            </w:pPr>
            <w:r>
              <w:t>③使用统计</w:t>
            </w:r>
            <w:r>
              <w:br w:type="textWrapping"/>
            </w:r>
          </w:p>
          <w:p w14:paraId="6B641425">
            <w:pPr>
              <w:pStyle w:val="4"/>
            </w:pPr>
            <w:r>
              <w:t>实现每半年各单位教育标准费使用情况登统计功能。</w:t>
            </w:r>
            <w:r>
              <w:br w:type="textWrapping"/>
            </w:r>
          </w:p>
          <w:p w14:paraId="2AC7CCA3">
            <w:pPr>
              <w:pStyle w:val="4"/>
            </w:pPr>
            <w:r>
              <w:t>④查询分析</w:t>
            </w:r>
            <w:r>
              <w:br w:type="textWrapping"/>
            </w:r>
          </w:p>
          <w:p w14:paraId="79EC1706">
            <w:pPr>
              <w:pStyle w:val="4"/>
            </w:pPr>
            <w:r>
              <w:t>包括标准经费预算查询、经费使用情况查询、项目经费执行情况统计等模块，区分科目进行统计分析，并能够按照有关主题进行图表数分析</w:t>
            </w:r>
          </w:p>
        </w:tc>
      </w:tr>
      <w:tr w14:paraId="04236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DD3031"/>
        </w:tc>
        <w:tc>
          <w:tcPr>
            <w:tcW w:w="2769" w:type="dxa"/>
          </w:tcPr>
          <w:p w14:paraId="7CA227F3">
            <w:pPr>
              <w:pStyle w:val="4"/>
              <w:jc w:val="center"/>
            </w:pPr>
            <w:r>
              <w:t>3</w:t>
            </w:r>
          </w:p>
        </w:tc>
        <w:tc>
          <w:tcPr>
            <w:tcW w:w="2769" w:type="dxa"/>
          </w:tcPr>
          <w:p w14:paraId="54432473">
            <w:pPr>
              <w:pStyle w:val="4"/>
            </w:pPr>
            <w:r>
              <w:t>（2）项目建设管理</w:t>
            </w:r>
            <w:r>
              <w:br w:type="textWrapping"/>
            </w:r>
          </w:p>
          <w:p w14:paraId="76F711F7">
            <w:pPr>
              <w:pStyle w:val="4"/>
            </w:pPr>
            <w:r>
              <w:t>区分机关（学校本部和各分校区机关）、教研单位（室、系），区分角色按照规定的教学条件项目建设及管理流程，建设项目申报、项目立项、项目建设、项目验收、查询分析等模块，实现项目建设全过程监管。具备各种文档导入导出功能。</w:t>
            </w:r>
            <w:r>
              <w:br w:type="textWrapping"/>
            </w:r>
          </w:p>
          <w:p w14:paraId="3070FD62">
            <w:pPr>
              <w:pStyle w:val="4"/>
            </w:pPr>
            <w:r>
              <w:t>①备选项目申报</w:t>
            </w:r>
            <w:r>
              <w:br w:type="textWrapping"/>
            </w:r>
          </w:p>
          <w:p w14:paraId="025F95C0">
            <w:pPr>
              <w:pStyle w:val="4"/>
            </w:pPr>
            <w:r>
              <w:t>实现备选项目申报所需的信息，包括但不限于项目名称、项目建设内容、项目建设时间、项目建设原因、项目建设地点、项目建设负责人等信息，下载备选项目论证模板，上传备选项目论证、评审、会议材料。</w:t>
            </w:r>
            <w:r>
              <w:br w:type="textWrapping"/>
            </w:r>
          </w:p>
          <w:p w14:paraId="6A70897A">
            <w:pPr>
              <w:pStyle w:val="4"/>
            </w:pPr>
            <w:r>
              <w:t>②年度建设需求提报</w:t>
            </w:r>
            <w:r>
              <w:br w:type="textWrapping"/>
            </w:r>
          </w:p>
          <w:p w14:paraId="3A93A27E">
            <w:pPr>
              <w:pStyle w:val="4"/>
            </w:pPr>
            <w:r>
              <w:t>实现在线申报功能，填写项目，下载项目申报材料模板，上传项目申报所需的相关文档资料，提报上级单位进行审批。</w:t>
            </w:r>
            <w:r>
              <w:br w:type="textWrapping"/>
            </w:r>
          </w:p>
          <w:p w14:paraId="7F61F097">
            <w:pPr>
              <w:pStyle w:val="4"/>
            </w:pPr>
            <w:r>
              <w:t>实现在线审批功能，按照审批设定流程逐级审批。机关组织专家评审，审批通过后将相关文档资料上传存档。</w:t>
            </w:r>
            <w:r>
              <w:br w:type="textWrapping"/>
            </w:r>
          </w:p>
          <w:p w14:paraId="5874CD42">
            <w:pPr>
              <w:pStyle w:val="4"/>
            </w:pPr>
            <w:r>
              <w:t>③项目立项</w:t>
            </w:r>
            <w:r>
              <w:br w:type="textWrapping"/>
            </w:r>
          </w:p>
          <w:p w14:paraId="568358E7">
            <w:pPr>
              <w:pStyle w:val="4"/>
            </w:pPr>
            <w:r>
              <w:t>实现项目立项管理功能：对于项目申报审批通过的项目，通过系统下载立项论证材料模板，上传立项论证材料。机关将会议研究材料和立项批复进行上传。</w:t>
            </w:r>
            <w:r>
              <w:br w:type="textWrapping"/>
            </w:r>
          </w:p>
          <w:p w14:paraId="5C362A24">
            <w:pPr>
              <w:pStyle w:val="4"/>
            </w:pPr>
            <w:r>
              <w:t>④项目建设</w:t>
            </w:r>
            <w:r>
              <w:br w:type="textWrapping"/>
            </w:r>
          </w:p>
          <w:p w14:paraId="523579D6">
            <w:pPr>
              <w:pStyle w:val="4"/>
            </w:pPr>
            <w:r>
              <w:t>实现项目建设记录功能：对于已立项项目的建设过程进行管理，建设实施方案模板下载，建设实施方案上传，下达文件上传，项目采购材料模板下载，采购材料上传，中标通知书上传，合同上传，补充合同上传，项目调整材料等，对每个阶段的建设情况进行信息录入，上传过程资料，实现项目建设进度的全过程监管。</w:t>
            </w:r>
            <w:r>
              <w:br w:type="textWrapping"/>
            </w:r>
          </w:p>
          <w:p w14:paraId="5882DA87">
            <w:pPr>
              <w:pStyle w:val="4"/>
            </w:pPr>
            <w:r>
              <w:t>⑤项目验收</w:t>
            </w:r>
            <w:r>
              <w:br w:type="textWrapping"/>
            </w:r>
          </w:p>
          <w:p w14:paraId="001D4B25">
            <w:pPr>
              <w:pStyle w:val="4"/>
            </w:pPr>
            <w:r>
              <w:t>依据上级单位《验收办法》实现项目验收记录功能：验收申请、验收准备情况报告、验收大纲、预算绩效评价自评报告、自评表模板下载，验收申请、验收准备情况报告、验收大纲、验收情况报告、预算绩效评价等材料上传，主要对建成的项目进行验收记录，并将验收结果记录在系统中。</w:t>
            </w:r>
            <w:r>
              <w:br w:type="textWrapping"/>
            </w:r>
          </w:p>
          <w:p w14:paraId="6AC6F691">
            <w:pPr>
              <w:pStyle w:val="4"/>
            </w:pPr>
            <w:r>
              <w:t>⑥查询统计</w:t>
            </w:r>
            <w:r>
              <w:br w:type="textWrapping"/>
            </w:r>
          </w:p>
          <w:p w14:paraId="74E94B50">
            <w:pPr>
              <w:pStyle w:val="4"/>
            </w:pPr>
            <w:r>
              <w:t>对列入备选项目库、待建、在建和完成建设的项目列表展示，提供项目建设进展和已交付项目按照年度、按照单位的详情统计、分析、查询、编辑等功能，包括不限于项目数量、经费体量等展示。资源建设交付验收后由建设项目库可转入教学训练场地管理系统。</w:t>
            </w:r>
          </w:p>
        </w:tc>
      </w:tr>
      <w:tr w14:paraId="4C179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0321F9"/>
        </w:tc>
        <w:tc>
          <w:tcPr>
            <w:tcW w:w="2769" w:type="dxa"/>
          </w:tcPr>
          <w:p w14:paraId="5887112C">
            <w:pPr>
              <w:pStyle w:val="4"/>
              <w:jc w:val="center"/>
            </w:pPr>
            <w:r>
              <w:t>4</w:t>
            </w:r>
          </w:p>
        </w:tc>
        <w:tc>
          <w:tcPr>
            <w:tcW w:w="2769" w:type="dxa"/>
          </w:tcPr>
          <w:p w14:paraId="0E253DF3">
            <w:pPr>
              <w:pStyle w:val="4"/>
            </w:pPr>
            <w:r>
              <w:t>教学资产管理</w:t>
            </w:r>
            <w:r>
              <w:br w:type="textWrapping"/>
            </w:r>
          </w:p>
          <w:p w14:paraId="614747B4">
            <w:pPr>
              <w:pStyle w:val="4"/>
            </w:pPr>
            <w:r>
              <w:t>区分机关和基层单位领导及参谋、个人等管理人员角色，对接上级资产管理平台，实现对单位或者个人教学资产数量、经费体量、设备器材分类、使用部门、使用人、存放地点、使用状态、取得时间等信息进行分类分析、统计、展示，包括但不限于对相关数据进行柱状图、饼状图等分析，对于达到报废年限的资产进行预警提示。</w:t>
            </w:r>
          </w:p>
        </w:tc>
      </w:tr>
      <w:tr w14:paraId="300B5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889218"/>
        </w:tc>
        <w:tc>
          <w:tcPr>
            <w:tcW w:w="2769" w:type="dxa"/>
          </w:tcPr>
          <w:p w14:paraId="0E05D7AA">
            <w:pPr>
              <w:pStyle w:val="4"/>
              <w:jc w:val="center"/>
            </w:pPr>
            <w:r>
              <w:t>5</w:t>
            </w:r>
          </w:p>
        </w:tc>
        <w:tc>
          <w:tcPr>
            <w:tcW w:w="2769" w:type="dxa"/>
          </w:tcPr>
          <w:p w14:paraId="41276F67">
            <w:pPr>
              <w:pStyle w:val="4"/>
            </w:pPr>
            <w:r>
              <w:t>教材管理</w:t>
            </w:r>
            <w:r>
              <w:br w:type="textWrapping"/>
            </w:r>
          </w:p>
          <w:p w14:paraId="3E3E7F9E">
            <w:pPr>
              <w:pStyle w:val="4"/>
            </w:pPr>
            <w:r>
              <w:t>建设教材的全流程管理系统，实现教材的线上流程管理和核算，减少人工工作量。管理系统支持全过程批量导入、导出表格，增加工作效率，并具备信息提示功能。</w:t>
            </w:r>
            <w:r>
              <w:br w:type="textWrapping"/>
            </w:r>
          </w:p>
          <w:p w14:paraId="60F09DFB">
            <w:pPr>
              <w:pStyle w:val="4"/>
            </w:pPr>
            <w:r>
              <w:t>①教材信息管理</w:t>
            </w:r>
            <w:r>
              <w:br w:type="textWrapping"/>
            </w:r>
          </w:p>
          <w:p w14:paraId="3F6F0F02">
            <w:pPr>
              <w:pStyle w:val="4"/>
            </w:pPr>
            <w:r>
              <w:t>维护教材目录等基本信息，涵盖每种教材的数量、版本号、出版日期、编者、出版方式、出版社、单价、页数等基础信息。</w:t>
            </w:r>
            <w:r>
              <w:br w:type="textWrapping"/>
            </w:r>
          </w:p>
          <w:p w14:paraId="5D89EC9E">
            <w:pPr>
              <w:pStyle w:val="4"/>
            </w:pPr>
            <w:r>
              <w:t>②教材采购管理</w:t>
            </w:r>
            <w:r>
              <w:br w:type="textWrapping"/>
            </w:r>
          </w:p>
          <w:p w14:paraId="4430DF4A">
            <w:pPr>
              <w:pStyle w:val="4"/>
            </w:pPr>
            <w:r>
              <w:t>支持根据教学任务中的班级、课程、人数，以及教材需求中确定的课程与教材的对应关系（征订系数），计算所需各类教材总数量，并支持相关教学管理部门更改相关征订系数；</w:t>
            </w:r>
            <w:r>
              <w:br w:type="textWrapping"/>
            </w:r>
          </w:p>
          <w:p w14:paraId="3B7EEB3F">
            <w:pPr>
              <w:pStyle w:val="4"/>
            </w:pPr>
            <w:r>
              <w:t>支持根据各类教材所需总数量，结合教材现有库存的设定备份比例，确认采购数量并生成采购计划；</w:t>
            </w:r>
            <w:r>
              <w:br w:type="textWrapping"/>
            </w:r>
          </w:p>
          <w:p w14:paraId="505C966D">
            <w:pPr>
              <w:pStyle w:val="4"/>
            </w:pPr>
            <w:r>
              <w:t>支持相关教学管理部门维护修订采购数量计划，支持对无法正常完成采购的教材需求计划，在系统中自动退回至任课教员并进行提醒，由任课教员确定重报教学需求或改变采购方式，发送至相关教学管理部门进行审核，各层级能在系统中看到该教材需求的执行情况；支持融合教务系统，统计每本教材相关信息（包含开课时间、授课教员，编写单位等信息）；支持教材采购情况全流程跟踪；并包含教材采购数据统计和信息导出；支持采购提醒预警功能。</w:t>
            </w:r>
            <w:r>
              <w:br w:type="textWrapping"/>
            </w:r>
          </w:p>
          <w:p w14:paraId="27A5CFF4">
            <w:pPr>
              <w:pStyle w:val="4"/>
            </w:pPr>
            <w:r>
              <w:t>支持对教材采购的供应商进行管理，包括供应商名称、营业执照、联系人、联系方式等基本信息；</w:t>
            </w:r>
            <w:r>
              <w:br w:type="textWrapping"/>
            </w:r>
          </w:p>
          <w:p w14:paraId="6200FCA4">
            <w:pPr>
              <w:pStyle w:val="4"/>
            </w:pPr>
            <w:r>
              <w:t>③教材入库管理</w:t>
            </w:r>
            <w:r>
              <w:br w:type="textWrapping"/>
            </w:r>
          </w:p>
          <w:p w14:paraId="6B1E3D6A">
            <w:pPr>
              <w:pStyle w:val="4"/>
            </w:pPr>
            <w:r>
              <w:t>教材入库管理用于录入教材入库信息，包含教材数量，来源，交接人，交接单位等信息。支持自建库室，区分普通库、保密库等不同类型，支持对具有唯一识别码的教材（资料）进行条码扫描入库。</w:t>
            </w:r>
            <w:r>
              <w:br w:type="textWrapping"/>
            </w:r>
          </w:p>
          <w:p w14:paraId="7A181965">
            <w:pPr>
              <w:pStyle w:val="4"/>
            </w:pPr>
            <w:r>
              <w:t>④教材申领</w:t>
            </w:r>
            <w:r>
              <w:br w:type="textWrapping"/>
            </w:r>
          </w:p>
          <w:p w14:paraId="1B657627">
            <w:pPr>
              <w:pStyle w:val="4"/>
            </w:pPr>
            <w:r>
              <w:t>实现教材申领流程，一是教员单独申报，经教研室初审、系部核准、相关教学管理部门审核、相关教学管理部门报备后系统生成申领报表。二是根据教学任务系统生成（根据班级人数、选修或必修、开课课程以及对应的教材，生成各班级教材下发数量）申领表，经相关教学管理部门审核、相关教学管理部门报备后推送到仓库及领取人。</w:t>
            </w:r>
            <w:r>
              <w:br w:type="textWrapping"/>
            </w:r>
          </w:p>
          <w:p w14:paraId="6EF5F01A">
            <w:pPr>
              <w:pStyle w:val="4"/>
            </w:pPr>
            <w:r>
              <w:t>⑤教材发放管理</w:t>
            </w:r>
            <w:r>
              <w:br w:type="textWrapping"/>
            </w:r>
          </w:p>
          <w:p w14:paraId="13C3AE10">
            <w:pPr>
              <w:pStyle w:val="4"/>
            </w:pPr>
            <w:r>
              <w:t>仓库管理员根据申领报表发放相应数量教材，支持按库存位置进行筛选，精确到货架层号；支持根据教学任务，生成教材发放单，下发教材（根据班级人数、选修或必修、开课课程以及对应的教材，生成各班级教材下发数量）；支持根据课表及选课情况生成每个学员每学期使用教材清单，能够生成领取教材清单并映射到个人管理界面。</w:t>
            </w:r>
            <w:r>
              <w:br w:type="textWrapping"/>
            </w:r>
          </w:p>
          <w:p w14:paraId="443E5257">
            <w:pPr>
              <w:pStyle w:val="4"/>
            </w:pPr>
            <w:r>
              <w:t>⑥教材库存管理</w:t>
            </w:r>
            <w:r>
              <w:br w:type="textWrapping"/>
            </w:r>
          </w:p>
          <w:p w14:paraId="0F87E94F">
            <w:pPr>
              <w:pStyle w:val="4"/>
            </w:pPr>
            <w:r>
              <w:t>包括出入库管理、库室管理、架位管理、库存增减、库存转移、库存盘点、库存变更历史功能，支持直接导入各类入库、出库数据。</w:t>
            </w:r>
            <w:r>
              <w:br w:type="textWrapping"/>
            </w:r>
          </w:p>
          <w:p w14:paraId="3595AE50">
            <w:pPr>
              <w:pStyle w:val="4"/>
            </w:pPr>
            <w:r>
              <w:t>⑦教材台账管理</w:t>
            </w:r>
            <w:r>
              <w:br w:type="textWrapping"/>
            </w:r>
          </w:p>
          <w:p w14:paraId="73CFD326">
            <w:pPr>
              <w:pStyle w:val="4"/>
            </w:pPr>
            <w:r>
              <w:t>包含各类数据统计功能，并支持多条件检索。如教材入库时自动记录入库人、教材基本信息如数量、单价、版本号、时间等。</w:t>
            </w:r>
            <w:r>
              <w:br w:type="textWrapping"/>
            </w:r>
          </w:p>
          <w:p w14:paraId="0B44815D">
            <w:pPr>
              <w:pStyle w:val="4"/>
            </w:pPr>
            <w:r>
              <w:t>教材出库时自动记录领取人、领取单位、领取时间等。</w:t>
            </w:r>
            <w:r>
              <w:br w:type="textWrapping"/>
            </w:r>
          </w:p>
          <w:p w14:paraId="328B34D6">
            <w:pPr>
              <w:pStyle w:val="4"/>
            </w:pPr>
            <w:r>
              <w:t>⑧保密教材（资料）管理</w:t>
            </w:r>
            <w:r>
              <w:br w:type="textWrapping"/>
            </w:r>
          </w:p>
          <w:p w14:paraId="52A31F99">
            <w:pPr>
              <w:pStyle w:val="4"/>
            </w:pPr>
            <w:r>
              <w:t>支持教材（资料）的管理，为每一册保密资料增加唯一识别码，当某班级领取多份保密资料时，能在系统显示目前待登记保密资料数量，支持保密教材（资料）在线申请审批、保密资料借用（含续借、归还）管理、保密教材盘点管理等功能；支持借用点选功能；支持个人领取保密资料后登记并映射到管理员界面可进行查看；支持数据批量导入导出；具备提示功能。</w:t>
            </w:r>
            <w:r>
              <w:br w:type="textWrapping"/>
            </w:r>
          </w:p>
          <w:p w14:paraId="0DCFF250">
            <w:pPr>
              <w:pStyle w:val="4"/>
            </w:pPr>
            <w:r>
              <w:t>⑨保密资料需求提报</w:t>
            </w:r>
            <w:r>
              <w:br w:type="textWrapping"/>
            </w:r>
          </w:p>
          <w:p w14:paraId="072BFE4E">
            <w:pPr>
              <w:pStyle w:val="4"/>
            </w:pPr>
            <w:r>
              <w:t>能够实现线上提报需求，审核流程；支持上传、导出数据功能；具备提示功能。</w:t>
            </w:r>
          </w:p>
        </w:tc>
      </w:tr>
      <w:tr w14:paraId="478F1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0455B7"/>
        </w:tc>
        <w:tc>
          <w:tcPr>
            <w:tcW w:w="2769" w:type="dxa"/>
          </w:tcPr>
          <w:p w14:paraId="2C37A628">
            <w:pPr>
              <w:pStyle w:val="4"/>
              <w:jc w:val="center"/>
            </w:pPr>
            <w:r>
              <w:t>6</w:t>
            </w:r>
          </w:p>
        </w:tc>
        <w:tc>
          <w:tcPr>
            <w:tcW w:w="2769" w:type="dxa"/>
          </w:tcPr>
          <w:p w14:paraId="0BA9FB21">
            <w:pPr>
              <w:pStyle w:val="4"/>
            </w:pPr>
            <w:r>
              <w:t>教学设备管理（一般为较大型的教学设备如车辆等）</w:t>
            </w:r>
            <w:r>
              <w:br w:type="textWrapping"/>
            </w:r>
          </w:p>
          <w:p w14:paraId="246A24B1">
            <w:pPr>
              <w:pStyle w:val="4"/>
            </w:pPr>
            <w:r>
              <w:t>教学设备管理应提供教学设备的基本信息、数质量状态、计划动用、维修保养、退役报废等数据及业务的管理功能，实现设备信息管理工作数据化、标准化、网络化。</w:t>
            </w:r>
            <w:r>
              <w:br w:type="textWrapping"/>
            </w:r>
          </w:p>
          <w:p w14:paraId="31C8E3B0">
            <w:pPr>
              <w:pStyle w:val="4"/>
            </w:pPr>
            <w:r>
              <w:t>①计划动用</w:t>
            </w:r>
            <w:r>
              <w:br w:type="textWrapping"/>
            </w:r>
          </w:p>
          <w:p w14:paraId="355865B6">
            <w:pPr>
              <w:pStyle w:val="4"/>
            </w:pPr>
            <w:r>
              <w:t>实现设备动用网上申请、审核流程。</w:t>
            </w:r>
            <w:r>
              <w:br w:type="textWrapping"/>
            </w:r>
          </w:p>
          <w:p w14:paraId="44882107">
            <w:pPr>
              <w:pStyle w:val="4"/>
            </w:pPr>
            <w:r>
              <w:t>支持临时动用和计划动用，支持设备动用与教学计划相关联，当选择教学计划后自动填写动用计划。支持导出车辆派遣通知单。</w:t>
            </w:r>
            <w:r>
              <w:br w:type="textWrapping"/>
            </w:r>
          </w:p>
          <w:p w14:paraId="19B56843">
            <w:pPr>
              <w:pStyle w:val="4"/>
            </w:pPr>
            <w:r>
              <w:t>②维修管理</w:t>
            </w:r>
            <w:r>
              <w:br w:type="textWrapping"/>
            </w:r>
          </w:p>
          <w:p w14:paraId="4BB734E2">
            <w:pPr>
              <w:pStyle w:val="4"/>
            </w:pPr>
            <w:r>
              <w:t>实现教学设备维修网上审批，维修审批完成支持导出审批表、送修交接单等文件，维修执行数据链接设备维修器材库、废品库。支持平板等移动设备扫码拍照录入维修信息。</w:t>
            </w:r>
            <w:r>
              <w:br w:type="textWrapping"/>
            </w:r>
          </w:p>
          <w:p w14:paraId="10007457">
            <w:pPr>
              <w:pStyle w:val="4"/>
            </w:pPr>
            <w:r>
              <w:t>对教学设备日常维修进行记录，包括教学设备修理记录、修竣保障信息、大修厂家信息等；支持上传附件，可上传维修合同、维修过程图像资料等相关内容。</w:t>
            </w:r>
            <w:r>
              <w:br w:type="textWrapping"/>
            </w:r>
          </w:p>
          <w:p w14:paraId="0660CF84">
            <w:pPr>
              <w:pStyle w:val="4"/>
            </w:pPr>
            <w:r>
              <w:t>③信息查询</w:t>
            </w:r>
            <w:r>
              <w:br w:type="textWrapping"/>
            </w:r>
          </w:p>
          <w:p w14:paraId="2001C434">
            <w:pPr>
              <w:pStyle w:val="4"/>
            </w:pPr>
            <w:r>
              <w:t>提供按照多种条件查询教学设备数量质量、维修器材数质量、废品器材数质量状态信息，查询内容包括基础汇总信息和明细信息，以及设备动用记录、维修记录、保养记录查询结果可导出，区分各层级增加汇总收发及统计功能。</w:t>
            </w:r>
            <w:r>
              <w:br w:type="textWrapping"/>
            </w:r>
          </w:p>
          <w:p w14:paraId="452073E9">
            <w:pPr>
              <w:pStyle w:val="4"/>
            </w:pPr>
            <w:r>
              <w:t>④维护保养</w:t>
            </w:r>
            <w:r>
              <w:br w:type="textWrapping"/>
            </w:r>
          </w:p>
          <w:p w14:paraId="502F1E0F">
            <w:pPr>
              <w:pStyle w:val="4"/>
            </w:pPr>
            <w:r>
              <w:t>对教学设备日常检查保养信息进行管理，包括填写、维护和查看检索功能。</w:t>
            </w:r>
            <w:r>
              <w:br w:type="textWrapping"/>
            </w:r>
          </w:p>
          <w:p w14:paraId="1461C4F4">
            <w:pPr>
              <w:pStyle w:val="4"/>
            </w:pPr>
            <w:r>
              <w:t>支持平板等移动设备扫码拍照录入保养信息。</w:t>
            </w:r>
            <w:r>
              <w:br w:type="textWrapping"/>
            </w:r>
          </w:p>
          <w:p w14:paraId="4263A347">
            <w:pPr>
              <w:pStyle w:val="4"/>
            </w:pPr>
            <w:r>
              <w:t>⑤重要物资调拨功能</w:t>
            </w:r>
            <w:r>
              <w:br w:type="textWrapping"/>
            </w:r>
          </w:p>
          <w:p w14:paraId="03E19BFB">
            <w:pPr>
              <w:pStyle w:val="4"/>
            </w:pPr>
            <w:r>
              <w:t>支持导入重要物资动用审批汇总表，同时，可根据审批汇总记录导出EXCEL格式的重要物资调拨通知单。</w:t>
            </w:r>
          </w:p>
        </w:tc>
      </w:tr>
      <w:tr w14:paraId="56214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2DBEB7"/>
        </w:tc>
        <w:tc>
          <w:tcPr>
            <w:tcW w:w="2769" w:type="dxa"/>
          </w:tcPr>
          <w:p w14:paraId="4B47B507">
            <w:pPr>
              <w:pStyle w:val="4"/>
              <w:jc w:val="center"/>
            </w:pPr>
            <w:r>
              <w:t>7</w:t>
            </w:r>
          </w:p>
        </w:tc>
        <w:tc>
          <w:tcPr>
            <w:tcW w:w="2769" w:type="dxa"/>
          </w:tcPr>
          <w:p w14:paraId="4FF5BD61">
            <w:pPr>
              <w:pStyle w:val="4"/>
            </w:pPr>
            <w:r>
              <w:t>教学物资管理</w:t>
            </w:r>
            <w:r>
              <w:br w:type="textWrapping"/>
            </w:r>
          </w:p>
          <w:p w14:paraId="1A50BA04">
            <w:pPr>
              <w:pStyle w:val="4"/>
            </w:pPr>
            <w:r>
              <w:t>①年度教学保障计划管理</w:t>
            </w:r>
            <w:r>
              <w:br w:type="textWrapping"/>
            </w:r>
          </w:p>
          <w:p w14:paraId="13E7039D">
            <w:pPr>
              <w:pStyle w:val="4"/>
            </w:pPr>
            <w:r>
              <w:t>实现对年度教学保障计划的制订和审核流程，包括申报时间控制、需求申报、单位审核、相关教学管理及保障部门审批；</w:t>
            </w:r>
            <w:r>
              <w:br w:type="textWrapping"/>
            </w:r>
          </w:p>
          <w:p w14:paraId="545BA99A">
            <w:pPr>
              <w:pStyle w:val="4"/>
            </w:pPr>
            <w:r>
              <w:t>②专项任务申报管理</w:t>
            </w:r>
            <w:r>
              <w:br w:type="textWrapping"/>
            </w:r>
          </w:p>
          <w:p w14:paraId="5BE3E644">
            <w:pPr>
              <w:pStyle w:val="4"/>
            </w:pPr>
            <w:r>
              <w:t>实现对专项任务物资需求的申报和审核流程。</w:t>
            </w:r>
            <w:r>
              <w:br w:type="textWrapping"/>
            </w:r>
          </w:p>
          <w:p w14:paraId="7BABAA4A">
            <w:pPr>
              <w:pStyle w:val="4"/>
            </w:pPr>
            <w:r>
              <w:t>③教学物资采购</w:t>
            </w:r>
            <w:r>
              <w:br w:type="textWrapping"/>
            </w:r>
          </w:p>
          <w:p w14:paraId="3169F42B">
            <w:pPr>
              <w:pStyle w:val="4"/>
            </w:pPr>
            <w:r>
              <w:t>提供教学物资采购的集中处理需求计划、采购计划、采购合同、验收建账等功能，支持条码扫描入库；</w:t>
            </w:r>
            <w:r>
              <w:br w:type="textWrapping"/>
            </w:r>
          </w:p>
          <w:p w14:paraId="2074EAC2">
            <w:pPr>
              <w:pStyle w:val="4"/>
            </w:pPr>
            <w:r>
              <w:t>④教学物资台账</w:t>
            </w:r>
            <w:r>
              <w:br w:type="textWrapping"/>
            </w:r>
          </w:p>
          <w:p w14:paraId="26719A85">
            <w:pPr>
              <w:pStyle w:val="4"/>
            </w:pPr>
            <w:r>
              <w:t>针对物资台账进行管理，包括教学物资台账、训练设备台账、物资发放清单，实现按照时间段形成清单功能；支持库存物资由系统进行点选申领。</w:t>
            </w:r>
            <w:r>
              <w:br w:type="textWrapping"/>
            </w:r>
          </w:p>
          <w:p w14:paraId="48A9FBDF">
            <w:pPr>
              <w:pStyle w:val="4"/>
            </w:pPr>
            <w:r>
              <w:t>⑤教学物资领用</w:t>
            </w:r>
            <w:r>
              <w:br w:type="textWrapping"/>
            </w:r>
          </w:p>
          <w:p w14:paraId="1C14ECD4">
            <w:pPr>
              <w:pStyle w:val="4"/>
            </w:pPr>
            <w:r>
              <w:t>实现发放清单业务流程，包括物资领用申请、物资领用审核、发放清单登记领用信息、物资回收，实现按照时间段形成清单功能。</w:t>
            </w:r>
            <w:r>
              <w:br w:type="textWrapping"/>
            </w:r>
          </w:p>
          <w:p w14:paraId="19401E3C">
            <w:pPr>
              <w:pStyle w:val="4"/>
            </w:pPr>
            <w:r>
              <w:t>⑥教学物资借还</w:t>
            </w:r>
            <w:r>
              <w:br w:type="textWrapping"/>
            </w:r>
          </w:p>
          <w:p w14:paraId="39B5CA67">
            <w:pPr>
              <w:pStyle w:val="4"/>
            </w:pPr>
            <w:r>
              <w:t>实现教学物资领用归还流程，包括物资领用申请、审核和归还登记；</w:t>
            </w:r>
            <w:r>
              <w:br w:type="textWrapping"/>
            </w:r>
          </w:p>
          <w:p w14:paraId="3750B9FD">
            <w:pPr>
              <w:pStyle w:val="4"/>
            </w:pPr>
            <w:r>
              <w:t>⑦教学物资需求提报管理</w:t>
            </w:r>
            <w:r>
              <w:br w:type="textWrapping"/>
            </w:r>
          </w:p>
          <w:p w14:paraId="426B1999">
            <w:pPr>
              <w:pStyle w:val="4"/>
            </w:pPr>
            <w:r>
              <w:t>提供教员对借还的物资申请需求提报，主要包含模块：需求提报申请、需求提报审核，提报需求上级审核后有信息提示；</w:t>
            </w:r>
            <w:r>
              <w:br w:type="textWrapping"/>
            </w:r>
          </w:p>
          <w:p w14:paraId="12AA5B67">
            <w:pPr>
              <w:pStyle w:val="4"/>
            </w:pPr>
            <w:r>
              <w:t>需求提报申请：教员提出需求提报；</w:t>
            </w:r>
            <w:r>
              <w:br w:type="textWrapping"/>
            </w:r>
          </w:p>
          <w:p w14:paraId="2B4B39E5">
            <w:pPr>
              <w:pStyle w:val="4"/>
            </w:pPr>
            <w:r>
              <w:t>需求提报审核：教学保障部门对需求提报进行审核及安排。</w:t>
            </w:r>
          </w:p>
        </w:tc>
      </w:tr>
      <w:tr w14:paraId="10EF3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4F334A"/>
        </w:tc>
        <w:tc>
          <w:tcPr>
            <w:tcW w:w="2769" w:type="dxa"/>
          </w:tcPr>
          <w:p w14:paraId="351AFC08">
            <w:pPr>
              <w:pStyle w:val="4"/>
              <w:jc w:val="center"/>
            </w:pPr>
            <w:r>
              <w:t>8</w:t>
            </w:r>
          </w:p>
        </w:tc>
        <w:tc>
          <w:tcPr>
            <w:tcW w:w="2769" w:type="dxa"/>
          </w:tcPr>
          <w:p w14:paraId="0FE09D85">
            <w:pPr>
              <w:pStyle w:val="4"/>
            </w:pPr>
            <w:r>
              <w:t>教学场地管理</w:t>
            </w:r>
            <w:r>
              <w:br w:type="textWrapping"/>
            </w:r>
          </w:p>
          <w:p w14:paraId="3DCC4E8F">
            <w:pPr>
              <w:pStyle w:val="4"/>
            </w:pPr>
            <w:r>
              <w:t>建设场地可视化管理系统，满足教学场地管理需要，同时可为场地调配使用、维护检修提供数据信息支撑。能够结合各办学实体场地布局进行管理开发使用，支持通过地图和场地目录的方式展示场地基本信息和进入场地相关管理界面。</w:t>
            </w:r>
            <w:r>
              <w:br w:type="textWrapping"/>
            </w:r>
          </w:p>
          <w:p w14:paraId="0823C7C2">
            <w:pPr>
              <w:pStyle w:val="4"/>
            </w:pPr>
            <w:r>
              <w:t>①场地信息库</w:t>
            </w:r>
            <w:r>
              <w:br w:type="textWrapping"/>
            </w:r>
          </w:p>
          <w:p w14:paraId="168F15F8">
            <w:pPr>
              <w:pStyle w:val="4"/>
            </w:pPr>
            <w:r>
              <w:t>校区及建筑物管理：管理校区及校区内的建筑物信息，包括楼宇名称、建筑物名称、各类教室、实验室、训练场、图书馆、信息机房等信息展示。</w:t>
            </w:r>
            <w:r>
              <w:br w:type="textWrapping"/>
            </w:r>
          </w:p>
          <w:p w14:paraId="0CEE53CC">
            <w:pPr>
              <w:pStyle w:val="4"/>
            </w:pPr>
            <w:r>
              <w:t>训练场地：包括对场地名称、场地所属类别、场地大小、设施器材、科学容量、最大容量等信息的记录。</w:t>
            </w:r>
            <w:r>
              <w:br w:type="textWrapping"/>
            </w:r>
          </w:p>
          <w:p w14:paraId="57A4CA29">
            <w:pPr>
              <w:pStyle w:val="4"/>
            </w:pPr>
            <w:r>
              <w:t>教学场所信息：管理教学场地信息，包括所处建筑物、楼层、房间、编号、功能用途、容纳人数、排课人数、排考人数、负责单位、使用情况等，都可由图形立体展示。</w:t>
            </w:r>
            <w:r>
              <w:br w:type="textWrapping"/>
            </w:r>
          </w:p>
          <w:p w14:paraId="5DE18D4C">
            <w:pPr>
              <w:pStyle w:val="4"/>
            </w:pPr>
            <w:r>
              <w:t>支持管理员对教学场地进行是否冲突检测的设定。</w:t>
            </w:r>
            <w:r>
              <w:br w:type="textWrapping"/>
            </w:r>
          </w:p>
          <w:p w14:paraId="2C3A1906">
            <w:pPr>
              <w:pStyle w:val="4"/>
            </w:pPr>
            <w:r>
              <w:t>支持管理员对场地信息进行增删改查等操作。</w:t>
            </w:r>
            <w:r>
              <w:br w:type="textWrapping"/>
            </w:r>
          </w:p>
          <w:p w14:paraId="0A02EA4A">
            <w:pPr>
              <w:pStyle w:val="4"/>
            </w:pPr>
            <w:r>
              <w:t>可对接双化建设涵盖的所有系统及后续建设的相关系统，并能够映射相关信息到本界面。</w:t>
            </w:r>
            <w:r>
              <w:br w:type="textWrapping"/>
            </w:r>
          </w:p>
          <w:p w14:paraId="7FF1BC4A">
            <w:pPr>
              <w:pStyle w:val="4"/>
            </w:pPr>
            <w:r>
              <w:t>②场地巡检</w:t>
            </w:r>
            <w:r>
              <w:br w:type="textWrapping"/>
            </w:r>
          </w:p>
          <w:p w14:paraId="5B111F72">
            <w:pPr>
              <w:pStyle w:val="4"/>
            </w:pPr>
            <w:r>
              <w:t>对教学场地检查巡检记录进行管理，包括在线填报巡检记录，巡检问题统计分析等功能。</w:t>
            </w:r>
            <w:r>
              <w:br w:type="textWrapping"/>
            </w:r>
          </w:p>
          <w:p w14:paraId="6C94B7A1">
            <w:pPr>
              <w:pStyle w:val="4"/>
            </w:pPr>
            <w:r>
              <w:t>③场地维修管理</w:t>
            </w:r>
            <w:r>
              <w:br w:type="textWrapping"/>
            </w:r>
          </w:p>
          <w:p w14:paraId="5AD040EB">
            <w:pPr>
              <w:pStyle w:val="4"/>
            </w:pPr>
            <w:r>
              <w:t>主要针对教学训练场地维修保养信息进行管理，包括维修申请、维修记录、维修耗材使用登记等。</w:t>
            </w:r>
            <w:r>
              <w:br w:type="textWrapping"/>
            </w:r>
          </w:p>
          <w:p w14:paraId="18C17AC0">
            <w:pPr>
              <w:pStyle w:val="4"/>
            </w:pPr>
            <w:r>
              <w:t>④教室管理</w:t>
            </w:r>
            <w:r>
              <w:br w:type="textWrapping"/>
            </w:r>
          </w:p>
          <w:p w14:paraId="61ABDF3F">
            <w:pPr>
              <w:pStyle w:val="4"/>
            </w:pPr>
            <w:r>
              <w:t>用于教室日常管理、巡检、维修等过程中需要使用的耗材的使用登记和维修记录。教室管理、巡检、维修过程中需要使用的耗材的使用登记和维修记录；支持教室基础信息管理（包括教室编号、楼层、类型、容纳人数、设施设备等信息）；支持和现有教室管理系统融合；支持和教务系统对接；支持统计教室使用情况；支持实时更新教室状态；支持管理员手动调整或系统自动同步；支持教室预约管理（含预约申请、冲突校验与审核和预约调整等功能）；支持教室设施与故障管理；关联教室内设备的运行数据；支持故障报修，并能全流程记录进度；能够实现数据统计与报表生成；支持消息提醒（预约提醒、冲突调整、故障维修完成等信息），支持信息反馈功能。</w:t>
            </w:r>
            <w:r>
              <w:br w:type="textWrapping"/>
            </w:r>
          </w:p>
          <w:p w14:paraId="27826F84">
            <w:pPr>
              <w:pStyle w:val="4"/>
            </w:pPr>
            <w:r>
              <w:t>⑤场地使用管理</w:t>
            </w:r>
            <w:r>
              <w:br w:type="textWrapping"/>
            </w:r>
          </w:p>
          <w:p w14:paraId="39FB69E9">
            <w:pPr>
              <w:pStyle w:val="4"/>
            </w:pPr>
            <w:r>
              <w:t>教学场地借用管理用于管理教学场地的借用申请和审批流程。该功能允许全校人员提出场地借用申请（申请类型包括：教学、讲座、辅导答疑、党团活动、考试考核等），并由管理员通过系统进行审批和管理。借用管理包括申请提交、审批流程、场地占用情况的查看等，确保场地的合理利用和安排。支持申请人查看场地申请流程审批情况，支持在场地申请时与课表、训练计划等进行冲突检测，支持在场地课表中展示场地借用情况。</w:t>
            </w:r>
          </w:p>
        </w:tc>
      </w:tr>
      <w:tr w14:paraId="7D6E8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1604AF"/>
        </w:tc>
        <w:tc>
          <w:tcPr>
            <w:tcW w:w="2769" w:type="dxa"/>
          </w:tcPr>
          <w:p w14:paraId="0F0986A9">
            <w:pPr>
              <w:pStyle w:val="4"/>
              <w:jc w:val="center"/>
            </w:pPr>
            <w:r>
              <w:t>9</w:t>
            </w:r>
          </w:p>
        </w:tc>
        <w:tc>
          <w:tcPr>
            <w:tcW w:w="2769" w:type="dxa"/>
          </w:tcPr>
          <w:p w14:paraId="2DE8C1D3">
            <w:pPr>
              <w:pStyle w:val="4"/>
            </w:pPr>
            <w:r>
              <w:t>软件应用资产管理</w:t>
            </w:r>
            <w:r>
              <w:br w:type="textWrapping"/>
            </w:r>
          </w:p>
          <w:p w14:paraId="644CD7EC">
            <w:pPr>
              <w:pStyle w:val="4"/>
            </w:pPr>
            <w:r>
              <w:t>开发全校软件应用资产资产管功能模块，对接各校区资产管理系统，通过定期数据摆渡录入无形资产中软件应用资产信息，实现全校软件应用资产的统一管控。</w:t>
            </w:r>
            <w:r>
              <w:br w:type="textWrapping"/>
            </w:r>
          </w:p>
          <w:p w14:paraId="76055B66">
            <w:pPr>
              <w:pStyle w:val="4"/>
            </w:pPr>
            <w:r>
              <w:t>①软件应用资产台账</w:t>
            </w:r>
            <w:r>
              <w:br w:type="textWrapping"/>
            </w:r>
          </w:p>
          <w:p w14:paraId="1B734FF1">
            <w:pPr>
              <w:pStyle w:val="4"/>
            </w:pPr>
            <w:r>
              <w:t>可通过工单管理功能实现对软件应用资产台账基本信息、配置信息和部署信息的维护。</w:t>
            </w:r>
            <w:r>
              <w:br w:type="textWrapping"/>
            </w:r>
          </w:p>
          <w:p w14:paraId="361EE9E3">
            <w:pPr>
              <w:pStyle w:val="4"/>
            </w:pPr>
            <w:r>
              <w:t>②审批软件应用立项申请流程</w:t>
            </w:r>
            <w:r>
              <w:br w:type="textWrapping"/>
            </w:r>
          </w:p>
          <w:p w14:paraId="7B97A11D">
            <w:pPr>
              <w:pStyle w:val="4"/>
            </w:pPr>
            <w:r>
              <w:t>实现在线填写软件应用立项申请及审核流程；能够对接科研管理系统中专利管理、软著管理等模块，选取软件应用相关数据。</w:t>
            </w:r>
          </w:p>
        </w:tc>
      </w:tr>
      <w:tr w14:paraId="59336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8BB292"/>
        </w:tc>
        <w:tc>
          <w:tcPr>
            <w:tcW w:w="2769" w:type="dxa"/>
          </w:tcPr>
          <w:p w14:paraId="557F224C">
            <w:pPr>
              <w:pStyle w:val="4"/>
              <w:jc w:val="center"/>
            </w:pPr>
            <w:r>
              <w:t>10</w:t>
            </w:r>
          </w:p>
        </w:tc>
        <w:tc>
          <w:tcPr>
            <w:tcW w:w="2769" w:type="dxa"/>
          </w:tcPr>
          <w:p w14:paraId="1FBAC993">
            <w:pPr>
              <w:pStyle w:val="4"/>
            </w:pPr>
            <w:r>
              <w:t>实验室管理</w:t>
            </w:r>
            <w:r>
              <w:br w:type="textWrapping"/>
            </w:r>
          </w:p>
          <w:p w14:paraId="763DD82E">
            <w:pPr>
              <w:pStyle w:val="4"/>
            </w:pPr>
            <w:r>
              <w:t>建设实验室智能化管理系统，对接实验室管理平台，实现实验室信息仪器设备的信息管理。</w:t>
            </w:r>
            <w:r>
              <w:br w:type="textWrapping"/>
            </w:r>
          </w:p>
          <w:p w14:paraId="294BF52D">
            <w:pPr>
              <w:pStyle w:val="4"/>
            </w:pPr>
            <w:r>
              <w:t>①实验室信息管理</w:t>
            </w:r>
            <w:r>
              <w:br w:type="textWrapping"/>
            </w:r>
          </w:p>
          <w:p w14:paraId="3B0F26F9">
            <w:pPr>
              <w:pStyle w:val="4"/>
            </w:pPr>
            <w:r>
              <w:t>根据大学实验室谱系架构,实现实验室基础信息维护管理，包含实验室名称、位置、简介、管理人员等。支持搜索、新增、删除等功能。</w:t>
            </w:r>
            <w:r>
              <w:br w:type="textWrapping"/>
            </w:r>
          </w:p>
          <w:p w14:paraId="69203E3E">
            <w:pPr>
              <w:pStyle w:val="4"/>
            </w:pPr>
            <w:r>
              <w:t>②教学任务管理</w:t>
            </w:r>
            <w:r>
              <w:br w:type="textWrapping"/>
            </w:r>
          </w:p>
          <w:p w14:paraId="52EB87D9">
            <w:pPr>
              <w:pStyle w:val="4"/>
            </w:pPr>
            <w:r>
              <w:t>与智慧教学平台教学计划管理模块关联，实现实验教学任务信息查看及维护功能。</w:t>
            </w:r>
            <w:r>
              <w:br w:type="textWrapping"/>
            </w:r>
          </w:p>
          <w:p w14:paraId="300E6E7E">
            <w:pPr>
              <w:pStyle w:val="4"/>
            </w:pPr>
            <w:r>
              <w:t>③预约管理</w:t>
            </w:r>
            <w:r>
              <w:br w:type="textWrapping"/>
            </w:r>
          </w:p>
          <w:p w14:paraId="2ED1A576">
            <w:pPr>
              <w:pStyle w:val="4"/>
            </w:pPr>
            <w:r>
              <w:t>实现实验室使用预约申请、审核流程。支持查看实验室仪器设备配置，查看实验室申请预约情况。</w:t>
            </w:r>
            <w:r>
              <w:br w:type="textWrapping"/>
            </w:r>
          </w:p>
          <w:p w14:paraId="11A0AE44">
            <w:pPr>
              <w:pStyle w:val="4"/>
            </w:pPr>
            <w:r>
              <w:t>④实验室使用管理</w:t>
            </w:r>
            <w:r>
              <w:br w:type="textWrapping"/>
            </w:r>
          </w:p>
          <w:p w14:paraId="21446B58">
            <w:pPr>
              <w:pStyle w:val="4"/>
            </w:pPr>
            <w:r>
              <w:t>实现对实验室使用计划和使用记录管理功能，支持实验室及仪器设备在用状态查询。</w:t>
            </w:r>
            <w:r>
              <w:br w:type="textWrapping"/>
            </w:r>
          </w:p>
          <w:p w14:paraId="40816CD0">
            <w:pPr>
              <w:pStyle w:val="4"/>
            </w:pPr>
            <w:r>
              <w:t>⑤实验仪器台账</w:t>
            </w:r>
            <w:r>
              <w:br w:type="textWrapping"/>
            </w:r>
          </w:p>
          <w:p w14:paraId="0C346943">
            <w:pPr>
              <w:pStyle w:val="4"/>
            </w:pPr>
            <w:r>
              <w:t>实现仪器设备台账管理功能，包括仪器设备名称、数量、价格、生产日期、厂家、质量状态等信息；与“教学资产管理”模块实现关联，确保达到固定资产标准的仪器设备纳入教学资产一体管理；支持在台账明细信息中，体现仪器设备的预约时间安排，支持上传说明书、保修卡等附件。</w:t>
            </w:r>
            <w:r>
              <w:br w:type="textWrapping"/>
            </w:r>
          </w:p>
          <w:p w14:paraId="6D2951C9">
            <w:pPr>
              <w:pStyle w:val="4"/>
            </w:pPr>
            <w:r>
              <w:t>⑥仪器调剂管理</w:t>
            </w:r>
            <w:r>
              <w:br w:type="textWrapping"/>
            </w:r>
          </w:p>
          <w:p w14:paraId="34261624">
            <w:pPr>
              <w:pStyle w:val="4"/>
            </w:pPr>
            <w:r>
              <w:t>支持仪器设备调剂管理，可由调入单位发起申请，由调出单位确认，由机关审核。与“教学资产管理”模块实现关联，调剂后自动修改台账信息及教学资产信息；</w:t>
            </w:r>
            <w:r>
              <w:br w:type="textWrapping"/>
            </w:r>
          </w:p>
          <w:p w14:paraId="687A6697">
            <w:pPr>
              <w:pStyle w:val="4"/>
            </w:pPr>
            <w:r>
              <w:t>⑦化学品管理</w:t>
            </w:r>
            <w:r>
              <w:br w:type="textWrapping"/>
            </w:r>
          </w:p>
          <w:p w14:paraId="25A8FDD9">
            <w:pPr>
              <w:pStyle w:val="4"/>
            </w:pPr>
            <w:r>
              <w:t>对化学品实施全流程管理。包括：一般化学品台账管理，危险化学品目录维护、申购审批、台账管理、使用过程记录，报废化学品及化学废物处置等功能。</w:t>
            </w:r>
          </w:p>
        </w:tc>
      </w:tr>
    </w:tbl>
    <w:p w14:paraId="7B7D8BED">
      <w:pPr>
        <w:pStyle w:val="4"/>
      </w:pPr>
      <w:r>
        <w:t>说明：</w:t>
      </w:r>
    </w:p>
    <w:p w14:paraId="1F42E81A">
      <w:pPr>
        <w:pStyle w:val="4"/>
      </w:pPr>
      <w:r>
        <w:t>带“★”的参数需求为实质性要求，若有任何一条未响应或不满足则导致投标无效。</w:t>
      </w:r>
    </w:p>
    <w:p w14:paraId="50C0E798">
      <w:pPr>
        <w:pStyle w:val="4"/>
      </w:pPr>
      <w:r>
        <w:t>带“▲”号条款为重要技术参数，若有部分“▲”条款未响应或不满足，将对响应性评审产生影响，但不作为无效投标条款。</w:t>
      </w:r>
    </w:p>
    <w:p w14:paraId="5F071059">
      <w:pPr>
        <w:pStyle w:val="4"/>
      </w:pPr>
      <w:r>
        <w:t>关键性技术指标参数前标记“★”符号，重要技术指标前标记“▲”符号，一般性指标参数前不作标记。带“★”条款和响应为正偏离的指标参数需提供技术支持材料，技术支持材料可以从（不限于）以下支持材料选择：产品规格表、产品宣传彩页、技术白皮书、制造商官方网站发布的产品信息、说明书或检测机构出具的检测报告等技术材料支持。</w:t>
      </w:r>
    </w:p>
    <w:p w14:paraId="2B694489">
      <w:pPr>
        <w:pStyle w:val="4"/>
      </w:pPr>
      <w:r>
        <w:t>涉及功能性指标、个性化定制、安装调试等难以提供技术支持材料的，投标供应商可通过编制技术方案、提供承诺函等方式作为支持材料，对需求内容进行完全响应。</w:t>
      </w:r>
      <w:r>
        <w:br w:type="textWrapping"/>
      </w:r>
    </w:p>
    <w:p w14:paraId="24106398">
      <w:pPr>
        <w:pStyle w:val="4"/>
        <w:jc w:val="left"/>
      </w:pPr>
      <w:r>
        <w:t xml:space="preserve"> </w:t>
      </w:r>
    </w:p>
    <w:p w14:paraId="1C8B1B7C">
      <w:pPr>
        <w:pStyle w:val="4"/>
        <w:jc w:val="center"/>
        <w:outlineLvl w:val="1"/>
      </w:pPr>
      <w:r>
        <w:rPr>
          <w:b/>
          <w:sz w:val="36"/>
        </w:rPr>
        <w:t>第七章 合同样本</w:t>
      </w:r>
    </w:p>
    <w:p w14:paraId="0B8B5356">
      <w:pPr>
        <w:pStyle w:val="4"/>
        <w:jc w:val="left"/>
        <w:outlineLvl w:val="2"/>
      </w:pPr>
      <w:r>
        <w:rPr>
          <w:b/>
          <w:sz w:val="28"/>
        </w:rPr>
        <w:t>合同样本正文</w:t>
      </w:r>
    </w:p>
    <w:p w14:paraId="58C9E752">
      <w:pPr>
        <w:pStyle w:val="4"/>
        <w:jc w:val="left"/>
        <w:outlineLvl w:val="0"/>
      </w:pPr>
      <w:r>
        <w:rPr>
          <w:b/>
          <w:sz w:val="48"/>
        </w:rPr>
        <w:t>软件开发服务项目采购合同</w:t>
      </w:r>
    </w:p>
    <w:p w14:paraId="462C1437">
      <w:pPr>
        <w:pStyle w:val="4"/>
        <w:jc w:val="center"/>
      </w:pPr>
      <w:r>
        <w:br w:type="textWrapping"/>
      </w:r>
    </w:p>
    <w:p w14:paraId="3F6932F0">
      <w:pPr>
        <w:pStyle w:val="4"/>
        <w:jc w:val="center"/>
      </w:pPr>
      <w:r>
        <w:br w:type="textWrapping"/>
      </w:r>
    </w:p>
    <w:p w14:paraId="3D8C7F7A">
      <w:pPr>
        <w:pStyle w:val="4"/>
        <w:jc w:val="center"/>
      </w:pPr>
      <w:r>
        <w:br w:type="textWrapping"/>
      </w:r>
    </w:p>
    <w:p w14:paraId="072F3C2B">
      <w:pPr>
        <w:pStyle w:val="4"/>
        <w:jc w:val="center"/>
      </w:pPr>
      <w:r>
        <w:br w:type="textWrapping"/>
      </w:r>
    </w:p>
    <w:p w14:paraId="33C18C79">
      <w:pPr>
        <w:pStyle w:val="4"/>
        <w:jc w:val="center"/>
      </w:pPr>
      <w:r>
        <w:t>项目名称:</w:t>
      </w:r>
    </w:p>
    <w:p w14:paraId="36A06FD4">
      <w:pPr>
        <w:pStyle w:val="4"/>
        <w:jc w:val="center"/>
      </w:pPr>
      <w:r>
        <w:t>项目编号:</w:t>
      </w:r>
    </w:p>
    <w:p w14:paraId="49AF5CED">
      <w:pPr>
        <w:pStyle w:val="4"/>
        <w:jc w:val="center"/>
      </w:pPr>
      <w:r>
        <w:t>合同编号:</w:t>
      </w:r>
    </w:p>
    <w:p w14:paraId="0799B0B7">
      <w:pPr>
        <w:pStyle w:val="4"/>
        <w:jc w:val="center"/>
      </w:pPr>
      <w:r>
        <w:br w:type="textWrapping"/>
      </w:r>
    </w:p>
    <w:p w14:paraId="007BAB83">
      <w:pPr>
        <w:pStyle w:val="4"/>
        <w:jc w:val="center"/>
      </w:pPr>
      <w:r>
        <w:br w:type="textWrapping"/>
      </w:r>
    </w:p>
    <w:p w14:paraId="66A2AB66">
      <w:pPr>
        <w:pStyle w:val="4"/>
        <w:jc w:val="center"/>
      </w:pPr>
      <w:r>
        <w:br w:type="textWrapping"/>
      </w:r>
    </w:p>
    <w:p w14:paraId="52B1D7E4">
      <w:pPr>
        <w:pStyle w:val="4"/>
        <w:jc w:val="center"/>
      </w:pPr>
      <w:r>
        <w:br w:type="textWrapping"/>
      </w:r>
    </w:p>
    <w:p w14:paraId="63B7A0AF">
      <w:pPr>
        <w:pStyle w:val="4"/>
        <w:jc w:val="center"/>
      </w:pPr>
      <w:r>
        <w:t>甲方（采购单位）:</w:t>
      </w:r>
    </w:p>
    <w:p w14:paraId="12712A6A">
      <w:pPr>
        <w:pStyle w:val="4"/>
        <w:jc w:val="center"/>
      </w:pPr>
      <w:r>
        <w:t>乙方（供 应 商）:</w:t>
      </w:r>
    </w:p>
    <w:p w14:paraId="660CC2ED">
      <w:pPr>
        <w:pStyle w:val="4"/>
        <w:jc w:val="left"/>
        <w:outlineLvl w:val="0"/>
      </w:pPr>
      <w:r>
        <w:rPr>
          <w:b/>
          <w:sz w:val="48"/>
        </w:rPr>
        <w:t>合同通用条款</w:t>
      </w:r>
    </w:p>
    <w:p w14:paraId="61A60C71">
      <w:pPr>
        <w:pStyle w:val="4"/>
        <w:jc w:val="left"/>
        <w:outlineLvl w:val="3"/>
      </w:pPr>
      <w:r>
        <w:rPr>
          <w:b/>
          <w:sz w:val="24"/>
        </w:rPr>
        <w:t>一、定义</w:t>
      </w:r>
    </w:p>
    <w:p w14:paraId="560632D9">
      <w:pPr>
        <w:pStyle w:val="4"/>
        <w:jc w:val="left"/>
        <w:outlineLvl w:val="3"/>
      </w:pPr>
      <w:r>
        <w:rPr>
          <w:b/>
          <w:sz w:val="24"/>
        </w:rPr>
        <w:t>（一）“合同”是指甲方和乙方（以下简称双方）已达成的协议。</w:t>
      </w:r>
    </w:p>
    <w:p w14:paraId="179949E0">
      <w:pPr>
        <w:pStyle w:val="4"/>
        <w:jc w:val="left"/>
        <w:outlineLvl w:val="3"/>
      </w:pPr>
      <w:r>
        <w:rPr>
          <w:b/>
          <w:sz w:val="24"/>
        </w:rPr>
        <w:t>（二）“甲方”是指采购服务的采购单位，或者受采购单位委托的采购机构。</w:t>
      </w:r>
    </w:p>
    <w:p w14:paraId="33F930FA">
      <w:pPr>
        <w:pStyle w:val="4"/>
        <w:jc w:val="left"/>
        <w:outlineLvl w:val="3"/>
      </w:pPr>
      <w:r>
        <w:rPr>
          <w:b/>
          <w:sz w:val="24"/>
        </w:rPr>
        <w:t>（三）“乙方”是指中标（成交）后提供服务的供应商。</w:t>
      </w:r>
    </w:p>
    <w:p w14:paraId="56CB42DC">
      <w:pPr>
        <w:pStyle w:val="4"/>
        <w:jc w:val="left"/>
        <w:outlineLvl w:val="3"/>
      </w:pPr>
      <w:r>
        <w:rPr>
          <w:b/>
          <w:sz w:val="24"/>
        </w:rPr>
        <w:t>（四）“合同金额”是指根据合同约定，在乙方全面正确地履行合同义务时支付给乙方的款项。</w:t>
      </w:r>
    </w:p>
    <w:p w14:paraId="0858D8F1">
      <w:pPr>
        <w:pStyle w:val="4"/>
        <w:jc w:val="left"/>
        <w:outlineLvl w:val="3"/>
      </w:pPr>
      <w:r>
        <w:rPr>
          <w:b/>
          <w:sz w:val="24"/>
        </w:rPr>
        <w:t>（五）“服务”是指乙方根据合同约定向甲方交付或实施的服务。（交付类项目，是指在选择乙方后，由乙方按合同要求提供成果或者产品，如设计、规划、软件开发类等项目；实施类项目，是指在选择乙方后，由乙方按合同要求实施服务，如营区内饮食社会化保障、营区内超市（便利店）、物业管理服务类等项目）</w:t>
      </w:r>
    </w:p>
    <w:p w14:paraId="4278D77C">
      <w:pPr>
        <w:pStyle w:val="4"/>
        <w:jc w:val="left"/>
        <w:outlineLvl w:val="3"/>
      </w:pPr>
      <w:r>
        <w:rPr>
          <w:b/>
          <w:sz w:val="24"/>
        </w:rPr>
        <w:t>二、知识产权</w:t>
      </w:r>
    </w:p>
    <w:p w14:paraId="3CD38BCE">
      <w:pPr>
        <w:pStyle w:val="4"/>
        <w:jc w:val="left"/>
        <w:outlineLvl w:val="3"/>
      </w:pPr>
      <w:r>
        <w:rPr>
          <w:b/>
          <w:sz w:val="24"/>
        </w:rPr>
        <w:t>乙方应当保证甲方在使用乙方交付的服务成果时不受第三方提出侵犯其知识产权的指控，对此甲方不承担任何连带责任或赔偿责任。</w:t>
      </w:r>
    </w:p>
    <w:p w14:paraId="76CE6566">
      <w:pPr>
        <w:pStyle w:val="4"/>
        <w:jc w:val="left"/>
        <w:outlineLvl w:val="3"/>
      </w:pPr>
      <w:r>
        <w:rPr>
          <w:b/>
          <w:sz w:val="24"/>
        </w:rPr>
        <w:t>三、合同的变更和解除</w:t>
      </w:r>
    </w:p>
    <w:p w14:paraId="3A116E01">
      <w:pPr>
        <w:pStyle w:val="4"/>
        <w:jc w:val="left"/>
      </w:pPr>
      <w:r>
        <w:t>（一）因合同变更、解除造成损失的，过错方应当按照合同约定或者国家法律法规承担赔偿责任，双方都有过错的，应当按照合同约定或者国家法律法规各自承担相应的责任。</w:t>
      </w:r>
    </w:p>
    <w:p w14:paraId="6153DBE9">
      <w:pPr>
        <w:pStyle w:val="4"/>
        <w:jc w:val="left"/>
      </w:pPr>
      <w:r>
        <w:t>（二）合同履行中，存在以下情形之一的，经双方协商一致，并由甲方按照军队有关规定办理审批后，可以变更合同：</w:t>
      </w:r>
    </w:p>
    <w:p w14:paraId="233321E5">
      <w:pPr>
        <w:pStyle w:val="4"/>
        <w:jc w:val="left"/>
      </w:pPr>
      <w:r>
        <w:t>1.甲方需要追加或者减少与合同标的相同的物资或者服务的，在不改变合同其他条款的前提下，可以与乙方协商，进行协议追加或者减少；追加采购金额不得超过原合同采购金额的10%；按照预先采购结果、共享共用采购结果等订立的采购合同，其变更适用情形另有规定的，按照有关规定执行。</w:t>
      </w:r>
    </w:p>
    <w:p w14:paraId="2973D800">
      <w:pPr>
        <w:pStyle w:val="4"/>
        <w:jc w:val="left"/>
      </w:pPr>
      <w:r>
        <w:t>2.因产品停产、技术升级等不可预知的客观原因导致合同难以履行，需要更换同品牌升级产品或者同品质升级服务，甲方可以视情组织专家论证，签订合同变更协议，但合同标的单价不得提高。</w:t>
      </w:r>
    </w:p>
    <w:p w14:paraId="09DE1BBB">
      <w:pPr>
        <w:pStyle w:val="4"/>
        <w:jc w:val="left"/>
      </w:pPr>
      <w:r>
        <w:t>3.甲方因职能任务调整，需要由其他军队单位承接合同权利义务的，或者乙方名称、住所等信息依法登记变更的，可以对合同相应信息进行变更。</w:t>
      </w:r>
    </w:p>
    <w:p w14:paraId="5A3D6D36">
      <w:pPr>
        <w:pStyle w:val="4"/>
        <w:jc w:val="left"/>
      </w:pPr>
      <w:r>
        <w:t>4.继续履行合同将损害国家或者军队利益，通过合同变更能够消除相应损害的，可以变更合同。</w:t>
      </w:r>
    </w:p>
    <w:p w14:paraId="1C052F5C">
      <w:pPr>
        <w:pStyle w:val="4"/>
        <w:jc w:val="left"/>
      </w:pPr>
      <w:r>
        <w:t>5.国家法律法规规定或者合同约定的其他合同变更的情形。</w:t>
      </w:r>
    </w:p>
    <w:p w14:paraId="32F6B3DC">
      <w:pPr>
        <w:pStyle w:val="4"/>
        <w:jc w:val="left"/>
      </w:pPr>
      <w:r>
        <w:t>（三）合同履行中，存在以下情形之一的，甲方有权解除合同：</w:t>
      </w:r>
    </w:p>
    <w:p w14:paraId="524F04BC">
      <w:pPr>
        <w:pStyle w:val="4"/>
        <w:jc w:val="left"/>
      </w:pPr>
      <w:r>
        <w:t>1.因不可抗力无法履行合同，不能实现合同目的的；</w:t>
      </w:r>
    </w:p>
    <w:p w14:paraId="3F8C516E">
      <w:pPr>
        <w:pStyle w:val="4"/>
        <w:jc w:val="left"/>
      </w:pPr>
      <w:r>
        <w:t>2.继续履行合同将损害国家或者甲方利益，且无法通过合同变更或者中止方式解决的；</w:t>
      </w:r>
    </w:p>
    <w:p w14:paraId="1DB6C151">
      <w:pPr>
        <w:pStyle w:val="4"/>
        <w:jc w:val="left"/>
      </w:pPr>
      <w:r>
        <w:t>3.采购任务调整或者取消，不能通过合同变更方式达成新协议的；</w:t>
      </w:r>
    </w:p>
    <w:p w14:paraId="039F5027">
      <w:pPr>
        <w:pStyle w:val="4"/>
        <w:jc w:val="left"/>
      </w:pPr>
      <w:r>
        <w:t>4.乙方明确表示或者以自己的行为表明不履行合同主要义务的；</w:t>
      </w:r>
    </w:p>
    <w:p w14:paraId="2120F613">
      <w:pPr>
        <w:pStyle w:val="4"/>
        <w:jc w:val="left"/>
      </w:pPr>
      <w:r>
        <w:t>5.乙方迟延履行合同主要义务，经催告后在限定合理整改期限内仍不履行的；</w:t>
      </w:r>
    </w:p>
    <w:p w14:paraId="057D7224">
      <w:pPr>
        <w:pStyle w:val="4"/>
        <w:jc w:val="left"/>
      </w:pPr>
      <w:r>
        <w:t>6.乙方存在违规违约行为致使不能实现合同目的的；</w:t>
      </w:r>
    </w:p>
    <w:p w14:paraId="1D2FBCAF">
      <w:pPr>
        <w:pStyle w:val="4"/>
        <w:jc w:val="left"/>
      </w:pPr>
      <w:r>
        <w:t>7.乙方发生控股关系、经营范围等重大实质性变化，不符合合同约定的；</w:t>
      </w:r>
    </w:p>
    <w:p w14:paraId="649149B0">
      <w:pPr>
        <w:pStyle w:val="4"/>
        <w:jc w:val="left"/>
      </w:pPr>
      <w:r>
        <w:t>8.国家法律法规规定或者合同约定的其他情形。</w:t>
      </w:r>
    </w:p>
    <w:p w14:paraId="05E38CD6">
      <w:pPr>
        <w:pStyle w:val="4"/>
        <w:jc w:val="left"/>
      </w:pPr>
      <w:r>
        <w:t>（四）解除合同时，合同尚未履行的部分终止履行；对于乙方已履行的部分，双方区分情形，按照以下约定办理：</w:t>
      </w:r>
    </w:p>
    <w:p w14:paraId="3A865C08">
      <w:pPr>
        <w:pStyle w:val="4"/>
        <w:jc w:val="left"/>
      </w:pPr>
      <w:r>
        <w:t>1.合同已履行并验收合格的部分，乙方没有违规违约行为的，甲方应当按照合同办理支付结算；乙方存在违规违约行为的，甲方应当按照本合同约定扣除违规违约赔偿费用后，办理支付结算。</w:t>
      </w:r>
    </w:p>
    <w:p w14:paraId="1C524E7E">
      <w:pPr>
        <w:pStyle w:val="4"/>
        <w:jc w:val="left"/>
      </w:pPr>
      <w:r>
        <w:t>2.合同已履行部分存在质量瑕疵的，甲方有权要求乙方采取修理、重作、更换、双方协商减价等补救措施，验收合格后，按照本项第1条办理支付结算。</w:t>
      </w:r>
    </w:p>
    <w:p w14:paraId="0ED41D6B">
      <w:pPr>
        <w:pStyle w:val="4"/>
        <w:jc w:val="left"/>
      </w:pPr>
      <w:r>
        <w:t>3.合同已履行部分根据甲方要求经乙方补救后仍未达到合同约定要求的，甲方有权拒绝支付相应的费用。</w:t>
      </w:r>
    </w:p>
    <w:p w14:paraId="7A40D253">
      <w:pPr>
        <w:pStyle w:val="4"/>
        <w:jc w:val="left"/>
      </w:pPr>
      <w:r>
        <w:t>4.乙方对合同解除负有主要过错责任的，甲方有权拒绝接收合同已履行部分服务。</w:t>
      </w:r>
    </w:p>
    <w:p w14:paraId="2BFB31B6">
      <w:pPr>
        <w:pStyle w:val="4"/>
        <w:jc w:val="left"/>
        <w:outlineLvl w:val="3"/>
      </w:pPr>
      <w:r>
        <w:rPr>
          <w:b/>
          <w:sz w:val="24"/>
        </w:rPr>
        <w:t>四、履约监督</w:t>
      </w:r>
    </w:p>
    <w:p w14:paraId="72C6293B">
      <w:pPr>
        <w:pStyle w:val="4"/>
        <w:jc w:val="left"/>
      </w:pPr>
      <w:r>
        <w:t>（一）乙方应当接受甲方对其资质和履约能力进行监管，并保证在其资质和履约能力发生变化时及时向甲方通报，乙方存在法律规定的丧失或者可能丧失合同履行能力有关情形时，甲方有权中止合同履行：</w:t>
      </w:r>
    </w:p>
    <w:p w14:paraId="4DD0EC76">
      <w:pPr>
        <w:pStyle w:val="4"/>
        <w:jc w:val="left"/>
      </w:pPr>
      <w:r>
        <w:t>1.经营状况严重恶化的；</w:t>
      </w:r>
    </w:p>
    <w:p w14:paraId="6FC88804">
      <w:pPr>
        <w:pStyle w:val="4"/>
        <w:jc w:val="left"/>
      </w:pPr>
      <w:r>
        <w:t>2.转移财产、抽逃资金，以逃避债务的；</w:t>
      </w:r>
    </w:p>
    <w:p w14:paraId="6FFCE4C3">
      <w:pPr>
        <w:pStyle w:val="4"/>
        <w:jc w:val="left"/>
      </w:pPr>
      <w:r>
        <w:t>3.丧失商业信誉的；</w:t>
      </w:r>
    </w:p>
    <w:p w14:paraId="571CE510">
      <w:pPr>
        <w:pStyle w:val="4"/>
        <w:jc w:val="left"/>
      </w:pPr>
      <w:r>
        <w:t>4.有丧失或者可能丧失履行合同能力的其他情形。</w:t>
      </w:r>
    </w:p>
    <w:p w14:paraId="680FC69C">
      <w:pPr>
        <w:pStyle w:val="4"/>
        <w:jc w:val="left"/>
      </w:pPr>
      <w:r>
        <w:t>甲方中止合同履行的，应当及时通知乙方。乙方提供适当担保的，甲方应当恢复履行。如果乙方在合理期限内未恢复履行能力且未提供适当担保的，甲方有权解除合同，并要求乙方承担违约责任。</w:t>
      </w:r>
    </w:p>
    <w:p w14:paraId="43796CA2">
      <w:pPr>
        <w:pStyle w:val="4"/>
        <w:jc w:val="left"/>
      </w:pPr>
      <w:r>
        <w:t>（二）在不妨碍乙方正常作业的情况下，甲方有权不定期对服务的进度和过程质量管控情况进行监督检查，乙方承诺予以配合，如实反映情况，提供相关材料。</w:t>
      </w:r>
    </w:p>
    <w:p w14:paraId="7DCEF1FA">
      <w:pPr>
        <w:pStyle w:val="4"/>
        <w:jc w:val="left"/>
      </w:pPr>
      <w:r>
        <w:t>（三）乙方对于甲方采购管理部门、纪检监察部门、审计部门等职能部门开展的调查，承诺予以配合，如实反映情况，提供相关材料。</w:t>
      </w:r>
    </w:p>
    <w:p w14:paraId="30A1EBD4">
      <w:pPr>
        <w:pStyle w:val="4"/>
        <w:jc w:val="left"/>
        <w:outlineLvl w:val="3"/>
      </w:pPr>
      <w:r>
        <w:rPr>
          <w:b/>
          <w:sz w:val="24"/>
        </w:rPr>
        <w:t>五、转包与分包</w:t>
      </w:r>
    </w:p>
    <w:p w14:paraId="09F3B167">
      <w:pPr>
        <w:pStyle w:val="4"/>
        <w:jc w:val="left"/>
      </w:pPr>
      <w:r>
        <w:t>（一）乙方不得以任何形式将合同转包。</w:t>
      </w:r>
    </w:p>
    <w:p w14:paraId="58BE720F">
      <w:pPr>
        <w:pStyle w:val="4"/>
        <w:jc w:val="left"/>
      </w:pPr>
      <w:r>
        <w:t>（二）乙方不得将合同分包，采购文件允许并在投标（报价）文件中说明的情形除外。</w:t>
      </w:r>
    </w:p>
    <w:p w14:paraId="3BEA0BEE">
      <w:pPr>
        <w:pStyle w:val="4"/>
        <w:jc w:val="left"/>
      </w:pPr>
      <w:r>
        <w:t>（三）合同分包履行的，乙方应当与分包承担主体就分包项目向甲方承担连带责任。</w:t>
      </w:r>
    </w:p>
    <w:p w14:paraId="61927E67">
      <w:pPr>
        <w:pStyle w:val="4"/>
        <w:jc w:val="left"/>
        <w:outlineLvl w:val="3"/>
      </w:pPr>
      <w:r>
        <w:rPr>
          <w:b/>
          <w:sz w:val="24"/>
        </w:rPr>
        <w:t>六、争议解决方式</w:t>
      </w:r>
    </w:p>
    <w:p w14:paraId="7918E4DE">
      <w:pPr>
        <w:pStyle w:val="4"/>
        <w:jc w:val="left"/>
      </w:pPr>
      <w:r>
        <w:t>合同履行过程中，发生争议时，按照下列方式解决：</w:t>
      </w:r>
    </w:p>
    <w:p w14:paraId="40AF7B76">
      <w:pPr>
        <w:pStyle w:val="4"/>
        <w:jc w:val="left"/>
      </w:pPr>
      <w:r>
        <w:t>（一）甲方和乙方协商解决。</w:t>
      </w:r>
    </w:p>
    <w:p w14:paraId="1117F562">
      <w:pPr>
        <w:pStyle w:val="4"/>
        <w:jc w:val="left"/>
      </w:pPr>
      <w:r>
        <w:t>（二）协商不一致的，甲方或者乙方向采购机构负责合同履约的部门反映情况，请求第一次调解处理；第一次调解不成功的，向军级单位采购管理部门或者同等权限的采购管理部门请求第二次调解处理。</w:t>
      </w:r>
    </w:p>
    <w:p w14:paraId="073F5B4C">
      <w:pPr>
        <w:pStyle w:val="4"/>
        <w:jc w:val="left"/>
        <w:outlineLvl w:val="3"/>
      </w:pPr>
      <w:r>
        <w:rPr>
          <w:b/>
          <w:sz w:val="24"/>
        </w:rPr>
        <w:t>七、组成合同的文件</w:t>
      </w:r>
    </w:p>
    <w:p w14:paraId="569491C8">
      <w:pPr>
        <w:pStyle w:val="4"/>
        <w:jc w:val="left"/>
      </w:pPr>
      <w:r>
        <w:t>组成本合同的文件及优先解释顺序如下：</w:t>
      </w:r>
    </w:p>
    <w:p w14:paraId="525EB971">
      <w:pPr>
        <w:pStyle w:val="4"/>
        <w:jc w:val="left"/>
      </w:pPr>
      <w:r>
        <w:t>（一）采购合同及合同履行过程中双方协商达成的变更或补充协议；</w:t>
      </w:r>
    </w:p>
    <w:p w14:paraId="5D1B6EFF">
      <w:pPr>
        <w:pStyle w:val="4"/>
        <w:jc w:val="left"/>
      </w:pPr>
      <w:r>
        <w:t>（二）中标（成交）通知书；</w:t>
      </w:r>
    </w:p>
    <w:p w14:paraId="056EFAE6">
      <w:pPr>
        <w:pStyle w:val="4"/>
        <w:jc w:val="left"/>
      </w:pPr>
      <w:r>
        <w:t>（三）投标（报价）文件；</w:t>
      </w:r>
    </w:p>
    <w:p w14:paraId="10258E3F">
      <w:pPr>
        <w:pStyle w:val="4"/>
        <w:jc w:val="left"/>
      </w:pPr>
      <w:r>
        <w:t>（四）招标（采购）文件；</w:t>
      </w:r>
    </w:p>
    <w:p w14:paraId="689DEA1F">
      <w:pPr>
        <w:pStyle w:val="4"/>
        <w:jc w:val="left"/>
      </w:pPr>
      <w:r>
        <w:t>（五）标准、规范及有关技术文件，图纸；</w:t>
      </w:r>
    </w:p>
    <w:p w14:paraId="5C848B7C">
      <w:pPr>
        <w:pStyle w:val="4"/>
        <w:jc w:val="left"/>
      </w:pPr>
      <w:r>
        <w:t>（六）其他合同文件。</w:t>
      </w:r>
    </w:p>
    <w:p w14:paraId="281464A8">
      <w:pPr>
        <w:pStyle w:val="4"/>
        <w:jc w:val="left"/>
        <w:outlineLvl w:val="3"/>
      </w:pPr>
      <w:r>
        <w:rPr>
          <w:b/>
          <w:sz w:val="24"/>
        </w:rPr>
        <w:t>八、其他</w:t>
      </w:r>
    </w:p>
    <w:p w14:paraId="3DC9C3E4">
      <w:pPr>
        <w:pStyle w:val="4"/>
        <w:jc w:val="left"/>
      </w:pPr>
      <w:r>
        <w:t>（一）合同未尽事宜，双方另行签订补充协议，补充协议是合同的组成部分。</w:t>
      </w:r>
    </w:p>
    <w:p w14:paraId="63792F05">
      <w:pPr>
        <w:pStyle w:val="4"/>
        <w:jc w:val="left"/>
      </w:pPr>
      <w:r>
        <w:t>（二）本合同按照军队合同备案管理规定统一编号后，报相关部门备案。</w:t>
      </w:r>
    </w:p>
    <w:p w14:paraId="575819A2">
      <w:pPr>
        <w:pStyle w:val="4"/>
        <w:jc w:val="center"/>
        <w:outlineLvl w:val="0"/>
      </w:pPr>
      <w:r>
        <w:rPr>
          <w:b/>
          <w:sz w:val="48"/>
        </w:rPr>
        <w:t>合同专用条款</w:t>
      </w:r>
    </w:p>
    <w:p w14:paraId="733121D1">
      <w:pPr>
        <w:pStyle w:val="4"/>
        <w:jc w:val="left"/>
        <w:outlineLvl w:val="3"/>
      </w:pPr>
      <w:r>
        <w:rPr>
          <w:b/>
          <w:sz w:val="24"/>
        </w:rPr>
        <w:t>一、项目信息</w:t>
      </w:r>
    </w:p>
    <w:p w14:paraId="26857DB7">
      <w:pPr>
        <w:pStyle w:val="4"/>
        <w:jc w:val="left"/>
        <w:outlineLvl w:val="3"/>
      </w:pPr>
      <w:r>
        <w:rPr>
          <w:b/>
          <w:sz w:val="24"/>
        </w:rPr>
        <w:t>签订日期：</w:t>
      </w:r>
    </w:p>
    <w:p w14:paraId="267CDD7C">
      <w:pPr>
        <w:pStyle w:val="4"/>
        <w:jc w:val="left"/>
      </w:pPr>
      <w:r>
        <w:rPr>
          <w:b/>
          <w:sz w:val="24"/>
        </w:rPr>
        <w:t>签订地点：</w:t>
      </w:r>
    </w:p>
    <w:p w14:paraId="5E5B767A">
      <w:pPr>
        <w:pStyle w:val="4"/>
        <w:jc w:val="left"/>
        <w:outlineLvl w:val="3"/>
      </w:pPr>
      <w:r>
        <w:rPr>
          <w:b/>
          <w:sz w:val="24"/>
        </w:rPr>
        <w:t>二、合同标的及金额</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5222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820F94C">
            <w:pPr>
              <w:pStyle w:val="4"/>
              <w:jc w:val="left"/>
            </w:pPr>
            <w:r>
              <w:t>序号</w:t>
            </w:r>
          </w:p>
        </w:tc>
        <w:tc>
          <w:tcPr>
            <w:tcW w:w="1187" w:type="dxa"/>
          </w:tcPr>
          <w:p w14:paraId="6C6277D8">
            <w:pPr>
              <w:pStyle w:val="4"/>
              <w:jc w:val="left"/>
            </w:pPr>
            <w:r>
              <w:t>服务名称</w:t>
            </w:r>
          </w:p>
        </w:tc>
        <w:tc>
          <w:tcPr>
            <w:tcW w:w="1187" w:type="dxa"/>
          </w:tcPr>
          <w:p w14:paraId="65584CD7">
            <w:pPr>
              <w:pStyle w:val="4"/>
              <w:jc w:val="left"/>
            </w:pPr>
            <w:r>
              <w:t>质量技术标准</w:t>
            </w:r>
          </w:p>
        </w:tc>
        <w:tc>
          <w:tcPr>
            <w:tcW w:w="1187" w:type="dxa"/>
          </w:tcPr>
          <w:p w14:paraId="26999E45">
            <w:pPr>
              <w:pStyle w:val="4"/>
              <w:jc w:val="left"/>
            </w:pPr>
            <w:r>
              <w:t>计量</w:t>
            </w:r>
          </w:p>
          <w:p w14:paraId="0CAF1E04">
            <w:pPr>
              <w:pStyle w:val="4"/>
              <w:jc w:val="left"/>
            </w:pPr>
            <w:r>
              <w:t>单位</w:t>
            </w:r>
          </w:p>
        </w:tc>
        <w:tc>
          <w:tcPr>
            <w:tcW w:w="1187" w:type="dxa"/>
          </w:tcPr>
          <w:p w14:paraId="7967971B">
            <w:pPr>
              <w:pStyle w:val="4"/>
              <w:jc w:val="left"/>
            </w:pPr>
            <w:r>
              <w:t>数量</w:t>
            </w:r>
          </w:p>
        </w:tc>
        <w:tc>
          <w:tcPr>
            <w:tcW w:w="1187" w:type="dxa"/>
          </w:tcPr>
          <w:p w14:paraId="60722141">
            <w:pPr>
              <w:pStyle w:val="4"/>
              <w:jc w:val="left"/>
            </w:pPr>
            <w:r>
              <w:t>总价</w:t>
            </w:r>
          </w:p>
          <w:p w14:paraId="1EBFF81A">
            <w:pPr>
              <w:pStyle w:val="4"/>
              <w:jc w:val="left"/>
            </w:pPr>
            <w:r>
              <w:t>（元）</w:t>
            </w:r>
          </w:p>
        </w:tc>
        <w:tc>
          <w:tcPr>
            <w:tcW w:w="1187" w:type="dxa"/>
          </w:tcPr>
          <w:p w14:paraId="271ACCC9">
            <w:pPr>
              <w:pStyle w:val="4"/>
              <w:jc w:val="left"/>
            </w:pPr>
            <w:r>
              <w:t>备注</w:t>
            </w:r>
          </w:p>
        </w:tc>
      </w:tr>
      <w:tr w14:paraId="0A462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3A3944">
            <w:pPr>
              <w:pStyle w:val="4"/>
              <w:jc w:val="left"/>
            </w:pPr>
            <w:r>
              <w:t>1</w:t>
            </w:r>
          </w:p>
        </w:tc>
        <w:tc>
          <w:tcPr>
            <w:tcW w:w="1187" w:type="dxa"/>
          </w:tcPr>
          <w:p w14:paraId="53E0ADA6"/>
        </w:tc>
        <w:tc>
          <w:tcPr>
            <w:tcW w:w="1187" w:type="dxa"/>
          </w:tcPr>
          <w:p w14:paraId="0BFF1E0B"/>
        </w:tc>
        <w:tc>
          <w:tcPr>
            <w:tcW w:w="1187" w:type="dxa"/>
          </w:tcPr>
          <w:p w14:paraId="24B9A4FB"/>
        </w:tc>
        <w:tc>
          <w:tcPr>
            <w:tcW w:w="1187" w:type="dxa"/>
          </w:tcPr>
          <w:p w14:paraId="412CA9DB"/>
        </w:tc>
        <w:tc>
          <w:tcPr>
            <w:tcW w:w="1187" w:type="dxa"/>
          </w:tcPr>
          <w:p w14:paraId="4EBC1DA2"/>
        </w:tc>
        <w:tc>
          <w:tcPr>
            <w:tcW w:w="1187" w:type="dxa"/>
          </w:tcPr>
          <w:p w14:paraId="0A8D82C1"/>
        </w:tc>
      </w:tr>
      <w:tr w14:paraId="5E96E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66648DD">
            <w:pPr>
              <w:pStyle w:val="4"/>
              <w:jc w:val="left"/>
            </w:pPr>
            <w:r>
              <w:t>…</w:t>
            </w:r>
          </w:p>
        </w:tc>
        <w:tc>
          <w:tcPr>
            <w:tcW w:w="1187" w:type="dxa"/>
          </w:tcPr>
          <w:p w14:paraId="31000485"/>
        </w:tc>
        <w:tc>
          <w:tcPr>
            <w:tcW w:w="1187" w:type="dxa"/>
          </w:tcPr>
          <w:p w14:paraId="570AFD4E"/>
        </w:tc>
        <w:tc>
          <w:tcPr>
            <w:tcW w:w="1187" w:type="dxa"/>
          </w:tcPr>
          <w:p w14:paraId="6B668410"/>
        </w:tc>
        <w:tc>
          <w:tcPr>
            <w:tcW w:w="1187" w:type="dxa"/>
          </w:tcPr>
          <w:p w14:paraId="52E73559"/>
        </w:tc>
        <w:tc>
          <w:tcPr>
            <w:tcW w:w="1187" w:type="dxa"/>
          </w:tcPr>
          <w:p w14:paraId="316A4121"/>
        </w:tc>
        <w:tc>
          <w:tcPr>
            <w:tcW w:w="1187" w:type="dxa"/>
          </w:tcPr>
          <w:p w14:paraId="5FB9B01E"/>
        </w:tc>
      </w:tr>
      <w:tr w14:paraId="30DF5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4" w:type="dxa"/>
            <w:gridSpan w:val="2"/>
          </w:tcPr>
          <w:p w14:paraId="6CBDD378">
            <w:pPr>
              <w:pStyle w:val="4"/>
              <w:jc w:val="left"/>
            </w:pPr>
            <w:r>
              <w:t>合  计</w:t>
            </w:r>
          </w:p>
        </w:tc>
        <w:tc>
          <w:tcPr>
            <w:tcW w:w="1187" w:type="dxa"/>
          </w:tcPr>
          <w:p w14:paraId="5A05BCBF"/>
        </w:tc>
        <w:tc>
          <w:tcPr>
            <w:tcW w:w="1187" w:type="dxa"/>
          </w:tcPr>
          <w:p w14:paraId="524263EC"/>
        </w:tc>
        <w:tc>
          <w:tcPr>
            <w:tcW w:w="1187" w:type="dxa"/>
          </w:tcPr>
          <w:p w14:paraId="0CCF8E0B"/>
        </w:tc>
        <w:tc>
          <w:tcPr>
            <w:tcW w:w="1187" w:type="dxa"/>
          </w:tcPr>
          <w:p w14:paraId="6015ECED"/>
        </w:tc>
        <w:tc>
          <w:tcPr>
            <w:tcW w:w="1187" w:type="dxa"/>
          </w:tcPr>
          <w:p w14:paraId="615167C5"/>
        </w:tc>
      </w:tr>
      <w:tr w14:paraId="1BA2A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9" w:type="dxa"/>
            <w:gridSpan w:val="7"/>
          </w:tcPr>
          <w:p w14:paraId="4AFF409F">
            <w:pPr>
              <w:pStyle w:val="4"/>
              <w:jc w:val="left"/>
            </w:pPr>
            <w:r>
              <w:t>合同金额（人民币大写）：</w:t>
            </w:r>
            <w:r>
              <w:rPr>
                <w:u w:val="single"/>
              </w:rPr>
              <w:t xml:space="preserve">                            </w:t>
            </w:r>
            <w:r>
              <w:t>元      （小写）：¥</w:t>
            </w:r>
            <w:r>
              <w:rPr>
                <w:u w:val="single"/>
              </w:rPr>
              <w:t xml:space="preserve">              </w:t>
            </w:r>
          </w:p>
        </w:tc>
      </w:tr>
    </w:tbl>
    <w:p w14:paraId="0D7AD2E8">
      <w:pPr>
        <w:pStyle w:val="4"/>
        <w:jc w:val="left"/>
      </w:pPr>
      <w:r>
        <w:t>（一）乙方所开发的软件名称为</w:t>
      </w:r>
      <w:r>
        <w:rPr>
          <w:u w:val="single"/>
        </w:rPr>
        <w:t xml:space="preserve">                   </w:t>
      </w:r>
      <w:r>
        <w:t>。其中：</w:t>
      </w:r>
    </w:p>
    <w:p w14:paraId="71B253BC">
      <w:pPr>
        <w:pStyle w:val="4"/>
        <w:jc w:val="left"/>
      </w:pPr>
      <w:r>
        <w:t>1.属于第三方的软件为</w:t>
      </w:r>
      <w:r>
        <w:rPr>
          <w:u w:val="single"/>
        </w:rPr>
        <w:t xml:space="preserve">                             </w:t>
      </w:r>
      <w:r>
        <w:t>；</w:t>
      </w:r>
    </w:p>
    <w:p w14:paraId="46CBB92B">
      <w:pPr>
        <w:pStyle w:val="4"/>
        <w:jc w:val="left"/>
      </w:pPr>
      <w:r>
        <w:t>2.属于乙方所拥有的软件为</w:t>
      </w:r>
      <w:r>
        <w:rPr>
          <w:u w:val="single"/>
        </w:rPr>
        <w:t xml:space="preserve">                         </w:t>
      </w:r>
      <w:r>
        <w:t>；</w:t>
      </w:r>
    </w:p>
    <w:p w14:paraId="33C9FF0A">
      <w:pPr>
        <w:pStyle w:val="4"/>
        <w:jc w:val="left"/>
      </w:pPr>
      <w:r>
        <w:t>3.在甲方的授权下，乙方可委托具有相应资质和能力的第三人开发的软件为</w:t>
      </w:r>
      <w:r>
        <w:rPr>
          <w:u w:val="single"/>
        </w:rPr>
        <w:t xml:space="preserve">                        </w:t>
      </w:r>
      <w:r>
        <w:t>；</w:t>
      </w:r>
    </w:p>
    <w:p w14:paraId="4159D5AC">
      <w:pPr>
        <w:pStyle w:val="4"/>
        <w:jc w:val="left"/>
      </w:pPr>
      <w:r>
        <w:t>4.乙方所提供软件应当符合国家和军队法律法规的有关要求。该软件的技术标准、规格、数量、价格和交付日期等应当符合国家和军队法律法规和标准规范的有关要求。（可注明具体国（军）标要求）</w:t>
      </w:r>
    </w:p>
    <w:p w14:paraId="740CBB4F">
      <w:pPr>
        <w:pStyle w:val="4"/>
        <w:jc w:val="left"/>
      </w:pPr>
      <w:r>
        <w:t>（二）乙方所提供附属文档包括：</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6F45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7D9D60">
            <w:pPr>
              <w:pStyle w:val="4"/>
              <w:jc w:val="left"/>
            </w:pPr>
            <w:r>
              <w:t>序号</w:t>
            </w:r>
          </w:p>
        </w:tc>
        <w:tc>
          <w:tcPr>
            <w:tcW w:w="1661" w:type="dxa"/>
          </w:tcPr>
          <w:p w14:paraId="32279201">
            <w:pPr>
              <w:pStyle w:val="4"/>
              <w:jc w:val="left"/>
            </w:pPr>
            <w:r>
              <w:t>文档名称</w:t>
            </w:r>
          </w:p>
        </w:tc>
        <w:tc>
          <w:tcPr>
            <w:tcW w:w="1661" w:type="dxa"/>
          </w:tcPr>
          <w:p w14:paraId="37FE7F01">
            <w:pPr>
              <w:pStyle w:val="4"/>
              <w:jc w:val="left"/>
            </w:pPr>
            <w:r>
              <w:t>主要内容及要求</w:t>
            </w:r>
          </w:p>
        </w:tc>
        <w:tc>
          <w:tcPr>
            <w:tcW w:w="1661" w:type="dxa"/>
          </w:tcPr>
          <w:p w14:paraId="73D366EC">
            <w:pPr>
              <w:pStyle w:val="4"/>
              <w:jc w:val="left"/>
            </w:pPr>
            <w:r>
              <w:t>交付日期</w:t>
            </w:r>
          </w:p>
        </w:tc>
        <w:tc>
          <w:tcPr>
            <w:tcW w:w="1661" w:type="dxa"/>
          </w:tcPr>
          <w:p w14:paraId="12D6A140">
            <w:pPr>
              <w:pStyle w:val="4"/>
              <w:jc w:val="left"/>
            </w:pPr>
            <w:r>
              <w:t>考核方法</w:t>
            </w:r>
          </w:p>
        </w:tc>
      </w:tr>
      <w:tr w14:paraId="0A7AC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EF15EF">
            <w:pPr>
              <w:pStyle w:val="4"/>
              <w:jc w:val="left"/>
            </w:pPr>
            <w:r>
              <w:t>1</w:t>
            </w:r>
          </w:p>
        </w:tc>
        <w:tc>
          <w:tcPr>
            <w:tcW w:w="1661" w:type="dxa"/>
          </w:tcPr>
          <w:p w14:paraId="1F4DD2CE">
            <w:pPr>
              <w:pStyle w:val="4"/>
              <w:jc w:val="left"/>
            </w:pPr>
            <w:r>
              <w:t>需求分析书</w:t>
            </w:r>
          </w:p>
        </w:tc>
        <w:tc>
          <w:tcPr>
            <w:tcW w:w="1661" w:type="dxa"/>
          </w:tcPr>
          <w:p w14:paraId="4B2811AB"/>
        </w:tc>
        <w:tc>
          <w:tcPr>
            <w:tcW w:w="1661" w:type="dxa"/>
          </w:tcPr>
          <w:p w14:paraId="6C5719C0"/>
        </w:tc>
        <w:tc>
          <w:tcPr>
            <w:tcW w:w="1661" w:type="dxa"/>
          </w:tcPr>
          <w:p w14:paraId="309A309A"/>
        </w:tc>
      </w:tr>
      <w:tr w14:paraId="49E64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51A713">
            <w:pPr>
              <w:pStyle w:val="4"/>
              <w:jc w:val="left"/>
            </w:pPr>
            <w:r>
              <w:t>2</w:t>
            </w:r>
          </w:p>
        </w:tc>
        <w:tc>
          <w:tcPr>
            <w:tcW w:w="1661" w:type="dxa"/>
          </w:tcPr>
          <w:p w14:paraId="5A96C5EF">
            <w:pPr>
              <w:pStyle w:val="4"/>
              <w:jc w:val="left"/>
            </w:pPr>
            <w:r>
              <w:t>需求说明书</w:t>
            </w:r>
          </w:p>
        </w:tc>
        <w:tc>
          <w:tcPr>
            <w:tcW w:w="1661" w:type="dxa"/>
          </w:tcPr>
          <w:p w14:paraId="07E2AA67"/>
        </w:tc>
        <w:tc>
          <w:tcPr>
            <w:tcW w:w="1661" w:type="dxa"/>
          </w:tcPr>
          <w:p w14:paraId="7A6D0B6F"/>
        </w:tc>
        <w:tc>
          <w:tcPr>
            <w:tcW w:w="1661" w:type="dxa"/>
          </w:tcPr>
          <w:p w14:paraId="13611114"/>
        </w:tc>
      </w:tr>
      <w:tr w14:paraId="1C031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9C4C9E">
            <w:pPr>
              <w:pStyle w:val="4"/>
              <w:jc w:val="left"/>
            </w:pPr>
            <w:r>
              <w:t>3</w:t>
            </w:r>
          </w:p>
        </w:tc>
        <w:tc>
          <w:tcPr>
            <w:tcW w:w="1661" w:type="dxa"/>
          </w:tcPr>
          <w:p w14:paraId="75ECD981">
            <w:pPr>
              <w:pStyle w:val="4"/>
              <w:jc w:val="left"/>
            </w:pPr>
            <w:r>
              <w:t>概要设计说明书</w:t>
            </w:r>
          </w:p>
        </w:tc>
        <w:tc>
          <w:tcPr>
            <w:tcW w:w="1661" w:type="dxa"/>
          </w:tcPr>
          <w:p w14:paraId="658C42C2"/>
        </w:tc>
        <w:tc>
          <w:tcPr>
            <w:tcW w:w="1661" w:type="dxa"/>
          </w:tcPr>
          <w:p w14:paraId="64FAE7C4"/>
        </w:tc>
        <w:tc>
          <w:tcPr>
            <w:tcW w:w="1661" w:type="dxa"/>
          </w:tcPr>
          <w:p w14:paraId="22AF7ACE"/>
        </w:tc>
      </w:tr>
      <w:tr w14:paraId="1D3F4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74071E5">
            <w:pPr>
              <w:pStyle w:val="4"/>
              <w:jc w:val="left"/>
            </w:pPr>
            <w:r>
              <w:t>4</w:t>
            </w:r>
          </w:p>
        </w:tc>
        <w:tc>
          <w:tcPr>
            <w:tcW w:w="1661" w:type="dxa"/>
          </w:tcPr>
          <w:p w14:paraId="5E6644A6">
            <w:pPr>
              <w:pStyle w:val="4"/>
              <w:jc w:val="left"/>
            </w:pPr>
            <w:r>
              <w:t>详细设计说明书</w:t>
            </w:r>
          </w:p>
        </w:tc>
        <w:tc>
          <w:tcPr>
            <w:tcW w:w="1661" w:type="dxa"/>
          </w:tcPr>
          <w:p w14:paraId="25A500F3"/>
        </w:tc>
        <w:tc>
          <w:tcPr>
            <w:tcW w:w="1661" w:type="dxa"/>
          </w:tcPr>
          <w:p w14:paraId="08107E18"/>
        </w:tc>
        <w:tc>
          <w:tcPr>
            <w:tcW w:w="1661" w:type="dxa"/>
          </w:tcPr>
          <w:p w14:paraId="2B39311A"/>
        </w:tc>
      </w:tr>
      <w:tr w14:paraId="6ABF4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0D07DE1">
            <w:pPr>
              <w:pStyle w:val="4"/>
              <w:jc w:val="left"/>
            </w:pPr>
            <w:r>
              <w:t>5</w:t>
            </w:r>
          </w:p>
        </w:tc>
        <w:tc>
          <w:tcPr>
            <w:tcW w:w="1661" w:type="dxa"/>
          </w:tcPr>
          <w:p w14:paraId="375ACDA9">
            <w:pPr>
              <w:pStyle w:val="4"/>
              <w:jc w:val="left"/>
            </w:pPr>
            <w:r>
              <w:t>测试报告</w:t>
            </w:r>
          </w:p>
        </w:tc>
        <w:tc>
          <w:tcPr>
            <w:tcW w:w="1661" w:type="dxa"/>
          </w:tcPr>
          <w:p w14:paraId="46087E69"/>
        </w:tc>
        <w:tc>
          <w:tcPr>
            <w:tcW w:w="1661" w:type="dxa"/>
          </w:tcPr>
          <w:p w14:paraId="14B61B35"/>
        </w:tc>
        <w:tc>
          <w:tcPr>
            <w:tcW w:w="1661" w:type="dxa"/>
          </w:tcPr>
          <w:p w14:paraId="39027D77"/>
        </w:tc>
      </w:tr>
      <w:tr w14:paraId="029CD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D1CE8C">
            <w:pPr>
              <w:pStyle w:val="4"/>
              <w:jc w:val="left"/>
            </w:pPr>
            <w:r>
              <w:t>6</w:t>
            </w:r>
          </w:p>
        </w:tc>
        <w:tc>
          <w:tcPr>
            <w:tcW w:w="1661" w:type="dxa"/>
          </w:tcPr>
          <w:p w14:paraId="34A54468">
            <w:pPr>
              <w:pStyle w:val="4"/>
              <w:jc w:val="left"/>
            </w:pPr>
            <w:r>
              <w:t>操作使用手册</w:t>
            </w:r>
          </w:p>
        </w:tc>
        <w:tc>
          <w:tcPr>
            <w:tcW w:w="1661" w:type="dxa"/>
          </w:tcPr>
          <w:p w14:paraId="4DFF4228"/>
        </w:tc>
        <w:tc>
          <w:tcPr>
            <w:tcW w:w="1661" w:type="dxa"/>
          </w:tcPr>
          <w:p w14:paraId="25E2D2EE"/>
        </w:tc>
        <w:tc>
          <w:tcPr>
            <w:tcW w:w="1661" w:type="dxa"/>
          </w:tcPr>
          <w:p w14:paraId="14712A3B"/>
        </w:tc>
      </w:tr>
      <w:tr w14:paraId="172F4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5E8A93">
            <w:pPr>
              <w:pStyle w:val="4"/>
              <w:jc w:val="left"/>
            </w:pPr>
            <w:r>
              <w:t>7</w:t>
            </w:r>
          </w:p>
        </w:tc>
        <w:tc>
          <w:tcPr>
            <w:tcW w:w="1661" w:type="dxa"/>
          </w:tcPr>
          <w:p w14:paraId="2339510E">
            <w:pPr>
              <w:pStyle w:val="4"/>
              <w:jc w:val="left"/>
            </w:pPr>
            <w:r>
              <w:t>源代码</w:t>
            </w:r>
          </w:p>
        </w:tc>
        <w:tc>
          <w:tcPr>
            <w:tcW w:w="1661" w:type="dxa"/>
          </w:tcPr>
          <w:p w14:paraId="0ACD3A30"/>
        </w:tc>
        <w:tc>
          <w:tcPr>
            <w:tcW w:w="1661" w:type="dxa"/>
          </w:tcPr>
          <w:p w14:paraId="6070DFC1"/>
        </w:tc>
        <w:tc>
          <w:tcPr>
            <w:tcW w:w="1661" w:type="dxa"/>
          </w:tcPr>
          <w:p w14:paraId="14F60A64"/>
        </w:tc>
      </w:tr>
      <w:tr w14:paraId="5492B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4BA483">
            <w:pPr>
              <w:pStyle w:val="4"/>
              <w:jc w:val="left"/>
            </w:pPr>
            <w:r>
              <w:t>…</w:t>
            </w:r>
          </w:p>
        </w:tc>
        <w:tc>
          <w:tcPr>
            <w:tcW w:w="1661" w:type="dxa"/>
          </w:tcPr>
          <w:p w14:paraId="2A98A2B8">
            <w:pPr>
              <w:pStyle w:val="4"/>
              <w:jc w:val="left"/>
            </w:pPr>
            <w:r>
              <w:t>……</w:t>
            </w:r>
          </w:p>
        </w:tc>
        <w:tc>
          <w:tcPr>
            <w:tcW w:w="1661" w:type="dxa"/>
          </w:tcPr>
          <w:p w14:paraId="57C934E7"/>
        </w:tc>
        <w:tc>
          <w:tcPr>
            <w:tcW w:w="1661" w:type="dxa"/>
          </w:tcPr>
          <w:p w14:paraId="3A6DB196"/>
        </w:tc>
        <w:tc>
          <w:tcPr>
            <w:tcW w:w="1661" w:type="dxa"/>
          </w:tcPr>
          <w:p w14:paraId="0B90AFD1"/>
        </w:tc>
      </w:tr>
    </w:tbl>
    <w:p w14:paraId="133CECC3">
      <w:pPr>
        <w:pStyle w:val="4"/>
        <w:jc w:val="left"/>
        <w:outlineLvl w:val="3"/>
      </w:pPr>
      <w:r>
        <w:rPr>
          <w:b/>
          <w:sz w:val="24"/>
        </w:rPr>
        <w:t>（三）其他：</w:t>
      </w:r>
      <w:r>
        <w:rPr>
          <w:b/>
          <w:sz w:val="24"/>
          <w:u w:val="single"/>
        </w:rPr>
        <w:t xml:space="preserve">                                    </w:t>
      </w:r>
    </w:p>
    <w:p w14:paraId="4F8814FE">
      <w:pPr>
        <w:pStyle w:val="4"/>
        <w:jc w:val="left"/>
        <w:outlineLvl w:val="3"/>
      </w:pPr>
      <w:r>
        <w:rPr>
          <w:b/>
          <w:sz w:val="24"/>
        </w:rPr>
        <w:t>三、合同履行的时间、地点及方式</w:t>
      </w:r>
    </w:p>
    <w:p w14:paraId="26635157">
      <w:pPr>
        <w:pStyle w:val="4"/>
        <w:jc w:val="left"/>
      </w:pPr>
      <w:r>
        <w:t>（一）服务交付的时间：</w:t>
      </w:r>
      <w:r>
        <w:rPr>
          <w:u w:val="single"/>
        </w:rPr>
        <w:t xml:space="preserve">                          </w:t>
      </w:r>
    </w:p>
    <w:p w14:paraId="14F73219">
      <w:pPr>
        <w:pStyle w:val="4"/>
        <w:jc w:val="left"/>
      </w:pPr>
      <w:r>
        <w:t>（二）服务交付的地点：</w:t>
      </w:r>
      <w:r>
        <w:rPr>
          <w:u w:val="single"/>
        </w:rPr>
        <w:t xml:space="preserve">                          </w:t>
      </w:r>
    </w:p>
    <w:p w14:paraId="1CC90B0E">
      <w:pPr>
        <w:pStyle w:val="4"/>
        <w:jc w:val="left"/>
      </w:pPr>
      <w:r>
        <w:t>（三）合同履行的方式：</w:t>
      </w:r>
      <w:r>
        <w:rPr>
          <w:u w:val="single"/>
        </w:rPr>
        <w:t xml:space="preserve">                          </w:t>
      </w:r>
    </w:p>
    <w:p w14:paraId="2358D228">
      <w:pPr>
        <w:pStyle w:val="4"/>
        <w:jc w:val="left"/>
        <w:outlineLvl w:val="3"/>
      </w:pPr>
      <w:r>
        <w:rPr>
          <w:b/>
          <w:sz w:val="24"/>
        </w:rPr>
        <w:t>四、应用场景、服务内容和标准</w:t>
      </w:r>
    </w:p>
    <w:p w14:paraId="4F14BB12">
      <w:pPr>
        <w:pStyle w:val="4"/>
        <w:jc w:val="left"/>
      </w:pPr>
      <w:r>
        <w:t>□（一）合同的应用场景：</w:t>
      </w:r>
      <w:r>
        <w:rPr>
          <w:u w:val="single"/>
        </w:rPr>
        <w:t xml:space="preserve">                        </w:t>
      </w:r>
    </w:p>
    <w:p w14:paraId="2D70BBA8">
      <w:pPr>
        <w:pStyle w:val="4"/>
        <w:jc w:val="left"/>
      </w:pPr>
      <w:r>
        <w:t>（二）服务内容</w:t>
      </w:r>
    </w:p>
    <w:p w14:paraId="2258B141">
      <w:pPr>
        <w:pStyle w:val="4"/>
        <w:jc w:val="left"/>
      </w:pPr>
      <w:r>
        <w:t>1.甲方委托乙方根据本合同约定的条款和条件开发软件，乙方接受甲方的委托为甲方提供开发服务。</w:t>
      </w:r>
    </w:p>
    <w:p w14:paraId="3F055E01">
      <w:pPr>
        <w:pStyle w:val="4"/>
        <w:jc w:val="left"/>
      </w:pPr>
      <w:r>
        <w:t>2.软件使用期限：</w:t>
      </w:r>
      <w:r>
        <w:rPr>
          <w:u w:val="single"/>
        </w:rPr>
        <w:t xml:space="preserve">                                 </w:t>
      </w:r>
    </w:p>
    <w:p w14:paraId="3B04D582">
      <w:pPr>
        <w:pStyle w:val="4"/>
        <w:jc w:val="left"/>
      </w:pPr>
      <w:r>
        <w:t>3.服务交付的内容：</w:t>
      </w:r>
      <w:r>
        <w:rPr>
          <w:u w:val="single"/>
        </w:rPr>
        <w:t xml:space="preserve">                               </w:t>
      </w:r>
    </w:p>
    <w:p w14:paraId="68E0308A">
      <w:pPr>
        <w:pStyle w:val="4"/>
        <w:jc w:val="left"/>
      </w:pPr>
      <w:r>
        <w:t>（三）服务标准</w:t>
      </w:r>
    </w:p>
    <w:p w14:paraId="0B164126">
      <w:pPr>
        <w:pStyle w:val="4"/>
        <w:jc w:val="left"/>
      </w:pPr>
      <w:r>
        <w:t>1.总体性要求：</w:t>
      </w:r>
      <w:r>
        <w:rPr>
          <w:u w:val="single"/>
        </w:rPr>
        <w:t xml:space="preserve">                                  </w:t>
      </w:r>
      <w:r>
        <w:t>。（根据项目性质提出总体服务（范围、内容）目标及要求）</w:t>
      </w:r>
    </w:p>
    <w:p w14:paraId="16E379CF">
      <w:pPr>
        <w:pStyle w:val="4"/>
        <w:jc w:val="left"/>
      </w:pPr>
      <w:r>
        <w:t>2.服务人员要求</w:t>
      </w:r>
    </w:p>
    <w:p w14:paraId="6C876CD7">
      <w:pPr>
        <w:pStyle w:val="4"/>
        <w:jc w:val="left"/>
      </w:pPr>
      <w:r>
        <w:t>（1）本项目配备的总岗位人数不少于</w:t>
      </w:r>
      <w:r>
        <w:rPr>
          <w:u w:val="single"/>
        </w:rPr>
        <w:t xml:space="preserve">      </w:t>
      </w:r>
      <w:r>
        <w:t>人。</w:t>
      </w:r>
    </w:p>
    <w:p w14:paraId="6F436249">
      <w:pPr>
        <w:pStyle w:val="4"/>
        <w:jc w:val="left"/>
      </w:pPr>
      <w:r>
        <w:t>（2）分工种或岗位人员配备要求：</w:t>
      </w:r>
      <w:r>
        <w:rPr>
          <w:u w:val="single"/>
        </w:rPr>
        <w:t xml:space="preserve">                     </w:t>
      </w:r>
      <w:r>
        <w:t>（按乙方投标（报价）文件提供的“本项目管理团队及其它主要技术人员名单”执行，如有调整需经甲方同意，并保证项目的正常运行）。具体列表如下：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9E6E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2382BAF4">
            <w:pPr>
              <w:pStyle w:val="4"/>
              <w:jc w:val="left"/>
            </w:pPr>
            <w:r>
              <w:t>工种或岗位</w:t>
            </w:r>
          </w:p>
        </w:tc>
        <w:tc>
          <w:tcPr>
            <w:tcW w:w="2076" w:type="dxa"/>
          </w:tcPr>
          <w:p w14:paraId="5D8DEEAD">
            <w:pPr>
              <w:pStyle w:val="4"/>
              <w:jc w:val="left"/>
            </w:pPr>
            <w:r>
              <w:t>人数</w:t>
            </w:r>
          </w:p>
        </w:tc>
        <w:tc>
          <w:tcPr>
            <w:tcW w:w="2076" w:type="dxa"/>
          </w:tcPr>
          <w:p w14:paraId="7C5CB71F">
            <w:pPr>
              <w:pStyle w:val="4"/>
              <w:jc w:val="left"/>
            </w:pPr>
            <w:r>
              <w:t>条件</w:t>
            </w:r>
          </w:p>
        </w:tc>
        <w:tc>
          <w:tcPr>
            <w:tcW w:w="2076" w:type="dxa"/>
          </w:tcPr>
          <w:p w14:paraId="52D6F76C">
            <w:pPr>
              <w:pStyle w:val="4"/>
              <w:jc w:val="left"/>
            </w:pPr>
            <w:r>
              <w:t>备注</w:t>
            </w:r>
          </w:p>
        </w:tc>
      </w:tr>
      <w:tr w14:paraId="3FFE7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FC3624">
            <w:pPr>
              <w:pStyle w:val="4"/>
              <w:jc w:val="left"/>
            </w:pPr>
            <w:r>
              <w:t>项目经理</w:t>
            </w:r>
          </w:p>
        </w:tc>
        <w:tc>
          <w:tcPr>
            <w:tcW w:w="2076" w:type="dxa"/>
          </w:tcPr>
          <w:p w14:paraId="383B58B2"/>
        </w:tc>
        <w:tc>
          <w:tcPr>
            <w:tcW w:w="2076" w:type="dxa"/>
          </w:tcPr>
          <w:p w14:paraId="29BC3798"/>
        </w:tc>
        <w:tc>
          <w:tcPr>
            <w:tcW w:w="2076" w:type="dxa"/>
          </w:tcPr>
          <w:p w14:paraId="0B696F6C"/>
        </w:tc>
      </w:tr>
      <w:tr w14:paraId="01425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F181A3">
            <w:pPr>
              <w:pStyle w:val="4"/>
              <w:jc w:val="left"/>
            </w:pPr>
            <w:r>
              <w:t>需求对接</w:t>
            </w:r>
          </w:p>
        </w:tc>
        <w:tc>
          <w:tcPr>
            <w:tcW w:w="2076" w:type="dxa"/>
          </w:tcPr>
          <w:p w14:paraId="6119452D"/>
        </w:tc>
        <w:tc>
          <w:tcPr>
            <w:tcW w:w="2076" w:type="dxa"/>
          </w:tcPr>
          <w:p w14:paraId="0E6F1CBE"/>
        </w:tc>
        <w:tc>
          <w:tcPr>
            <w:tcW w:w="2076" w:type="dxa"/>
          </w:tcPr>
          <w:p w14:paraId="32729A5C"/>
        </w:tc>
      </w:tr>
      <w:tr w14:paraId="27146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8DFD92">
            <w:pPr>
              <w:pStyle w:val="4"/>
              <w:jc w:val="left"/>
            </w:pPr>
            <w:r>
              <w:t>软件开发</w:t>
            </w:r>
          </w:p>
        </w:tc>
        <w:tc>
          <w:tcPr>
            <w:tcW w:w="2076" w:type="dxa"/>
          </w:tcPr>
          <w:p w14:paraId="1E05F667"/>
        </w:tc>
        <w:tc>
          <w:tcPr>
            <w:tcW w:w="2076" w:type="dxa"/>
          </w:tcPr>
          <w:p w14:paraId="058F88C2"/>
        </w:tc>
        <w:tc>
          <w:tcPr>
            <w:tcW w:w="2076" w:type="dxa"/>
          </w:tcPr>
          <w:p w14:paraId="100D9501"/>
        </w:tc>
      </w:tr>
      <w:tr w14:paraId="41E58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4829CB">
            <w:pPr>
              <w:pStyle w:val="4"/>
              <w:jc w:val="left"/>
            </w:pPr>
            <w:r>
              <w:t>软件培训</w:t>
            </w:r>
          </w:p>
        </w:tc>
        <w:tc>
          <w:tcPr>
            <w:tcW w:w="2076" w:type="dxa"/>
          </w:tcPr>
          <w:p w14:paraId="325DF8F7"/>
        </w:tc>
        <w:tc>
          <w:tcPr>
            <w:tcW w:w="2076" w:type="dxa"/>
          </w:tcPr>
          <w:p w14:paraId="1BB41649"/>
        </w:tc>
        <w:tc>
          <w:tcPr>
            <w:tcW w:w="2076" w:type="dxa"/>
          </w:tcPr>
          <w:p w14:paraId="41A49FB7"/>
        </w:tc>
      </w:tr>
      <w:tr w14:paraId="654FC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E166F4">
            <w:pPr>
              <w:pStyle w:val="4"/>
              <w:jc w:val="left"/>
            </w:pPr>
            <w:r>
              <w:t>部署运维</w:t>
            </w:r>
          </w:p>
        </w:tc>
        <w:tc>
          <w:tcPr>
            <w:tcW w:w="2076" w:type="dxa"/>
          </w:tcPr>
          <w:p w14:paraId="3C264BE9"/>
        </w:tc>
        <w:tc>
          <w:tcPr>
            <w:tcW w:w="2076" w:type="dxa"/>
          </w:tcPr>
          <w:p w14:paraId="36366056"/>
        </w:tc>
        <w:tc>
          <w:tcPr>
            <w:tcW w:w="2076" w:type="dxa"/>
          </w:tcPr>
          <w:p w14:paraId="32CFE35B"/>
        </w:tc>
      </w:tr>
      <w:tr w14:paraId="46B7E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2ADF221">
            <w:pPr>
              <w:pStyle w:val="4"/>
              <w:jc w:val="left"/>
            </w:pPr>
            <w:r>
              <w:t>……</w:t>
            </w:r>
          </w:p>
        </w:tc>
        <w:tc>
          <w:tcPr>
            <w:tcW w:w="2076" w:type="dxa"/>
          </w:tcPr>
          <w:p w14:paraId="670E09B9"/>
        </w:tc>
        <w:tc>
          <w:tcPr>
            <w:tcW w:w="2076" w:type="dxa"/>
          </w:tcPr>
          <w:p w14:paraId="18ED0793"/>
        </w:tc>
        <w:tc>
          <w:tcPr>
            <w:tcW w:w="2076" w:type="dxa"/>
          </w:tcPr>
          <w:p w14:paraId="419D469C"/>
        </w:tc>
      </w:tr>
    </w:tbl>
    <w:p w14:paraId="6856ABC5">
      <w:pPr>
        <w:pStyle w:val="4"/>
        <w:jc w:val="left"/>
      </w:pPr>
      <w:r>
        <w:t>□（3）驻场要求</w:t>
      </w:r>
    </w:p>
    <w:p w14:paraId="5708511A">
      <w:pPr>
        <w:pStyle w:val="4"/>
        <w:jc w:val="left"/>
      </w:pPr>
      <w:r>
        <w:rPr>
          <w:u w:val="single"/>
        </w:rPr>
        <w:t xml:space="preserve">      </w:t>
      </w:r>
      <w:r>
        <w:t>年</w:t>
      </w:r>
      <w:r>
        <w:rPr>
          <w:u w:val="single"/>
        </w:rPr>
        <w:t xml:space="preserve">    </w:t>
      </w:r>
      <w:r>
        <w:t>月</w:t>
      </w:r>
      <w:r>
        <w:rPr>
          <w:u w:val="single"/>
        </w:rPr>
        <w:t xml:space="preserve">    </w:t>
      </w:r>
      <w:r>
        <w:t>日，必须</w:t>
      </w:r>
      <w:r>
        <w:rPr>
          <w:u w:val="single"/>
        </w:rPr>
        <w:t xml:space="preserve">    </w:t>
      </w:r>
      <w:r>
        <w:t>人驻场开发。</w:t>
      </w:r>
    </w:p>
    <w:p w14:paraId="119F6A47">
      <w:pPr>
        <w:pStyle w:val="4"/>
        <w:jc w:val="left"/>
      </w:pPr>
      <w:r>
        <w:rPr>
          <w:u w:val="single"/>
        </w:rPr>
        <w:t xml:space="preserve">      </w:t>
      </w:r>
      <w:r>
        <w:t>年</w:t>
      </w:r>
      <w:r>
        <w:rPr>
          <w:u w:val="single"/>
        </w:rPr>
        <w:t xml:space="preserve">    </w:t>
      </w:r>
      <w:r>
        <w:t>月</w:t>
      </w:r>
      <w:r>
        <w:rPr>
          <w:u w:val="single"/>
        </w:rPr>
        <w:t xml:space="preserve">    </w:t>
      </w:r>
      <w:r>
        <w:t>日，必须</w:t>
      </w:r>
      <w:r>
        <w:rPr>
          <w:u w:val="single"/>
        </w:rPr>
        <w:t xml:space="preserve">    </w:t>
      </w:r>
      <w:r>
        <w:t>人驻场运维。</w:t>
      </w:r>
    </w:p>
    <w:p w14:paraId="5BA17B84">
      <w:pPr>
        <w:pStyle w:val="4"/>
        <w:jc w:val="left"/>
      </w:pPr>
      <w:r>
        <w:t>……</w:t>
      </w:r>
    </w:p>
    <w:p w14:paraId="4AB8A8EC">
      <w:pPr>
        <w:pStyle w:val="4"/>
        <w:jc w:val="left"/>
      </w:pPr>
      <w:r>
        <w:t>3.劳动安全要求：</w:t>
      </w:r>
      <w:r>
        <w:rPr>
          <w:u w:val="single"/>
        </w:rPr>
        <w:t xml:space="preserve">               </w:t>
      </w:r>
      <w:r>
        <w:t>(明确劳动安全工作要求及责任主体）。</w:t>
      </w:r>
    </w:p>
    <w:p w14:paraId="11CDE568">
      <w:pPr>
        <w:pStyle w:val="4"/>
        <w:jc w:val="left"/>
      </w:pPr>
      <w:r>
        <w:t>4.保密工作要求：</w:t>
      </w:r>
      <w:r>
        <w:rPr>
          <w:u w:val="single"/>
        </w:rPr>
        <w:t xml:space="preserve">      </w:t>
      </w:r>
      <w:r>
        <w:t>（对工作中可能涉及的保密工作提出总体性要求）。</w:t>
      </w:r>
    </w:p>
    <w:p w14:paraId="14AECB79">
      <w:pPr>
        <w:pStyle w:val="4"/>
        <w:jc w:val="left"/>
      </w:pPr>
      <w:r>
        <w:t>5.其他：</w:t>
      </w:r>
      <w:r>
        <w:rPr>
          <w:u w:val="single"/>
        </w:rPr>
        <w:t xml:space="preserve">           </w:t>
      </w:r>
      <w:r>
        <w:t>(上述各项要求之外，根据项目特点提出的其他要求）。</w:t>
      </w:r>
    </w:p>
    <w:p w14:paraId="3870ADEC">
      <w:pPr>
        <w:pStyle w:val="4"/>
        <w:jc w:val="left"/>
      </w:pPr>
      <w:r>
        <w:rPr>
          <w:b/>
        </w:rPr>
        <w:t>五、项目履行进度与管理</w:t>
      </w:r>
    </w:p>
    <w:p w14:paraId="2BDC691F">
      <w:pPr>
        <w:pStyle w:val="4"/>
        <w:jc w:val="left"/>
      </w:pPr>
      <w:r>
        <w:t>（一）履行期限、地点和联系人</w:t>
      </w:r>
    </w:p>
    <w:p w14:paraId="4C81DFC2">
      <w:pPr>
        <w:pStyle w:val="4"/>
        <w:jc w:val="left"/>
      </w:pPr>
      <w:r>
        <w:t>1.项目履行期限：在甲方配合工作按计划执行的基础上,乙方自合同生效之日起</w:t>
      </w:r>
      <w:r>
        <w:rPr>
          <w:u w:val="single"/>
        </w:rPr>
        <w:t xml:space="preserve">    </w:t>
      </w:r>
      <w:r>
        <w:t>个月内完成软件</w:t>
      </w:r>
      <w:r>
        <w:rPr>
          <w:u w:val="single"/>
        </w:rPr>
        <w:t xml:space="preserve">        </w:t>
      </w:r>
      <w:r>
        <w:t>（开发、上线等）。</w:t>
      </w:r>
    </w:p>
    <w:p w14:paraId="698909DE">
      <w:pPr>
        <w:pStyle w:val="4"/>
        <w:jc w:val="left"/>
      </w:pPr>
      <w:r>
        <w:t>2.项目实施地点：</w:t>
      </w:r>
      <w:r>
        <w:rPr>
          <w:u w:val="single"/>
        </w:rPr>
        <w:t xml:space="preserve">          </w:t>
      </w:r>
      <w:r>
        <w:t>。本项目的需求、软件设计、编码、安装调试、用户测试、上线及维护均在甲方现场完成（或指明部分工作，经甲方同意后，位乙方单位实施）。</w:t>
      </w:r>
    </w:p>
    <w:p w14:paraId="1CC65BBF">
      <w:pPr>
        <w:pStyle w:val="4"/>
        <w:jc w:val="left"/>
      </w:pPr>
      <w:r>
        <w:t>3.项目联系人：在项目实施工作中双方须确定项目联系人，代表各方发表的对项目实施的具体意见，项目联系人的变更应当书面通知对方。</w:t>
      </w:r>
    </w:p>
    <w:p w14:paraId="6F3BD4BF">
      <w:pPr>
        <w:pStyle w:val="4"/>
        <w:jc w:val="left"/>
      </w:pPr>
      <w:r>
        <w:t>甲方联系人姓名</w:t>
      </w:r>
      <w:r>
        <w:rPr>
          <w:u w:val="single"/>
        </w:rPr>
        <w:t xml:space="preserve">      </w:t>
      </w:r>
      <w:r>
        <w:t>，身份证号</w:t>
      </w:r>
      <w:r>
        <w:rPr>
          <w:u w:val="single"/>
        </w:rPr>
        <w:t xml:space="preserve">          </w:t>
      </w:r>
      <w:r>
        <w:t>联系方式</w:t>
      </w:r>
      <w:r>
        <w:rPr>
          <w:u w:val="single"/>
        </w:rPr>
        <w:t xml:space="preserve">         </w:t>
      </w:r>
      <w:r>
        <w:t>。</w:t>
      </w:r>
    </w:p>
    <w:p w14:paraId="70FE4110">
      <w:pPr>
        <w:pStyle w:val="4"/>
        <w:jc w:val="left"/>
      </w:pPr>
      <w:r>
        <w:t>乙方联系人姓名</w:t>
      </w:r>
      <w:r>
        <w:rPr>
          <w:u w:val="single"/>
        </w:rPr>
        <w:t xml:space="preserve">      </w:t>
      </w:r>
      <w:r>
        <w:t>，身份证号</w:t>
      </w:r>
      <w:r>
        <w:rPr>
          <w:u w:val="single"/>
        </w:rPr>
        <w:t xml:space="preserve">          </w:t>
      </w:r>
      <w:r>
        <w:t>联系方式</w:t>
      </w:r>
      <w:r>
        <w:rPr>
          <w:u w:val="single"/>
        </w:rPr>
        <w:t xml:space="preserve">         </w:t>
      </w:r>
      <w:r>
        <w:t>。</w:t>
      </w:r>
    </w:p>
    <w:p w14:paraId="45391FCD">
      <w:pPr>
        <w:pStyle w:val="4"/>
        <w:jc w:val="left"/>
      </w:pPr>
      <w:r>
        <w:t>（二）进度报告</w:t>
      </w:r>
    </w:p>
    <w:p w14:paraId="2CD2D3D7">
      <w:pPr>
        <w:pStyle w:val="4"/>
        <w:jc w:val="left"/>
      </w:pPr>
      <w:r>
        <w:t>1.乙方应当于每月/季度终了的</w:t>
      </w:r>
      <w:r>
        <w:rPr>
          <w:u w:val="single"/>
        </w:rPr>
        <w:t xml:space="preserve">    </w:t>
      </w:r>
      <w:r>
        <w:t>工作日内，以书面形式向甲方提供项目阶段进度报告，内容包括项目进度或里程碑计划执行情况、已完成的开发内容、遇到的困难和障碍、本项目的预期效果、人员配置变更情况、项目变更情况、其他与本项目有关的甲方应当知道的情况或甲方要求知道的情况。</w:t>
      </w:r>
    </w:p>
    <w:p w14:paraId="331E198D">
      <w:pPr>
        <w:pStyle w:val="4"/>
        <w:jc w:val="left"/>
      </w:pPr>
      <w:r>
        <w:t>2.如有重大问题或重要变更发生，乙方应当在变更发生之日起</w:t>
      </w:r>
      <w:r>
        <w:rPr>
          <w:u w:val="single"/>
        </w:rPr>
        <w:t xml:space="preserve">    </w:t>
      </w:r>
      <w:r>
        <w:t>个工作日内向甲方做出书面报告。乙方也应当在</w:t>
      </w:r>
      <w:r>
        <w:rPr>
          <w:u w:val="single"/>
        </w:rPr>
        <w:t xml:space="preserve">    </w:t>
      </w:r>
      <w:r>
        <w:t>工作日内回复甲方在其他时间内提出的与本项目相关的问询。如乙方违反本条的规定，乙方应当承担由此而引起的项目迟延和甲方不能及时付款或配合项目进行的后果。甲方在收到乙方的书面报告后，应当在</w:t>
      </w:r>
      <w:r>
        <w:rPr>
          <w:u w:val="single"/>
        </w:rPr>
        <w:t xml:space="preserve">    </w:t>
      </w:r>
      <w:r>
        <w:t>工作日内回复乙方。</w:t>
      </w:r>
    </w:p>
    <w:p w14:paraId="57CC709D">
      <w:pPr>
        <w:pStyle w:val="4"/>
        <w:jc w:val="left"/>
      </w:pPr>
      <w:r>
        <w:t>（三）第三方监理</w:t>
      </w:r>
    </w:p>
    <w:p w14:paraId="6FD7CD08">
      <w:pPr>
        <w:pStyle w:val="4"/>
        <w:jc w:val="left"/>
      </w:pPr>
      <w:r>
        <w:t>甲方有权聘请拥有相应的资质的第三方作为本软件开发项目的监理。如甲方指定了第三方作为甲方的监理，依甲方的授权，该监理享有与本合同中所约定的甲方同等的权利，以监理本项目进行。</w:t>
      </w:r>
    </w:p>
    <w:p w14:paraId="19D08206">
      <w:pPr>
        <w:pStyle w:val="4"/>
        <w:jc w:val="left"/>
      </w:pPr>
      <w:r>
        <w:t>根据甲方项目要求，乙方制定进度计划，按照下表所示的节点（需求分析、方案设计、测试验收等）组织项目推进。</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84D7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9B4FCE3">
            <w:pPr>
              <w:pStyle w:val="4"/>
              <w:jc w:val="left"/>
            </w:pPr>
            <w:r>
              <w:t>序号</w:t>
            </w:r>
          </w:p>
        </w:tc>
        <w:tc>
          <w:tcPr>
            <w:tcW w:w="1384" w:type="dxa"/>
          </w:tcPr>
          <w:p w14:paraId="76201125">
            <w:pPr>
              <w:pStyle w:val="4"/>
              <w:jc w:val="left"/>
            </w:pPr>
            <w:r>
              <w:t>节点名称</w:t>
            </w:r>
          </w:p>
        </w:tc>
        <w:tc>
          <w:tcPr>
            <w:tcW w:w="1384" w:type="dxa"/>
          </w:tcPr>
          <w:p w14:paraId="21A68A39">
            <w:pPr>
              <w:pStyle w:val="4"/>
              <w:jc w:val="left"/>
            </w:pPr>
            <w:r>
              <w:t>阶段性成果</w:t>
            </w:r>
          </w:p>
        </w:tc>
        <w:tc>
          <w:tcPr>
            <w:tcW w:w="1384" w:type="dxa"/>
          </w:tcPr>
          <w:p w14:paraId="3058DCF0">
            <w:pPr>
              <w:pStyle w:val="4"/>
              <w:jc w:val="left"/>
            </w:pPr>
            <w:r>
              <w:t>完成时间</w:t>
            </w:r>
          </w:p>
        </w:tc>
        <w:tc>
          <w:tcPr>
            <w:tcW w:w="1384" w:type="dxa"/>
          </w:tcPr>
          <w:p w14:paraId="51134100">
            <w:pPr>
              <w:pStyle w:val="4"/>
              <w:jc w:val="left"/>
            </w:pPr>
            <w:r>
              <w:t>考核方式</w:t>
            </w:r>
          </w:p>
        </w:tc>
        <w:tc>
          <w:tcPr>
            <w:tcW w:w="1384" w:type="dxa"/>
          </w:tcPr>
          <w:p w14:paraId="346D64B5">
            <w:pPr>
              <w:pStyle w:val="4"/>
              <w:jc w:val="left"/>
            </w:pPr>
            <w:r>
              <w:t>备注</w:t>
            </w:r>
          </w:p>
        </w:tc>
      </w:tr>
      <w:tr w14:paraId="134C6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4BDDCC0">
            <w:pPr>
              <w:pStyle w:val="4"/>
              <w:jc w:val="left"/>
            </w:pPr>
            <w:r>
              <w:t>1</w:t>
            </w:r>
          </w:p>
        </w:tc>
        <w:tc>
          <w:tcPr>
            <w:tcW w:w="1384" w:type="dxa"/>
          </w:tcPr>
          <w:p w14:paraId="0DA7835A"/>
        </w:tc>
        <w:tc>
          <w:tcPr>
            <w:tcW w:w="1384" w:type="dxa"/>
          </w:tcPr>
          <w:p w14:paraId="5FA7BE1D"/>
        </w:tc>
        <w:tc>
          <w:tcPr>
            <w:tcW w:w="1384" w:type="dxa"/>
          </w:tcPr>
          <w:p w14:paraId="1FDB15E1"/>
        </w:tc>
        <w:tc>
          <w:tcPr>
            <w:tcW w:w="1384" w:type="dxa"/>
          </w:tcPr>
          <w:p w14:paraId="35E48E74"/>
        </w:tc>
        <w:tc>
          <w:tcPr>
            <w:tcW w:w="1384" w:type="dxa"/>
          </w:tcPr>
          <w:p w14:paraId="1A09FEAB"/>
        </w:tc>
      </w:tr>
      <w:tr w14:paraId="7D164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115B0B2">
            <w:pPr>
              <w:pStyle w:val="4"/>
              <w:jc w:val="left"/>
            </w:pPr>
            <w:r>
              <w:t>2</w:t>
            </w:r>
          </w:p>
        </w:tc>
        <w:tc>
          <w:tcPr>
            <w:tcW w:w="1384" w:type="dxa"/>
          </w:tcPr>
          <w:p w14:paraId="671F2374"/>
        </w:tc>
        <w:tc>
          <w:tcPr>
            <w:tcW w:w="1384" w:type="dxa"/>
          </w:tcPr>
          <w:p w14:paraId="0F9411CF"/>
        </w:tc>
        <w:tc>
          <w:tcPr>
            <w:tcW w:w="1384" w:type="dxa"/>
          </w:tcPr>
          <w:p w14:paraId="223B5E3D"/>
        </w:tc>
        <w:tc>
          <w:tcPr>
            <w:tcW w:w="1384" w:type="dxa"/>
          </w:tcPr>
          <w:p w14:paraId="794B7075"/>
        </w:tc>
        <w:tc>
          <w:tcPr>
            <w:tcW w:w="1384" w:type="dxa"/>
          </w:tcPr>
          <w:p w14:paraId="3BF50BF0"/>
        </w:tc>
      </w:tr>
      <w:tr w14:paraId="2224B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EFBE83">
            <w:pPr>
              <w:pStyle w:val="4"/>
              <w:jc w:val="left"/>
            </w:pPr>
            <w:r>
              <w:t>…</w:t>
            </w:r>
          </w:p>
        </w:tc>
        <w:tc>
          <w:tcPr>
            <w:tcW w:w="1384" w:type="dxa"/>
          </w:tcPr>
          <w:p w14:paraId="03A15DE4"/>
        </w:tc>
        <w:tc>
          <w:tcPr>
            <w:tcW w:w="1384" w:type="dxa"/>
          </w:tcPr>
          <w:p w14:paraId="51C504C3"/>
        </w:tc>
        <w:tc>
          <w:tcPr>
            <w:tcW w:w="1384" w:type="dxa"/>
          </w:tcPr>
          <w:p w14:paraId="53FA90A7"/>
        </w:tc>
        <w:tc>
          <w:tcPr>
            <w:tcW w:w="1384" w:type="dxa"/>
          </w:tcPr>
          <w:p w14:paraId="1DEF3C81"/>
        </w:tc>
        <w:tc>
          <w:tcPr>
            <w:tcW w:w="1384" w:type="dxa"/>
          </w:tcPr>
          <w:p w14:paraId="47A9242D"/>
        </w:tc>
      </w:tr>
      <w:tr w14:paraId="0FDBC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6"/>
          </w:tcPr>
          <w:p w14:paraId="625D5DD3">
            <w:pPr>
              <w:pStyle w:val="4"/>
              <w:jc w:val="left"/>
            </w:pPr>
            <w:r>
              <w:t>备注：本表内容可以根据项目实际情况，遵照软件工程标准进行设置。</w:t>
            </w:r>
          </w:p>
        </w:tc>
      </w:tr>
    </w:tbl>
    <w:p w14:paraId="5135A042">
      <w:pPr>
        <w:pStyle w:val="4"/>
        <w:jc w:val="left"/>
        <w:outlineLvl w:val="3"/>
      </w:pPr>
      <w:r>
        <w:rPr>
          <w:b/>
          <w:sz w:val="24"/>
        </w:rPr>
        <w:t>六、履约验收</w:t>
      </w:r>
    </w:p>
    <w:p w14:paraId="0C47FA69">
      <w:pPr>
        <w:pStyle w:val="4"/>
        <w:jc w:val="left"/>
      </w:pPr>
      <w:r>
        <w:t>本合同交付服务的履约验收，其方式、程序、内容和验收标准等事项，按甲方规定执行。（应在采购文件中予以明确，特别是涉及经费事项）</w:t>
      </w:r>
    </w:p>
    <w:p w14:paraId="02137839">
      <w:pPr>
        <w:pStyle w:val="4"/>
        <w:jc w:val="left"/>
      </w:pPr>
      <w:r>
        <w:t>（一）交付</w:t>
      </w:r>
    </w:p>
    <w:p w14:paraId="5262FB47">
      <w:pPr>
        <w:pStyle w:val="4"/>
        <w:jc w:val="left"/>
      </w:pPr>
      <w:r>
        <w:t>1.乙方向甲方最终交付软件时应当为光盘介质，包括但不限于软件安装包、文档、源代码等双方约定的合同标的，交付对象为甲方或甲方指定的机构或个人。</w:t>
      </w:r>
    </w:p>
    <w:p w14:paraId="6F5654E7">
      <w:pPr>
        <w:pStyle w:val="4"/>
        <w:jc w:val="left"/>
      </w:pPr>
      <w:r>
        <w:t>2.乙方按照本合同的约定向甲方交付并部署安装软件，软件安装调试符合约定的，甲方向乙方出具书面收讫证明，乙方的交付义务完成。甲方出具的收讫证明上记载的日期为软件交付日。</w:t>
      </w:r>
    </w:p>
    <w:p w14:paraId="0E8758EF">
      <w:pPr>
        <w:pStyle w:val="4"/>
        <w:jc w:val="left"/>
      </w:pPr>
      <w:r>
        <w:t>（二）测试与验收</w:t>
      </w:r>
    </w:p>
    <w:p w14:paraId="7C6D6ADB">
      <w:pPr>
        <w:pStyle w:val="4"/>
        <w:jc w:val="left"/>
      </w:pPr>
      <w:r>
        <w:t>1.乙方编制软件测试大纲，提交甲方审核和确认。</w:t>
      </w:r>
    </w:p>
    <w:p w14:paraId="0C6F6B5C">
      <w:pPr>
        <w:pStyle w:val="4"/>
        <w:jc w:val="left"/>
      </w:pPr>
      <w:r>
        <w:t>2.甲方成立由甲方代表和有关专家等人员组成的验收小组,负责软件测试验收工作，乙方应当全程参与测试验收。按照审定的软件测试大纲，按以下方式进行测试：</w:t>
      </w:r>
    </w:p>
    <w:p w14:paraId="22FFA9B4">
      <w:pPr>
        <w:pStyle w:val="4"/>
        <w:jc w:val="left"/>
      </w:pPr>
      <w:r>
        <w:t>□（1）甲方组织软件测试。</w:t>
      </w:r>
    </w:p>
    <w:p w14:paraId="78BF7C75">
      <w:pPr>
        <w:pStyle w:val="4"/>
        <w:jc w:val="left"/>
      </w:pPr>
      <w:r>
        <w:t>□（2）由第三方专业机构对软件进行测试，相关费用由</w:t>
      </w:r>
      <w:r>
        <w:rPr>
          <w:u w:val="single"/>
        </w:rPr>
        <w:t xml:space="preserve">        </w:t>
      </w:r>
      <w:r>
        <w:t>承担。（一般由甲方承担，采购文件有明确要求的除外）</w:t>
      </w:r>
    </w:p>
    <w:p w14:paraId="2F6C78B0">
      <w:pPr>
        <w:pStyle w:val="4"/>
        <w:jc w:val="left"/>
      </w:pPr>
      <w:r>
        <w:t>3.软件测试完成后，验收小组（第三方专业机构）出具测试报告,作为合同最终验收的依据。测试结果表明软件存在故障或缺陷的，乙方应当予以改进和纠正，因此造成交付延期或给甲方造成损失的，按本合同有关条款承担违约责任。</w:t>
      </w:r>
    </w:p>
    <w:p w14:paraId="7E6AF79D">
      <w:pPr>
        <w:pStyle w:val="4"/>
        <w:jc w:val="left"/>
      </w:pPr>
      <w:r>
        <w:t>□4.甲方组织软件试运行，时间</w:t>
      </w:r>
      <w:r>
        <w:rPr>
          <w:u w:val="single"/>
        </w:rPr>
        <w:t xml:space="preserve">        </w:t>
      </w:r>
      <w:r>
        <w:t>个月，试运行情况作为合同最终验收的依据。期间，乙方应全程配合并对出现的故障或缺陷，进行改进和纠正，确保软件正常运行。</w:t>
      </w:r>
    </w:p>
    <w:p w14:paraId="087C7881">
      <w:pPr>
        <w:pStyle w:val="4"/>
        <w:jc w:val="left"/>
      </w:pPr>
      <w:r>
        <w:t>□5.分阶段验收</w:t>
      </w:r>
      <w:r>
        <w:rPr>
          <w:u w:val="single"/>
        </w:rPr>
        <w:t xml:space="preserve">                </w:t>
      </w:r>
      <w:r>
        <w:t>（根据采购文件和软件开发计划，确定阶段性成果要求和时间节点，适用于大型软件或软件系统）。验收报告分阶段签署的，最后一阶段验收报告签署日期为验收合格日期。</w:t>
      </w:r>
    </w:p>
    <w:p w14:paraId="0540D314">
      <w:pPr>
        <w:pStyle w:val="4"/>
        <w:jc w:val="left"/>
      </w:pPr>
      <w:r>
        <w:t>6.软件测试合格（并试运行正常），双方共同签署验收报告。</w:t>
      </w:r>
    </w:p>
    <w:p w14:paraId="428A0932">
      <w:pPr>
        <w:pStyle w:val="4"/>
        <w:jc w:val="left"/>
      </w:pPr>
      <w:r>
        <w:t>（三）其他要求：</w:t>
      </w:r>
      <w:r>
        <w:rPr>
          <w:u w:val="single"/>
        </w:rPr>
        <w:t xml:space="preserve">                        </w:t>
      </w:r>
    </w:p>
    <w:p w14:paraId="335DFD88">
      <w:pPr>
        <w:pStyle w:val="4"/>
        <w:jc w:val="left"/>
      </w:pPr>
      <w:r>
        <w:rPr>
          <w:b/>
        </w:rPr>
        <w:t>七、保密要求</w:t>
      </w:r>
    </w:p>
    <w:p w14:paraId="1AA444F4">
      <w:pPr>
        <w:pStyle w:val="4"/>
        <w:jc w:val="left"/>
      </w:pPr>
      <w: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4EE8A4FD">
      <w:pPr>
        <w:pStyle w:val="4"/>
        <w:jc w:val="left"/>
      </w:pPr>
      <w: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20B1C8FD">
      <w:pPr>
        <w:pStyle w:val="4"/>
        <w:jc w:val="left"/>
      </w:pPr>
      <w: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340E171D">
      <w:pPr>
        <w:pStyle w:val="4"/>
        <w:jc w:val="left"/>
      </w:pPr>
      <w:r>
        <w:t>（三）本采购项目及其合同订立履行保密信息，包括以手写、打印、软件、磁盘、光盘、胶片、图片、音视频或者其他可读取方式记载的数据信息和文档资料，实行专人管理、专室专柜存放、定期审核销毁，不擅自复制留存。</w:t>
      </w:r>
    </w:p>
    <w:p w14:paraId="54F72C17">
      <w:pPr>
        <w:pStyle w:val="4"/>
        <w:jc w:val="left"/>
      </w:pPr>
      <w:r>
        <w:t>（四）不在联接互联网计算机中存储、处理、传递，不通过普通电话、传真、快递等非保密渠道传递本采购项目及其合同订立履行保密信息。</w:t>
      </w:r>
    </w:p>
    <w:p w14:paraId="2524E5BB">
      <w:pPr>
        <w:pStyle w:val="4"/>
        <w:jc w:val="left"/>
      </w:pPr>
      <w: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75AB7F4D">
      <w:pPr>
        <w:pStyle w:val="4"/>
        <w:jc w:val="left"/>
      </w:pPr>
      <w:r>
        <w:rPr>
          <w:b/>
        </w:rPr>
        <w:t>八、售后服务（按乙方投标（报价）文件响应进行调整）</w:t>
      </w:r>
    </w:p>
    <w:p w14:paraId="71F4B282">
      <w:pPr>
        <w:pStyle w:val="4"/>
        <w:jc w:val="left"/>
      </w:pPr>
      <w:r>
        <w:t>（一）自软件验收合格之日起，软件质保期为</w:t>
      </w:r>
      <w:r>
        <w:rPr>
          <w:u w:val="single"/>
        </w:rPr>
        <w:t xml:space="preserve">    </w:t>
      </w:r>
      <w:r>
        <w:t>月。</w:t>
      </w:r>
    </w:p>
    <w:p w14:paraId="56BE011A">
      <w:pPr>
        <w:pStyle w:val="4"/>
        <w:jc w:val="left"/>
      </w:pPr>
      <w:r>
        <w:t>（二）在质保期内，乙方按照有关法律、法规和合同约定，承担软件维护责任。乙方对提供的软件在质保期内，因产品质量而导致的缺陷，必须免费提供升级服务，因此导致的损失，甲方有权向乙方追偿。</w:t>
      </w:r>
    </w:p>
    <w:p w14:paraId="4E4FB1C0">
      <w:pPr>
        <w:pStyle w:val="4"/>
        <w:jc w:val="left"/>
      </w:pPr>
      <w:r>
        <w:t>（三）超出质保期后，乙方应当提供上门维护服务，仅收取成本费。</w:t>
      </w:r>
    </w:p>
    <w:p w14:paraId="0BCAFA1B">
      <w:pPr>
        <w:pStyle w:val="4"/>
        <w:jc w:val="left"/>
      </w:pPr>
      <w:r>
        <w:t>（四）乙方应当提供7×24的实时故障或缺陷响应。质保期内出现故障或缺陷问题，甲方提出后，乙方应当在</w:t>
      </w:r>
      <w:r>
        <w:rPr>
          <w:u w:val="single"/>
        </w:rPr>
        <w:t xml:space="preserve">    </w:t>
      </w:r>
      <w:r>
        <w:t>小时内响应，</w:t>
      </w:r>
      <w:r>
        <w:rPr>
          <w:u w:val="single"/>
        </w:rPr>
        <w:t xml:space="preserve">    </w:t>
      </w:r>
      <w:r>
        <w:t>小时内到达现场，</w:t>
      </w:r>
      <w:r>
        <w:rPr>
          <w:u w:val="single"/>
        </w:rPr>
        <w:t xml:space="preserve">    </w:t>
      </w:r>
      <w:r>
        <w:t>小时内完成维护等服务。乙方不能按约定期限派人提供服务的，甲方在技术允许的范围内自行处理，费用由乙方承担。</w:t>
      </w:r>
    </w:p>
    <w:p w14:paraId="4B0837F8">
      <w:pPr>
        <w:pStyle w:val="4"/>
        <w:jc w:val="left"/>
      </w:pPr>
      <w:r>
        <w:t>□（五）乙方在军事行动中提供应急支援保障服务，保障服务内容包括</w:t>
      </w:r>
      <w:r>
        <w:rPr>
          <w:u w:val="single"/>
        </w:rPr>
        <w:t xml:space="preserve">                            </w:t>
      </w:r>
      <w:r>
        <w:t>。</w:t>
      </w:r>
    </w:p>
    <w:p w14:paraId="5C7AA869">
      <w:pPr>
        <w:pStyle w:val="4"/>
        <w:jc w:val="left"/>
      </w:pPr>
      <w:r>
        <w:t>□（六）免费培训</w:t>
      </w:r>
    </w:p>
    <w:p w14:paraId="5EA03242">
      <w:pPr>
        <w:pStyle w:val="4"/>
        <w:jc w:val="left"/>
      </w:pPr>
      <w:r>
        <w:t>乙方应当根据投标文件的相关培训承诺及项目实施进度，对甲方相关人员进行培训。</w:t>
      </w:r>
    </w:p>
    <w:p w14:paraId="0C238B57">
      <w:pPr>
        <w:pStyle w:val="4"/>
        <w:jc w:val="left"/>
      </w:pPr>
      <w:r>
        <w:t>培训所达到的目标：</w:t>
      </w:r>
      <w:r>
        <w:rPr>
          <w:u w:val="single"/>
        </w:rPr>
        <w:t xml:space="preserve">                      </w:t>
      </w:r>
    </w:p>
    <w:p w14:paraId="3AB8D565">
      <w:pPr>
        <w:pStyle w:val="4"/>
        <w:jc w:val="left"/>
      </w:pPr>
      <w:r>
        <w:t>培训师资要求：</w:t>
      </w:r>
      <w:r>
        <w:rPr>
          <w:u w:val="single"/>
        </w:rPr>
        <w:t xml:space="preserve">                          </w:t>
      </w:r>
    </w:p>
    <w:p w14:paraId="4E7564AE">
      <w:pPr>
        <w:pStyle w:val="4"/>
        <w:jc w:val="left"/>
      </w:pPr>
      <w:r>
        <w:t>培训内容：</w:t>
      </w:r>
      <w:r>
        <w:rPr>
          <w:u w:val="single"/>
        </w:rPr>
        <w:t xml:space="preserve">                              </w:t>
      </w:r>
    </w:p>
    <w:p w14:paraId="615E403D">
      <w:pPr>
        <w:pStyle w:val="4"/>
        <w:jc w:val="left"/>
      </w:pPr>
      <w:r>
        <w:t>培训项目：</w:t>
      </w:r>
      <w:r>
        <w:rPr>
          <w:u w:val="single"/>
        </w:rPr>
        <w:t xml:space="preserve">                              </w:t>
      </w:r>
    </w:p>
    <w:p w14:paraId="6D902604">
      <w:pPr>
        <w:pStyle w:val="4"/>
        <w:jc w:val="left"/>
      </w:pPr>
      <w:r>
        <w:t>培训科目：</w:t>
      </w:r>
      <w:r>
        <w:rPr>
          <w:u w:val="single"/>
        </w:rPr>
        <w:t xml:space="preserve">                              </w:t>
      </w:r>
    </w:p>
    <w:p w14:paraId="5EBB84F7">
      <w:pPr>
        <w:pStyle w:val="4"/>
        <w:jc w:val="left"/>
      </w:pPr>
      <w:r>
        <w:t>培训对象与人数：</w:t>
      </w:r>
      <w:r>
        <w:rPr>
          <w:u w:val="single"/>
        </w:rPr>
        <w:t xml:space="preserve">                        </w:t>
      </w:r>
    </w:p>
    <w:p w14:paraId="069F62E7">
      <w:pPr>
        <w:pStyle w:val="4"/>
        <w:jc w:val="left"/>
      </w:pPr>
      <w:r>
        <w:t>培训时间/频次：</w:t>
      </w:r>
      <w:r>
        <w:rPr>
          <w:u w:val="single"/>
        </w:rPr>
        <w:t xml:space="preserve">                         </w:t>
      </w:r>
    </w:p>
    <w:p w14:paraId="10658465">
      <w:pPr>
        <w:pStyle w:val="4"/>
        <w:jc w:val="left"/>
      </w:pPr>
      <w:r>
        <w:t>其他：</w:t>
      </w:r>
      <w:r>
        <w:rPr>
          <w:u w:val="single"/>
        </w:rPr>
        <w:t xml:space="preserve">                         </w:t>
      </w:r>
    </w:p>
    <w:p w14:paraId="502AFD9D">
      <w:pPr>
        <w:pStyle w:val="4"/>
        <w:jc w:val="left"/>
      </w:pPr>
      <w:r>
        <w:rPr>
          <w:b/>
        </w:rPr>
        <w:t>九、知识产权</w:t>
      </w:r>
    </w:p>
    <w:p w14:paraId="30B02942">
      <w:pPr>
        <w:pStyle w:val="4"/>
        <w:jc w:val="left"/>
      </w:pPr>
      <w:r>
        <w:t>□（一）基于本合同履行形成的技术成果、知识产权及软件著作权，归甲方所有，未经甲方书面同意，乙方不得向第三方转让相关技术，否则须承担相应的经济和法律责任。（软件著作权应明确为甲方所有，技术成果、知识产权应综合考虑项目军事属性、涉密程度、预算金额等因素进行设定，并在采购文件中予以明确。未约定的，按有关法律规定，技术成果由双方共有；专利申请权归属乙方，被授予专利的，甲方可以依法实施该专利）</w:t>
      </w:r>
    </w:p>
    <w:p w14:paraId="4B2C24E9">
      <w:pPr>
        <w:pStyle w:val="4"/>
        <w:jc w:val="left"/>
      </w:pPr>
      <w:r>
        <w:t>（二）乙方应当保证甲方在使用乙方交付的服务成果时不受第三方提出侵犯其知识产权的指控。如发生此种情形，甲方不承担任何责任。同时，如因此给甲方造成的损失及费用，全部由乙方承担。损失的范围包括但不限于：甲方因赔偿第三方而产生的损失、甲方因处理争议而产生的损失（包括但不限于：律师费、诉讼费、财产保全费等）、甲方因乙方软件不能正常使用而产生的损失等。</w:t>
      </w:r>
    </w:p>
    <w:p w14:paraId="6574EC9D">
      <w:pPr>
        <w:pStyle w:val="4"/>
        <w:jc w:val="left"/>
      </w:pPr>
      <w:r>
        <w:rPr>
          <w:b/>
        </w:rPr>
        <w:t>□十、履约保证金</w:t>
      </w:r>
    </w:p>
    <w:p w14:paraId="1169F006">
      <w:pPr>
        <w:pStyle w:val="4"/>
        <w:jc w:val="left"/>
      </w:pPr>
      <w:r>
        <w:t>（一）本合同履约保证金为合同金额的</w:t>
      </w:r>
      <w:r>
        <w:rPr>
          <w:u w:val="single"/>
        </w:rPr>
        <w:t xml:space="preserve">    </w:t>
      </w:r>
      <w:r>
        <w:t>%，即</w:t>
      </w:r>
      <w:r>
        <w:rPr>
          <w:u w:val="single"/>
        </w:rPr>
        <w:t xml:space="preserve">        </w:t>
      </w:r>
      <w:r>
        <w:t>元（小写¥</w:t>
      </w:r>
      <w:r>
        <w:rPr>
          <w:u w:val="single"/>
        </w:rPr>
        <w:t xml:space="preserve">     </w:t>
      </w:r>
      <w:r>
        <w:t>）（不超过10%）。乙方应当在签订合同前</w:t>
      </w:r>
      <w:r>
        <w:rPr>
          <w:u w:val="single"/>
        </w:rPr>
        <w:t xml:space="preserve">    </w:t>
      </w:r>
      <w:r>
        <w:t>日内缴纳履约保证金。</w:t>
      </w:r>
    </w:p>
    <w:p w14:paraId="076E5E01">
      <w:pPr>
        <w:pStyle w:val="4"/>
        <w:jc w:val="left"/>
      </w:pPr>
      <w:r>
        <w:t>（二）乙方在合同履行过程中存在违约行为，合同被甲方终止的，甲方有权没收乙方履约保证金。</w:t>
      </w:r>
    </w:p>
    <w:p w14:paraId="430DDF2E">
      <w:pPr>
        <w:pStyle w:val="4"/>
        <w:jc w:val="left"/>
      </w:pPr>
      <w:r>
        <w:t>（三）履约保证金在合同最终支付结算时，无息返还。</w:t>
      </w:r>
    </w:p>
    <w:p w14:paraId="7B29AEB2">
      <w:pPr>
        <w:pStyle w:val="4"/>
        <w:jc w:val="left"/>
      </w:pPr>
      <w:r>
        <w:t>（四）乙方应当向甲方支付合同项下的违约金或赔偿金时，甲方有权从履约保证金中予以扣除。</w:t>
      </w:r>
    </w:p>
    <w:p w14:paraId="59B64E58">
      <w:pPr>
        <w:pStyle w:val="4"/>
        <w:jc w:val="left"/>
      </w:pPr>
      <w:r>
        <w:rPr>
          <w:b/>
        </w:rPr>
        <w:t>□十一、质量保证金</w:t>
      </w:r>
    </w:p>
    <w:p w14:paraId="5C29B93B">
      <w:pPr>
        <w:pStyle w:val="4"/>
        <w:jc w:val="left"/>
      </w:pPr>
      <w:r>
        <w:t>（一）服务验收合格并交付甲方后：</w:t>
      </w:r>
    </w:p>
    <w:p w14:paraId="22C6A94D">
      <w:pPr>
        <w:pStyle w:val="4"/>
        <w:jc w:val="left"/>
      </w:pPr>
      <w:r>
        <w:t>□1.乙方提供合同金额的</w:t>
      </w:r>
      <w:r>
        <w:rPr>
          <w:u w:val="single"/>
        </w:rPr>
        <w:t xml:space="preserve">  </w:t>
      </w:r>
      <w:r>
        <w:t>%（不超过5%）作为质量保证金，即</w:t>
      </w:r>
      <w:r>
        <w:rPr>
          <w:u w:val="single"/>
        </w:rPr>
        <w:t xml:space="preserve">    </w:t>
      </w:r>
      <w:r>
        <w:t>元（小写¥</w:t>
      </w:r>
      <w:r>
        <w:rPr>
          <w:u w:val="single"/>
        </w:rPr>
        <w:t xml:space="preserve">      </w:t>
      </w:r>
      <w:r>
        <w:t>）。</w:t>
      </w:r>
    </w:p>
    <w:p w14:paraId="232C656A">
      <w:pPr>
        <w:pStyle w:val="4"/>
        <w:jc w:val="left"/>
      </w:pPr>
      <w:r>
        <w:t>□2.质量保证金从履约保证金中扣留。</w:t>
      </w:r>
    </w:p>
    <w:p w14:paraId="544C751A">
      <w:pPr>
        <w:pStyle w:val="4"/>
        <w:jc w:val="left"/>
      </w:pPr>
      <w:r>
        <w:t>□3.质量保证金从最终结算资金中扣留。</w:t>
      </w:r>
    </w:p>
    <w:p w14:paraId="5AE07D63">
      <w:pPr>
        <w:pStyle w:val="4"/>
        <w:jc w:val="left"/>
      </w:pPr>
      <w:r>
        <w:t>在质保期内，软件因乙方责任产生质量问题未予以补救，或者予以补救后仍然造成损失的，甲方有权直接从质量保证金扣除相应损失。</w:t>
      </w:r>
    </w:p>
    <w:p w14:paraId="1F7AFBA4">
      <w:pPr>
        <w:pStyle w:val="4"/>
        <w:jc w:val="left"/>
      </w:pPr>
      <w:r>
        <w:t>（二）质量保证金在质保期满且无质量问题时全额无息退还。本合同约定的质保期满，甲方接到乙方质量保证金返还申请后，应当于30日内核实质量情况，办理质量保证金返还。</w:t>
      </w:r>
    </w:p>
    <w:p w14:paraId="48DCF554">
      <w:pPr>
        <w:pStyle w:val="4"/>
        <w:jc w:val="left"/>
      </w:pPr>
      <w:r>
        <w:rPr>
          <w:b/>
        </w:rPr>
        <w:t>十二、资金结算</w:t>
      </w:r>
    </w:p>
    <w:p w14:paraId="1A6B1AB4">
      <w:pPr>
        <w:pStyle w:val="4"/>
        <w:jc w:val="left"/>
      </w:pPr>
      <w:r>
        <w:t>（一）合同约定采用下列之一的方式进行资金结算：</w:t>
      </w:r>
    </w:p>
    <w:p w14:paraId="3B4ADDED">
      <w:pPr>
        <w:pStyle w:val="4"/>
        <w:jc w:val="left"/>
      </w:pPr>
      <w:r>
        <w:t>□本合同无预付款，服务完成并验收合格后，乙方收集发票、验收报告等材料，提交甲方办理结算手续，甲方在</w:t>
      </w:r>
      <w:r>
        <w:rPr>
          <w:u w:val="single"/>
        </w:rPr>
        <w:t xml:space="preserve">  </w:t>
      </w:r>
      <w:r>
        <w:t>日内向乙方支付全部合同款项，即</w:t>
      </w:r>
      <w:r>
        <w:rPr>
          <w:u w:val="single"/>
        </w:rPr>
        <w:t xml:space="preserve">      </w:t>
      </w:r>
      <w:r>
        <w:t>元（小写¥</w:t>
      </w:r>
      <w:r>
        <w:rPr>
          <w:u w:val="single"/>
        </w:rPr>
        <w:t xml:space="preserve">    </w:t>
      </w:r>
      <w:r>
        <w:t>）。（适用于采购金额小履约周期短的采购项目）</w:t>
      </w:r>
    </w:p>
    <w:p w14:paraId="54138F16">
      <w:pPr>
        <w:pStyle w:val="4"/>
        <w:jc w:val="left"/>
      </w:pPr>
      <w:r>
        <w:t>□合同签订后</w:t>
      </w:r>
      <w:r>
        <w:rPr>
          <w:u w:val="single"/>
        </w:rPr>
        <w:t xml:space="preserve">    </w:t>
      </w:r>
      <w:r>
        <w:t>日内，甲方预付合同金额的</w:t>
      </w:r>
      <w:r>
        <w:rPr>
          <w:u w:val="single"/>
        </w:rPr>
        <w:t xml:space="preserve">    </w:t>
      </w:r>
      <w:r>
        <w:t>%，即</w:t>
      </w:r>
      <w:r>
        <w:rPr>
          <w:u w:val="single"/>
        </w:rPr>
        <w:t xml:space="preserve">        </w:t>
      </w:r>
      <w:r>
        <w:t>元（小写¥</w:t>
      </w:r>
      <w:r>
        <w:rPr>
          <w:u w:val="single"/>
        </w:rPr>
        <w:t xml:space="preserve">      </w:t>
      </w:r>
      <w:r>
        <w:t>）（不得超过合同金额的30%），服务完成并验收合格后，乙方向甲方提交发票、验收报告等结算材料，甲方在</w:t>
      </w:r>
      <w:r>
        <w:rPr>
          <w:u w:val="single"/>
        </w:rPr>
        <w:t xml:space="preserve">    </w:t>
      </w:r>
      <w:r>
        <w:t>日内向乙方支付合同金额的</w:t>
      </w:r>
      <w:r>
        <w:rPr>
          <w:u w:val="single"/>
        </w:rPr>
        <w:t xml:space="preserve">    </w:t>
      </w:r>
      <w:r>
        <w:t>%，即</w:t>
      </w:r>
      <w:r>
        <w:rPr>
          <w:u w:val="single"/>
        </w:rPr>
        <w:t xml:space="preserve">       </w:t>
      </w:r>
      <w:r>
        <w:t>元（小写¥</w:t>
      </w:r>
      <w:r>
        <w:rPr>
          <w:u w:val="single"/>
        </w:rPr>
        <w:t xml:space="preserve">      </w:t>
      </w:r>
      <w:r>
        <w:t>）。</w:t>
      </w:r>
    </w:p>
    <w:p w14:paraId="3E7950D9">
      <w:pPr>
        <w:pStyle w:val="4"/>
        <w:jc w:val="left"/>
      </w:pPr>
      <w:r>
        <w:t>□分阶段付款，第一阶段，乙方</w:t>
      </w:r>
      <w:r>
        <w:rPr>
          <w:u w:val="single"/>
        </w:rPr>
        <w:t xml:space="preserve">      </w:t>
      </w:r>
      <w:r>
        <w:t>，提交</w:t>
      </w:r>
      <w:r>
        <w:rPr>
          <w:u w:val="single"/>
        </w:rPr>
        <w:t xml:space="preserve">    </w:t>
      </w:r>
      <w:r>
        <w:t>等结算材料，甲方支付合同金额的</w:t>
      </w:r>
      <w:r>
        <w:rPr>
          <w:u w:val="single"/>
        </w:rPr>
        <w:t xml:space="preserve">    </w:t>
      </w:r>
      <w:r>
        <w:t>%，即</w:t>
      </w:r>
      <w:r>
        <w:rPr>
          <w:u w:val="single"/>
        </w:rPr>
        <w:t xml:space="preserve">      </w:t>
      </w:r>
      <w:r>
        <w:t>元（小写¥</w:t>
      </w:r>
      <w:r>
        <w:rPr>
          <w:u w:val="single"/>
        </w:rPr>
        <w:t xml:space="preserve">    </w:t>
      </w:r>
      <w:r>
        <w:t>）；第二阶段乙方</w:t>
      </w:r>
      <w:r>
        <w:rPr>
          <w:u w:val="single"/>
        </w:rPr>
        <w:t xml:space="preserve">      </w:t>
      </w:r>
      <w:r>
        <w:t>，提交</w:t>
      </w:r>
      <w:r>
        <w:rPr>
          <w:u w:val="single"/>
        </w:rPr>
        <w:t xml:space="preserve">    </w:t>
      </w:r>
      <w:r>
        <w:t>等结算材料，甲方支付合同金额的</w:t>
      </w:r>
      <w:r>
        <w:rPr>
          <w:u w:val="single"/>
        </w:rPr>
        <w:t xml:space="preserve">    </w:t>
      </w:r>
      <w:r>
        <w:t>%，即</w:t>
      </w:r>
      <w:r>
        <w:rPr>
          <w:u w:val="single"/>
        </w:rPr>
        <w:t xml:space="preserve">      </w:t>
      </w:r>
      <w:r>
        <w:t>元（小写¥</w:t>
      </w:r>
      <w:r>
        <w:rPr>
          <w:u w:val="single"/>
        </w:rPr>
        <w:t xml:space="preserve">    </w:t>
      </w:r>
      <w:r>
        <w:t>）；第三阶段乙方</w:t>
      </w:r>
      <w:r>
        <w:rPr>
          <w:u w:val="single"/>
        </w:rPr>
        <w:t xml:space="preserve">      </w:t>
      </w:r>
      <w:r>
        <w:t>，提交</w:t>
      </w:r>
      <w:r>
        <w:rPr>
          <w:u w:val="single"/>
        </w:rPr>
        <w:t xml:space="preserve">    </w:t>
      </w:r>
      <w:r>
        <w:t>等结算材料，甲方支付合同金额的</w:t>
      </w:r>
      <w:r>
        <w:rPr>
          <w:u w:val="single"/>
        </w:rPr>
        <w:t xml:space="preserve">    </w:t>
      </w:r>
      <w:r>
        <w:t>%，即</w:t>
      </w:r>
      <w:r>
        <w:rPr>
          <w:u w:val="single"/>
        </w:rPr>
        <w:t xml:space="preserve">      </w:t>
      </w:r>
      <w:r>
        <w:t>元（小写¥</w:t>
      </w:r>
      <w:r>
        <w:rPr>
          <w:u w:val="single"/>
        </w:rPr>
        <w:t xml:space="preserve">    </w:t>
      </w:r>
      <w:r>
        <w:t>）。（支付阶段、结算依据和比例根据军队财务规定和项目情况确定）</w:t>
      </w:r>
    </w:p>
    <w:p w14:paraId="038F3065">
      <w:pPr>
        <w:pStyle w:val="4"/>
        <w:jc w:val="left"/>
      </w:pPr>
      <w:r>
        <w:t>□其他方式：</w:t>
      </w:r>
      <w:r>
        <w:rPr>
          <w:u w:val="single"/>
        </w:rPr>
        <w:t xml:space="preserve">                               </w:t>
      </w:r>
    </w:p>
    <w:p w14:paraId="3C77D98A">
      <w:pPr>
        <w:pStyle w:val="4"/>
        <w:jc w:val="left"/>
      </w:pPr>
      <w:r>
        <w:t>（二）乙方应当向甲方支付合同项下的违约金或赔偿金时，甲方有权从上述任何一笔应当付款中予以扣除。</w:t>
      </w:r>
    </w:p>
    <w:p w14:paraId="7741D840">
      <w:pPr>
        <w:pStyle w:val="4"/>
        <w:jc w:val="left"/>
      </w:pPr>
      <w:r>
        <w:t>（三）在结算过程中，乙方出具虚假发票或其他虚假材料的，按照提供虚假材料情况处理。</w:t>
      </w:r>
    </w:p>
    <w:p w14:paraId="09D76F7D">
      <w:pPr>
        <w:pStyle w:val="4"/>
        <w:jc w:val="left"/>
      </w:pPr>
      <w:r>
        <w:t>（四）未经军队采购平台合同管理信息系统编号或者未按照要求进行备案的物资工程服务采购合同书，不得办理支付手续。</w:t>
      </w:r>
    </w:p>
    <w:p w14:paraId="66C79440">
      <w:pPr>
        <w:pStyle w:val="4"/>
        <w:jc w:val="left"/>
      </w:pPr>
      <w:r>
        <w:rPr>
          <w:b/>
        </w:rPr>
        <w:t>十三、违约责任</w:t>
      </w:r>
    </w:p>
    <w:p w14:paraId="56FDA7B4">
      <w:pPr>
        <w:pStyle w:val="4"/>
        <w:jc w:val="left"/>
      </w:pPr>
      <w:r>
        <w:t>（一）乙方未经甲方同意而延期履行的，应当向甲方偿付违约金，违约金每天按合同金额的</w:t>
      </w:r>
      <w:r>
        <w:rPr>
          <w:u w:val="single"/>
        </w:rPr>
        <w:t xml:space="preserve">    </w:t>
      </w:r>
      <w:r>
        <w:t>（通常为1‰-1%，可据实设定）计算，违约金最高限额为合同金额的</w:t>
      </w:r>
      <w:r>
        <w:rPr>
          <w:u w:val="single"/>
        </w:rPr>
        <w:t xml:space="preserve">    </w:t>
      </w:r>
      <w:r>
        <w:t>（通常为5%-10%，可据实设定）。如果达到违约金最高限额时仍不能履行，或因延期履行影响甲方任务实施，甲方可以终止合同，而由此给甲方造成的实际损失，乙方应当给予足额赔偿。</w:t>
      </w:r>
    </w:p>
    <w:p w14:paraId="2EEA8E4D">
      <w:pPr>
        <w:pStyle w:val="4"/>
        <w:jc w:val="left"/>
      </w:pPr>
      <w:r>
        <w:t>（二）乙方不能满足合同约定的服务内容和标准等要求的，甲方可按合同约定的分期考核标准扣减相应的服务酬金。因乙方违反合同约定给甲方造成损失的，乙方应当赔偿甲方损失。</w:t>
      </w:r>
    </w:p>
    <w:p w14:paraId="3359FAAA">
      <w:pPr>
        <w:pStyle w:val="4"/>
        <w:jc w:val="left"/>
      </w:pPr>
      <w:r>
        <w:t>（三）甲方需按约定及时足额支付服务款，未按约定及时足额支付服务款时，甲方向乙方偿付违约金。每迟付一天按合同金额的</w:t>
      </w:r>
      <w:r>
        <w:rPr>
          <w:u w:val="single"/>
        </w:rPr>
        <w:t xml:space="preserve">    </w:t>
      </w:r>
      <w:r>
        <w:t>（通常为1‰-1%，可按照项目实际情况设定）向乙方偿付违约金，违约金最高限额为合同金额的</w:t>
      </w:r>
      <w:r>
        <w:rPr>
          <w:u w:val="single"/>
        </w:rPr>
        <w:t xml:space="preserve">    </w:t>
      </w:r>
      <w:r>
        <w:t>（通常为5%-10%，可据实设定）。</w:t>
      </w:r>
    </w:p>
    <w:p w14:paraId="5229F155">
      <w:pPr>
        <w:pStyle w:val="4"/>
        <w:jc w:val="left"/>
      </w:pPr>
      <w:r>
        <w:t>（四）如因不可抗力事件导致一方无法履行合同，该方应立即书面通知对方，并在合理期限内提供权威机构出具的证明。受影响方应尽力减轻不可抗力事件所造成的影响。如法律对不可抗力有其他规定，或合同迟延履行后发生不可抗力事件，本条款不免除违约方的责任。</w:t>
      </w:r>
    </w:p>
    <w:p w14:paraId="6DE572A0">
      <w:pPr>
        <w:pStyle w:val="4"/>
        <w:jc w:val="left"/>
      </w:pPr>
      <w:r>
        <w:rPr>
          <w:b/>
        </w:rPr>
        <w:t>十四、争议解决方式</w:t>
      </w:r>
    </w:p>
    <w:p w14:paraId="54DE0BE5">
      <w:pPr>
        <w:pStyle w:val="4"/>
        <w:jc w:val="left"/>
      </w:pPr>
      <w:r>
        <w:t>合同履行过程中发生争议，先按照合同通用条款约定的争议解决方式处理，处理不成功的，甲方或者乙方可以按下列方式提起仲裁或诉讼（此条款为单选，不选或全选无效）：</w:t>
      </w:r>
    </w:p>
    <w:p w14:paraId="7C0C717C">
      <w:pPr>
        <w:pStyle w:val="4"/>
        <w:jc w:val="left"/>
      </w:pPr>
      <w:r>
        <w:t>□向</w:t>
      </w:r>
      <w:r>
        <w:rPr>
          <w:u w:val="single"/>
        </w:rPr>
        <w:t xml:space="preserve">             </w:t>
      </w:r>
      <w:r>
        <w:t>（甲方所在地仲裁机构名称）提起仲裁。</w:t>
      </w:r>
    </w:p>
    <w:p w14:paraId="5EBDB5B3">
      <w:pPr>
        <w:pStyle w:val="4"/>
        <w:jc w:val="left"/>
      </w:pPr>
      <w:r>
        <w:t>□向甲方所在地人民法院提起诉讼。</w:t>
      </w:r>
    </w:p>
    <w:p w14:paraId="1A0B311F">
      <w:pPr>
        <w:pStyle w:val="4"/>
        <w:jc w:val="left"/>
      </w:pPr>
      <w:r>
        <w:rPr>
          <w:b/>
        </w:rPr>
        <w:t>十五、合同生效</w:t>
      </w:r>
    </w:p>
    <w:p w14:paraId="034AEDC5">
      <w:pPr>
        <w:pStyle w:val="4"/>
        <w:jc w:val="left"/>
      </w:pPr>
      <w:r>
        <w:t>（一）经双方法定代表人或授权代表签字并经单位盖章后生效。未经甲方允许，乙方不得部分或全部转让其应当履行的合同义务。</w:t>
      </w:r>
    </w:p>
    <w:p w14:paraId="0165F14B">
      <w:pPr>
        <w:pStyle w:val="4"/>
        <w:jc w:val="left"/>
      </w:pPr>
      <w:r>
        <w:t>（二）本合同一式</w:t>
      </w:r>
      <w:r>
        <w:rPr>
          <w:u w:val="single"/>
        </w:rPr>
        <w:t xml:space="preserve">    </w:t>
      </w:r>
      <w:r>
        <w:t>份，由双方各执一份，甲方财务结算部门一份，</w:t>
      </w:r>
      <w:r>
        <w:rPr>
          <w:u w:val="single"/>
        </w:rPr>
        <w:t xml:space="preserve">                                             </w:t>
      </w:r>
      <w:r>
        <w:t>。</w:t>
      </w:r>
    </w:p>
    <w:p w14:paraId="272A8376">
      <w:pPr>
        <w:pStyle w:val="4"/>
        <w:jc w:val="left"/>
      </w:pPr>
      <w:r>
        <w:rPr>
          <w:b/>
        </w:rPr>
        <w:t>十六、其他事项</w:t>
      </w:r>
    </w:p>
    <w:p w14:paraId="3EE5F5C5">
      <w:pPr>
        <w:pStyle w:val="4"/>
        <w:jc w:val="left"/>
      </w:pPr>
      <w:r>
        <w:t>其他：</w:t>
      </w:r>
      <w:r>
        <w:rPr>
          <w:u w:val="single"/>
        </w:rPr>
        <w:t xml:space="preserve">                                       </w:t>
      </w:r>
      <w:r>
        <w:t>。</w:t>
      </w:r>
    </w:p>
    <w:p w14:paraId="39AE325E">
      <w:pPr>
        <w:pStyle w:val="4"/>
        <w:jc w:val="left"/>
      </w:pPr>
      <w:r>
        <w:rPr>
          <w:b/>
        </w:rPr>
        <w:t>□十七、附件</w:t>
      </w:r>
    </w:p>
    <w:p w14:paraId="7A3AB4A5">
      <w:pPr>
        <w:pStyle w:val="4"/>
        <w:jc w:val="left"/>
      </w:pPr>
      <w:r>
        <w:t>（一）软件需求规格说明书。</w:t>
      </w:r>
    </w:p>
    <w:p w14:paraId="10C2D79A">
      <w:pPr>
        <w:pStyle w:val="4"/>
        <w:jc w:val="left"/>
      </w:pPr>
      <w:r>
        <w:t>（二）软件开发技术方案。</w:t>
      </w:r>
    </w:p>
    <w:p w14:paraId="4C5A1A13">
      <w:pPr>
        <w:pStyle w:val="4"/>
        <w:jc w:val="left"/>
      </w:pPr>
      <w:r>
        <w:t>（三）其他：</w:t>
      </w:r>
      <w:r>
        <w:rPr>
          <w:u w:val="single"/>
        </w:rPr>
        <w:t xml:space="preserve">                                 </w:t>
      </w:r>
      <w:r>
        <w:t>。</w:t>
      </w:r>
    </w:p>
    <w:p w14:paraId="0A926BA2">
      <w:pPr>
        <w:pStyle w:val="4"/>
        <w:jc w:val="left"/>
      </w:pPr>
      <w:r>
        <w:t>注释：本项目采购文件、乙方投标（报价）文件、补充文件、澄清承诺，均为签订合同的依据。合同签订按照《军队物资工程服务采购合同管理暂行规定》执行，内容不得与采购文件、乙方投标（报价）文件、补充文件、澄清承诺的实质性内容相背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27A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94888C">
            <w:pPr>
              <w:pStyle w:val="4"/>
              <w:jc w:val="left"/>
            </w:pPr>
            <w:r>
              <w:t>甲      方：（公章）</w:t>
            </w:r>
          </w:p>
        </w:tc>
        <w:tc>
          <w:tcPr>
            <w:tcW w:w="4153" w:type="dxa"/>
          </w:tcPr>
          <w:p w14:paraId="6C0C26AD">
            <w:pPr>
              <w:pStyle w:val="4"/>
              <w:jc w:val="left"/>
            </w:pPr>
            <w:r>
              <w:t>乙      方：（公章）</w:t>
            </w:r>
          </w:p>
        </w:tc>
      </w:tr>
      <w:tr w14:paraId="1BF34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C17AC8">
            <w:pPr>
              <w:pStyle w:val="4"/>
              <w:jc w:val="left"/>
            </w:pPr>
            <w:r>
              <w:t>法定代表人：</w:t>
            </w:r>
          </w:p>
          <w:p w14:paraId="34068E3E">
            <w:pPr>
              <w:pStyle w:val="4"/>
              <w:jc w:val="left"/>
            </w:pPr>
            <w:r>
              <w:t>委托代理人：</w:t>
            </w:r>
          </w:p>
          <w:p w14:paraId="16E2C991">
            <w:pPr>
              <w:pStyle w:val="4"/>
              <w:jc w:val="left"/>
            </w:pPr>
            <w:r>
              <w:t>电      话：</w:t>
            </w:r>
          </w:p>
          <w:p w14:paraId="5E2BB343">
            <w:pPr>
              <w:pStyle w:val="4"/>
              <w:jc w:val="left"/>
            </w:pPr>
            <w:r>
              <w:t>账户名称：</w:t>
            </w:r>
          </w:p>
          <w:p w14:paraId="059A9EDE">
            <w:pPr>
              <w:pStyle w:val="4"/>
              <w:jc w:val="left"/>
            </w:pPr>
            <w:r>
              <w:t>开户银行：</w:t>
            </w:r>
          </w:p>
          <w:p w14:paraId="75285BBE">
            <w:pPr>
              <w:pStyle w:val="4"/>
              <w:jc w:val="left"/>
            </w:pPr>
            <w:r>
              <w:t>账    号：</w:t>
            </w:r>
          </w:p>
          <w:p w14:paraId="178E528C">
            <w:pPr>
              <w:pStyle w:val="4"/>
              <w:jc w:val="left"/>
            </w:pPr>
            <w:r>
              <w:t>通讯地址：</w:t>
            </w:r>
            <w:r>
              <w:rPr>
                <w:u w:val="single"/>
              </w:rPr>
              <w:t xml:space="preserve">                   </w:t>
            </w:r>
          </w:p>
        </w:tc>
        <w:tc>
          <w:tcPr>
            <w:tcW w:w="4153" w:type="dxa"/>
          </w:tcPr>
          <w:p w14:paraId="61A51FA2">
            <w:pPr>
              <w:pStyle w:val="4"/>
              <w:jc w:val="left"/>
            </w:pPr>
            <w:r>
              <w:t>统一社会信用代码：</w:t>
            </w:r>
            <w:r>
              <w:rPr>
                <w:u w:val="single"/>
              </w:rPr>
              <w:t xml:space="preserve">                                  </w:t>
            </w:r>
          </w:p>
          <w:p w14:paraId="781251CF">
            <w:pPr>
              <w:pStyle w:val="4"/>
              <w:jc w:val="left"/>
            </w:pPr>
            <w:r>
              <w:t>法定代表人：</w:t>
            </w:r>
          </w:p>
          <w:p w14:paraId="40526927">
            <w:pPr>
              <w:pStyle w:val="4"/>
              <w:jc w:val="left"/>
            </w:pPr>
            <w:r>
              <w:t>委托代理人：</w:t>
            </w:r>
          </w:p>
          <w:p w14:paraId="3D5F518C">
            <w:pPr>
              <w:pStyle w:val="4"/>
              <w:jc w:val="left"/>
            </w:pPr>
            <w:r>
              <w:t>电      话：</w:t>
            </w:r>
          </w:p>
          <w:p w14:paraId="2010BDFB">
            <w:pPr>
              <w:pStyle w:val="4"/>
              <w:jc w:val="left"/>
            </w:pPr>
            <w:r>
              <w:t>账户名称：</w:t>
            </w:r>
          </w:p>
          <w:p w14:paraId="27EE9078">
            <w:pPr>
              <w:pStyle w:val="4"/>
              <w:jc w:val="left"/>
            </w:pPr>
            <w:r>
              <w:t>开户银行：</w:t>
            </w:r>
          </w:p>
          <w:p w14:paraId="5DCD1053">
            <w:pPr>
              <w:pStyle w:val="4"/>
              <w:jc w:val="left"/>
            </w:pPr>
            <w:r>
              <w:t>账    号：</w:t>
            </w:r>
          </w:p>
          <w:p w14:paraId="0A3D644E">
            <w:pPr>
              <w:pStyle w:val="4"/>
              <w:jc w:val="left"/>
            </w:pPr>
            <w:r>
              <w:t>通讯地址：</w:t>
            </w:r>
            <w:r>
              <w:rPr>
                <w:u w:val="single"/>
              </w:rPr>
              <w:t xml:space="preserve">                    </w:t>
            </w:r>
          </w:p>
        </w:tc>
      </w:tr>
    </w:tbl>
    <w:p w14:paraId="22FB930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672074"/>
    <w:rsid w:val="177F50ED"/>
    <w:rsid w:val="53B52B8D"/>
    <w:rsid w:val="6C157962"/>
    <w:rsid w:val="714F460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167</Pages>
  <Words>17975</Words>
  <Characters>19143</Characters>
  <Lines>0</Lines>
  <Paragraphs>0</Paragraphs>
  <TotalTime>4</TotalTime>
  <ScaleCrop>false</ScaleCrop>
  <LinksUpToDate>false</LinksUpToDate>
  <CharactersWithSpaces>19171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刘松涛</cp:lastModifiedBy>
  <dcterms:modified xsi:type="dcterms:W3CDTF">2026-04-28T02:14:07Z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0CF6811D7448479CAE4E2DB84AC63E79_13</vt:lpwstr>
  </property>
  <property fmtid="{D5CDD505-2E9C-101B-9397-08002B2CF9AE}" pid="4" name="KSOTemplateDocerSaveRecord">
    <vt:lpwstr>eyJoZGlkIjoiMjNmYjE3OTY1ODBhMzI4MjFiMGRjZjQ3OTkyMjE5NDYiLCJ1c2VySWQiOiIyNjgxMTIxMTIifQ==</vt:lpwstr>
  </property>
</Properties>
</file>