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AB004">
      <w:pPr>
        <w:pStyle w:val="2"/>
        <w:numPr>
          <w:ilvl w:val="0"/>
          <w:numId w:val="2"/>
        </w:numPr>
        <w:tabs>
          <w:tab w:val="left" w:pos="420"/>
          <w:tab w:val="clear" w:pos="432"/>
        </w:tabs>
        <w:adjustRightInd/>
        <w:spacing w:before="0" w:after="0"/>
        <w:ind w:left="0" w:firstLine="0"/>
        <w:jc w:val="left"/>
        <w:textAlignment w:val="auto"/>
      </w:pPr>
      <w:bookmarkStart w:id="0" w:name="_Toc86507049"/>
      <w:r>
        <w:rPr>
          <w:rFonts w:hint="eastAsia"/>
          <w:b w:val="0"/>
        </w:rPr>
        <w:t>CNS开放式系统</w:t>
      </w:r>
      <w:r>
        <w:rPr>
          <w:b w:val="0"/>
        </w:rPr>
        <w:t>软件仿真验证</w:t>
      </w:r>
      <w:r>
        <w:rPr>
          <w:rFonts w:hint="eastAsia"/>
          <w:b w:val="0"/>
        </w:rPr>
        <w:t>系统</w:t>
      </w:r>
    </w:p>
    <w:p w14:paraId="6BF298DF">
      <w:pPr>
        <w:numPr>
          <w:ilvl w:val="0"/>
          <w:numId w:val="3"/>
        </w:numPr>
        <w:adjustRightInd w:val="0"/>
        <w:snapToGrid w:val="0"/>
        <w:spacing w:line="360" w:lineRule="auto"/>
        <w:outlineLvl w:val="1"/>
        <w:rPr>
          <w:rFonts w:eastAsiaTheme="minorEastAsia"/>
          <w:b/>
          <w:sz w:val="28"/>
          <w:szCs w:val="28"/>
        </w:rPr>
      </w:pPr>
      <w:bookmarkStart w:id="1" w:name="_Toc174913557"/>
      <w:bookmarkStart w:id="2" w:name="_Toc183013413"/>
      <w:r>
        <w:rPr>
          <w:rFonts w:hint="eastAsia" w:eastAsiaTheme="minorEastAsia"/>
          <w:b/>
          <w:sz w:val="28"/>
          <w:szCs w:val="28"/>
        </w:rPr>
        <w:t>设备名称、功能及主要技术规格指标</w:t>
      </w:r>
      <w:bookmarkEnd w:id="1"/>
      <w:bookmarkEnd w:id="2"/>
    </w:p>
    <w:p w14:paraId="7F7C63D0">
      <w:pPr>
        <w:numPr>
          <w:ilvl w:val="0"/>
          <w:numId w:val="4"/>
        </w:numPr>
        <w:adjustRightInd w:val="0"/>
        <w:snapToGrid w:val="0"/>
        <w:spacing w:line="360" w:lineRule="auto"/>
        <w:ind w:left="0" w:firstLine="426"/>
        <w:rPr>
          <w:rFonts w:eastAsiaTheme="minorEastAsia"/>
          <w:sz w:val="28"/>
          <w:szCs w:val="28"/>
        </w:rPr>
      </w:pPr>
      <w:r>
        <w:rPr>
          <w:rFonts w:hint="eastAsia" w:eastAsiaTheme="minorEastAsia"/>
          <w:sz w:val="28"/>
          <w:szCs w:val="28"/>
        </w:rPr>
        <w:t>名称：CNS开放式</w:t>
      </w:r>
      <w:r>
        <w:rPr>
          <w:rFonts w:eastAsiaTheme="minorEastAsia"/>
          <w:sz w:val="28"/>
          <w:szCs w:val="28"/>
        </w:rPr>
        <w:t>系统软件仿真验证系统</w:t>
      </w:r>
    </w:p>
    <w:p w14:paraId="3F6915CC">
      <w:pPr>
        <w:numPr>
          <w:ilvl w:val="0"/>
          <w:numId w:val="4"/>
        </w:numPr>
        <w:adjustRightInd w:val="0"/>
        <w:snapToGrid w:val="0"/>
        <w:spacing w:line="360" w:lineRule="auto"/>
        <w:ind w:left="1" w:firstLine="495" w:firstLineChars="177"/>
        <w:rPr>
          <w:rFonts w:eastAsiaTheme="minorEastAsia"/>
          <w:sz w:val="28"/>
          <w:szCs w:val="28"/>
        </w:rPr>
      </w:pPr>
      <w:r>
        <w:rPr>
          <w:rFonts w:hint="eastAsia" w:eastAsiaTheme="minorEastAsia"/>
          <w:sz w:val="28"/>
          <w:szCs w:val="28"/>
        </w:rPr>
        <w:t>型号：定制/货架产品</w:t>
      </w:r>
    </w:p>
    <w:p w14:paraId="442045D0">
      <w:pPr>
        <w:numPr>
          <w:ilvl w:val="0"/>
          <w:numId w:val="4"/>
        </w:numPr>
        <w:adjustRightInd w:val="0"/>
        <w:snapToGrid w:val="0"/>
        <w:spacing w:line="360" w:lineRule="auto"/>
        <w:ind w:left="1" w:firstLine="495" w:firstLineChars="177"/>
        <w:rPr>
          <w:rFonts w:eastAsiaTheme="minorEastAsia"/>
          <w:sz w:val="28"/>
          <w:szCs w:val="28"/>
        </w:rPr>
      </w:pPr>
      <w:r>
        <w:rPr>
          <w:rFonts w:hint="eastAsia" w:eastAsiaTheme="minorEastAsia"/>
          <w:sz w:val="28"/>
          <w:szCs w:val="28"/>
        </w:rPr>
        <w:t>生产厂商及国别：成都精灵云科技</w:t>
      </w:r>
      <w:r>
        <w:rPr>
          <w:rFonts w:eastAsiaTheme="minorEastAsia"/>
          <w:sz w:val="28"/>
          <w:szCs w:val="28"/>
        </w:rPr>
        <w:t>有限公司</w:t>
      </w:r>
      <w:r>
        <w:rPr>
          <w:rFonts w:hint="eastAsia" w:eastAsiaTheme="minorEastAsia"/>
          <w:sz w:val="28"/>
          <w:szCs w:val="28"/>
        </w:rPr>
        <w:t>，成都爱斯顿科技有限公司，中国</w:t>
      </w:r>
    </w:p>
    <w:p w14:paraId="2A3BF785">
      <w:pPr>
        <w:numPr>
          <w:ilvl w:val="0"/>
          <w:numId w:val="4"/>
        </w:numPr>
        <w:adjustRightInd w:val="0"/>
        <w:snapToGrid w:val="0"/>
        <w:spacing w:line="360" w:lineRule="auto"/>
        <w:ind w:left="0" w:firstLine="495" w:firstLineChars="177"/>
        <w:rPr>
          <w:rFonts w:eastAsiaTheme="minorEastAsia"/>
          <w:sz w:val="28"/>
          <w:szCs w:val="28"/>
        </w:rPr>
      </w:pPr>
      <w:r>
        <w:rPr>
          <w:rFonts w:hint="eastAsia" w:eastAsiaTheme="minorEastAsia"/>
          <w:sz w:val="28"/>
          <w:szCs w:val="28"/>
        </w:rPr>
        <w:t>产品价格：</w:t>
      </w:r>
      <w:r>
        <w:rPr>
          <w:rFonts w:eastAsiaTheme="minorEastAsia"/>
          <w:sz w:val="28"/>
          <w:szCs w:val="28"/>
        </w:rPr>
        <w:t>600</w:t>
      </w:r>
      <w:r>
        <w:rPr>
          <w:rFonts w:hint="eastAsia" w:eastAsiaTheme="minorEastAsia"/>
          <w:sz w:val="28"/>
          <w:szCs w:val="28"/>
        </w:rPr>
        <w:t>万</w:t>
      </w:r>
    </w:p>
    <w:p w14:paraId="5645BB0D">
      <w:pPr>
        <w:numPr>
          <w:ilvl w:val="0"/>
          <w:numId w:val="4"/>
        </w:numPr>
        <w:adjustRightInd w:val="0"/>
        <w:snapToGrid w:val="0"/>
        <w:spacing w:line="360" w:lineRule="auto"/>
        <w:ind w:left="1" w:firstLine="495" w:firstLineChars="177"/>
        <w:rPr>
          <w:rFonts w:eastAsiaTheme="minorEastAsia"/>
          <w:sz w:val="28"/>
          <w:szCs w:val="28"/>
        </w:rPr>
      </w:pPr>
      <w:r>
        <w:rPr>
          <w:rFonts w:hint="eastAsia" w:eastAsiaTheme="minorEastAsia"/>
          <w:sz w:val="28"/>
          <w:szCs w:val="28"/>
        </w:rPr>
        <w:t>功能及主要技术规格指标</w:t>
      </w:r>
    </w:p>
    <w:p w14:paraId="2C09B50D">
      <w:pPr>
        <w:pStyle w:val="4"/>
        <w:ind w:firstLine="560"/>
        <w:rPr>
          <w:rFonts w:cs="Times New Roman" w:eastAsiaTheme="minorEastAsia"/>
          <w:szCs w:val="28"/>
        </w:rPr>
      </w:pPr>
      <w:r>
        <w:rPr>
          <w:rFonts w:hint="eastAsia" w:eastAsiaTheme="minorEastAsia"/>
          <w:szCs w:val="28"/>
        </w:rPr>
        <w:t>CNS开放式</w:t>
      </w:r>
      <w:r>
        <w:rPr>
          <w:rFonts w:eastAsiaTheme="minorEastAsia"/>
          <w:szCs w:val="28"/>
        </w:rPr>
        <w:t>系统软件仿真验证系统</w:t>
      </w:r>
      <w:r>
        <w:rPr>
          <w:rFonts w:hint="eastAsia" w:cs="Times New Roman" w:eastAsiaTheme="minorEastAsia"/>
          <w:bCs/>
          <w:szCs w:val="28"/>
        </w:rPr>
        <w:t>，其</w:t>
      </w:r>
      <w:r>
        <w:rPr>
          <w:rFonts w:hint="eastAsia" w:cs="Times New Roman" w:eastAsiaTheme="minorEastAsia"/>
          <w:szCs w:val="28"/>
        </w:rPr>
        <w:t>主要性能指标包括：</w:t>
      </w:r>
    </w:p>
    <w:p w14:paraId="3AC97C3C">
      <w:pPr>
        <w:pStyle w:val="10"/>
        <w:tabs>
          <w:tab w:val="left" w:pos="900"/>
          <w:tab w:val="clear" w:pos="432"/>
        </w:tabs>
        <w:spacing w:line="300" w:lineRule="auto"/>
        <w:ind w:left="902" w:hanging="420"/>
        <w:rPr>
          <w:shd w:val="clear" w:color="auto" w:fill="FFFFFF"/>
          <w:lang w:bidi="ar"/>
        </w:rPr>
      </w:pPr>
      <w:r>
        <w:rPr>
          <w:rFonts w:hint="eastAsia"/>
          <w:shd w:val="clear" w:color="auto" w:fill="FFFFFF"/>
          <w:lang w:bidi="ar"/>
        </w:rPr>
        <w:t>仿真验证数据底座能力</w:t>
      </w:r>
    </w:p>
    <w:p w14:paraId="35A8D559">
      <w:pPr>
        <w:pStyle w:val="4"/>
        <w:ind w:firstLine="560"/>
        <w:rPr>
          <w:rFonts w:hint="eastAsia"/>
          <w:shd w:val="clear" w:color="auto" w:fill="FFFFFF"/>
          <w:lang w:bidi="ar"/>
        </w:rPr>
      </w:pPr>
      <w:r>
        <w:rPr>
          <w:rFonts w:hint="eastAsia"/>
          <w:shd w:val="clear" w:color="auto" w:fill="FFFFFF"/>
          <w:lang w:bidi="ar"/>
        </w:rPr>
        <w:t>面向仿真资源信息、模型与接口数据、测试用例、运行记录和验证证据包等对象，建设统一</w:t>
      </w:r>
      <w:r>
        <w:rPr>
          <w:rFonts w:hint="eastAsia"/>
          <w:highlight w:val="yellow"/>
          <w:shd w:val="clear" w:color="auto" w:fill="FFFFFF"/>
          <w:lang w:val="en-US" w:eastAsia="zh-CN" w:bidi="ar"/>
        </w:rPr>
        <w:t>接入、</w:t>
      </w:r>
      <w:r>
        <w:rPr>
          <w:rFonts w:hint="eastAsia"/>
          <w:highlight w:val="yellow"/>
          <w:shd w:val="clear" w:color="auto" w:fill="FFFFFF"/>
          <w:lang w:bidi="ar"/>
        </w:rPr>
        <w:t>存储、索引</w:t>
      </w:r>
      <w:r>
        <w:rPr>
          <w:rFonts w:hint="eastAsia"/>
          <w:highlight w:val="yellow"/>
          <w:shd w:val="clear" w:color="auto" w:fill="FFFFFF"/>
          <w:lang w:eastAsia="zh-CN" w:bidi="ar"/>
        </w:rPr>
        <w:t>、</w:t>
      </w:r>
      <w:r>
        <w:rPr>
          <w:rFonts w:hint="eastAsia"/>
          <w:highlight w:val="yellow"/>
          <w:shd w:val="clear" w:color="auto" w:fill="FFFFFF"/>
          <w:lang w:bidi="ar"/>
        </w:rPr>
        <w:t>关联查询</w:t>
      </w:r>
      <w:r>
        <w:rPr>
          <w:rFonts w:hint="eastAsia"/>
          <w:shd w:val="clear" w:color="auto" w:fill="FFFFFF"/>
          <w:lang w:val="en-US" w:eastAsia="zh-CN" w:bidi="ar"/>
        </w:rPr>
        <w:t>与数据治理</w:t>
      </w:r>
      <w:r>
        <w:rPr>
          <w:rFonts w:hint="eastAsia"/>
          <w:shd w:val="clear" w:color="auto" w:fill="FFFFFF"/>
          <w:lang w:bidi="ar"/>
        </w:rPr>
        <w:t>能力，为仿真场景构建、任务执行、结果判定和证据归档提供数据支撑。</w:t>
      </w:r>
    </w:p>
    <w:p w14:paraId="1DA5AC4C">
      <w:pPr>
        <w:pStyle w:val="10"/>
        <w:tabs>
          <w:tab w:val="left" w:pos="900"/>
          <w:tab w:val="clear" w:pos="432"/>
        </w:tabs>
        <w:spacing w:line="300" w:lineRule="auto"/>
        <w:ind w:left="902" w:hanging="420"/>
        <w:rPr>
          <w:shd w:val="clear" w:color="auto" w:fill="FFFFFF"/>
          <w:lang w:bidi="ar"/>
        </w:rPr>
      </w:pPr>
      <w:r>
        <w:rPr>
          <w:rFonts w:hint="eastAsia"/>
          <w:shd w:val="clear" w:color="auto" w:fill="FFFFFF"/>
          <w:lang w:bidi="ar"/>
        </w:rPr>
        <w:t>异构工具数据接入与解析能力</w:t>
      </w:r>
    </w:p>
    <w:p w14:paraId="59573B92">
      <w:pPr>
        <w:pStyle w:val="4"/>
        <w:ind w:firstLine="560"/>
        <w:rPr>
          <w:shd w:val="clear" w:color="auto" w:fill="FFFFFF"/>
          <w:lang w:bidi="ar"/>
        </w:rPr>
      </w:pPr>
      <w:r>
        <w:rPr>
          <w:rFonts w:hint="eastAsia"/>
          <w:shd w:val="clear" w:color="auto" w:fill="FFFFFF"/>
          <w:lang w:val="en-US" w:eastAsia="zh-CN" w:bidi="ar"/>
        </w:rPr>
        <w:t>采用标准协议</w:t>
      </w:r>
      <w:r>
        <w:rPr>
          <w:rFonts w:hint="eastAsia"/>
          <w:shd w:val="clear" w:color="auto" w:fill="FFFFFF"/>
          <w:lang w:bidi="ar"/>
        </w:rPr>
        <w:t>接入 Doors、MagicDraw、服务建模工具、FACE建模工具及 SOMTools 等工具，围绕模型、接口、参数、约束和测试数据建立统一解析与交换接口，</w:t>
      </w:r>
      <w:r>
        <w:rPr>
          <w:rFonts w:hint="eastAsia"/>
          <w:highlight w:val="yellow"/>
          <w:shd w:val="clear" w:color="auto" w:fill="FFFFFF"/>
          <w:lang w:val="en-US" w:eastAsia="zh-CN" w:bidi="ar"/>
        </w:rPr>
        <w:t>支持基于用户原始需求对数据交换接口的生成与验证能力，</w:t>
      </w:r>
      <w:r>
        <w:rPr>
          <w:rFonts w:hint="eastAsia"/>
          <w:highlight w:val="none"/>
          <w:shd w:val="clear" w:color="auto" w:fill="FFFFFF"/>
          <w:lang w:bidi="ar"/>
        </w:rPr>
        <w:t>形成可供仿真与验证直接使用的数据底座和可视化视图</w:t>
      </w:r>
      <w:r>
        <w:rPr>
          <w:rFonts w:hint="eastAsia"/>
          <w:highlight w:val="yellow"/>
          <w:shd w:val="clear" w:color="auto" w:fill="FFFFFF"/>
          <w:lang w:bidi="ar"/>
        </w:rPr>
        <w:t>。</w:t>
      </w:r>
      <w:r>
        <w:rPr>
          <w:rFonts w:hint="eastAsia"/>
          <w:highlight w:val="yellow"/>
          <w:shd w:val="clear" w:color="auto" w:fill="FFFFFF"/>
          <w:lang w:val="en-US" w:eastAsia="zh-CN" w:bidi="ar"/>
        </w:rPr>
        <w:t>支持</w:t>
      </w:r>
      <w:r>
        <w:rPr>
          <w:rFonts w:hint="eastAsia"/>
          <w:highlight w:val="yellow"/>
          <w:shd w:val="clear" w:color="auto" w:fill="FFFFFF"/>
          <w:lang w:bidi="ar"/>
        </w:rPr>
        <w:t>利用大模型的代码理解能力，将复杂的协议</w:t>
      </w:r>
      <w:r>
        <w:rPr>
          <w:rFonts w:hint="eastAsia"/>
          <w:highlight w:val="yellow"/>
          <w:shd w:val="clear" w:color="auto" w:fill="FFFFFF"/>
          <w:lang w:eastAsia="zh-CN" w:bidi="ar"/>
        </w:rPr>
        <w:t>（</w:t>
      </w:r>
      <w:r>
        <w:rPr>
          <w:rFonts w:hint="eastAsia"/>
          <w:highlight w:val="yellow"/>
          <w:shd w:val="clear" w:color="auto" w:fill="FFFFFF"/>
          <w:lang w:val="en-US" w:eastAsia="zh-CN" w:bidi="ar"/>
        </w:rPr>
        <w:t>通信、接口等</w:t>
      </w:r>
      <w:r>
        <w:rPr>
          <w:rFonts w:hint="eastAsia"/>
          <w:highlight w:val="yellow"/>
          <w:shd w:val="clear" w:color="auto" w:fill="FFFFFF"/>
          <w:lang w:eastAsia="zh-CN" w:bidi="ar"/>
        </w:rPr>
        <w:t>）</w:t>
      </w:r>
      <w:r>
        <w:rPr>
          <w:rFonts w:hint="eastAsia"/>
          <w:highlight w:val="yellow"/>
          <w:shd w:val="clear" w:color="auto" w:fill="FFFFFF"/>
          <w:lang w:bidi="ar"/>
        </w:rPr>
        <w:t>直接转化为可执行的接口驱动与解析逻辑</w:t>
      </w:r>
      <w:r>
        <w:rPr>
          <w:rFonts w:hint="eastAsia"/>
          <w:shd w:val="clear" w:color="auto" w:fill="FFFFFF"/>
          <w:lang w:bidi="ar"/>
        </w:rPr>
        <w:t>，极大地提升了异构设备接入与复杂测试场景部署的效率。</w:t>
      </w:r>
    </w:p>
    <w:p w14:paraId="3677F77D">
      <w:pPr>
        <w:pStyle w:val="10"/>
        <w:tabs>
          <w:tab w:val="left" w:pos="900"/>
          <w:tab w:val="clear" w:pos="432"/>
        </w:tabs>
        <w:spacing w:line="300" w:lineRule="auto"/>
        <w:ind w:left="902" w:hanging="420"/>
        <w:rPr>
          <w:shd w:val="clear" w:color="auto" w:fill="FFFFFF"/>
          <w:lang w:bidi="ar"/>
        </w:rPr>
      </w:pPr>
      <w:r>
        <w:rPr>
          <w:rFonts w:hint="eastAsia"/>
          <w:shd w:val="clear" w:color="auto" w:fill="FFFFFF"/>
          <w:lang w:bidi="ar"/>
        </w:rPr>
        <w:t>仿真与半实物资源调度能力</w:t>
      </w:r>
    </w:p>
    <w:p w14:paraId="6955401E">
      <w:pPr>
        <w:pStyle w:val="4"/>
        <w:ind w:firstLine="560"/>
        <w:rPr>
          <w:shd w:val="clear" w:color="auto" w:fill="FFFFFF"/>
          <w:lang w:bidi="ar"/>
        </w:rPr>
      </w:pPr>
      <w:r>
        <w:rPr>
          <w:rFonts w:hint="eastAsia"/>
          <w:shd w:val="clear" w:color="auto" w:fill="FFFFFF"/>
          <w:lang w:bidi="ar"/>
        </w:rPr>
        <w:t>面向服务器、半实物机架、仿真单板、网络与接口设备、虚拟机和容器等资源，提供统一发现、编组、配置、启动、回收和状态监测能力，为不同验证场景快速提供可用运行环境。</w:t>
      </w:r>
    </w:p>
    <w:p w14:paraId="3A63D7E4">
      <w:pPr>
        <w:pStyle w:val="10"/>
        <w:tabs>
          <w:tab w:val="left" w:pos="900"/>
          <w:tab w:val="clear" w:pos="432"/>
        </w:tabs>
        <w:spacing w:line="300" w:lineRule="auto"/>
        <w:ind w:left="902" w:hanging="420"/>
        <w:rPr>
          <w:shd w:val="clear" w:color="auto" w:fill="FFFFFF"/>
          <w:lang w:bidi="ar"/>
        </w:rPr>
      </w:pPr>
      <w:r>
        <w:rPr>
          <w:rFonts w:hint="eastAsia"/>
          <w:shd w:val="clear" w:color="auto" w:fill="FFFFFF"/>
          <w:lang w:bidi="ar"/>
        </w:rPr>
        <w:t>仿真验证数据组织与追溯能力</w:t>
      </w:r>
    </w:p>
    <w:p w14:paraId="110B3BE0">
      <w:pPr>
        <w:pStyle w:val="4"/>
        <w:rPr>
          <w:highlight w:val="yellow"/>
          <w:shd w:val="clear" w:color="auto" w:fill="FFFFFF"/>
          <w:lang w:bidi="ar"/>
        </w:rPr>
      </w:pPr>
      <w:r>
        <w:rPr>
          <w:rFonts w:hint="eastAsia"/>
          <w:highlight w:val="yellow"/>
        </w:rPr>
        <w:t>通过建立统一的数据模型</w:t>
      </w:r>
      <w:r>
        <w:rPr>
          <w:rFonts w:hint="eastAsia"/>
        </w:rPr>
        <w:t>，围绕需求条目、模型数据、接口参数、工况配置、测试输入输出和验证结论进行</w:t>
      </w:r>
      <w:r>
        <w:rPr>
          <w:rFonts w:hint="eastAsia"/>
          <w:highlight w:val="yellow"/>
        </w:rPr>
        <w:t>系统化组织</w:t>
      </w:r>
      <w:r>
        <w:rPr>
          <w:rFonts w:hint="eastAsia"/>
        </w:rPr>
        <w:t>，</w:t>
      </w:r>
      <w:r>
        <w:rPr>
          <w:rFonts w:hint="eastAsia"/>
          <w:highlight w:val="yellow"/>
        </w:rPr>
        <w:t>确保数据结构的完整性与一致性。同时，引入版本关联与管理功能，能够追踪每个数据对象的变更历史，支持版本比较与差异比对，帮助用户快速识别数据变化的影响。</w:t>
      </w:r>
    </w:p>
    <w:p w14:paraId="5E816D2E">
      <w:pPr>
        <w:pStyle w:val="10"/>
        <w:tabs>
          <w:tab w:val="left" w:pos="900"/>
          <w:tab w:val="clear" w:pos="432"/>
        </w:tabs>
        <w:spacing w:line="300" w:lineRule="auto"/>
        <w:ind w:left="902" w:hanging="420"/>
        <w:rPr>
          <w:rFonts w:hint="eastAsia"/>
        </w:rPr>
      </w:pPr>
      <w:r>
        <w:rPr>
          <w:rFonts w:hint="eastAsia"/>
          <w:shd w:val="clear" w:color="auto" w:fill="FFFFFF"/>
          <w:lang w:bidi="ar"/>
        </w:rPr>
        <w:t>仿真运行观测与证据留痕能力</w:t>
      </w:r>
    </w:p>
    <w:p w14:paraId="3D644C51">
      <w:pPr>
        <w:pStyle w:val="4"/>
        <w:ind w:firstLine="560"/>
        <w:rPr>
          <w:shd w:val="clear" w:color="auto" w:fill="FFFFFF"/>
          <w:lang w:bidi="ar"/>
        </w:rPr>
      </w:pPr>
      <w:r>
        <w:rPr>
          <w:rFonts w:hint="eastAsia"/>
          <w:shd w:val="clear" w:color="auto" w:fill="FFFFFF"/>
          <w:lang w:bidi="ar"/>
        </w:rPr>
        <w:t>统一采集系统日志、测试日志、仿真日志、运行日志和关键时序事件，支持异常定位、过程回放、结果复盘和证据固化。</w:t>
      </w:r>
    </w:p>
    <w:p w14:paraId="04928A54">
      <w:pPr>
        <w:pStyle w:val="10"/>
        <w:tabs>
          <w:tab w:val="left" w:pos="900"/>
          <w:tab w:val="clear" w:pos="432"/>
        </w:tabs>
        <w:spacing w:line="300" w:lineRule="auto"/>
        <w:ind w:left="902" w:hanging="420"/>
        <w:rPr>
          <w:shd w:val="clear" w:color="auto" w:fill="FFFFFF"/>
          <w:lang w:bidi="ar"/>
        </w:rPr>
      </w:pPr>
      <w:r>
        <w:rPr>
          <w:rFonts w:hint="eastAsia"/>
          <w:shd w:val="clear" w:color="auto" w:fill="FFFFFF"/>
          <w:lang w:bidi="ar"/>
        </w:rPr>
        <w:t>验证基线管理能力</w:t>
      </w:r>
    </w:p>
    <w:p w14:paraId="6F00533E">
      <w:pPr>
        <w:pStyle w:val="4"/>
        <w:ind w:firstLine="560"/>
        <w:rPr>
          <w:shd w:val="clear" w:color="auto" w:fill="FFFFFF"/>
          <w:lang w:bidi="ar"/>
        </w:rPr>
      </w:pPr>
      <w:r>
        <w:rPr>
          <w:rFonts w:hint="eastAsia"/>
          <w:shd w:val="clear" w:color="auto" w:fill="FFFFFF"/>
          <w:lang w:bidi="ar"/>
        </w:rPr>
        <w:t>完成软件配置项相关需求、接口约束、时序约束和验证准则的导入、整理与基线固化，并结合大模型对标准条款、设计约束和历史问题进行语义归纳，辅助形成验证判据与检查项，为仿真场景构建、自动测试和结果判定提供依据。</w:t>
      </w:r>
    </w:p>
    <w:p w14:paraId="0875BDE7">
      <w:pPr>
        <w:pStyle w:val="10"/>
        <w:tabs>
          <w:tab w:val="left" w:pos="900"/>
          <w:tab w:val="clear" w:pos="432"/>
        </w:tabs>
        <w:spacing w:line="300" w:lineRule="auto"/>
        <w:ind w:left="902" w:hanging="420"/>
        <w:rPr>
          <w:shd w:val="clear" w:color="auto" w:fill="FFFFFF"/>
          <w:lang w:bidi="ar"/>
        </w:rPr>
      </w:pPr>
      <w:r>
        <w:rPr>
          <w:rFonts w:hint="eastAsia"/>
          <w:shd w:val="clear" w:color="auto" w:fill="FFFFFF"/>
          <w:lang w:bidi="ar"/>
        </w:rPr>
        <w:t>仿真任务管理</w:t>
      </w:r>
    </w:p>
    <w:p w14:paraId="12DE7F41">
      <w:pPr>
        <w:pStyle w:val="4"/>
        <w:ind w:firstLine="560"/>
        <w:rPr>
          <w:shd w:val="clear" w:color="auto" w:fill="FFFFFF"/>
          <w:lang w:bidi="ar"/>
        </w:rPr>
      </w:pPr>
      <w:r>
        <w:rPr>
          <w:rFonts w:hint="eastAsia"/>
          <w:highlight w:val="yellow"/>
          <w:shd w:val="clear" w:color="auto" w:fill="FFFFFF"/>
          <w:lang w:val="en-US" w:eastAsia="zh-CN" w:bidi="ar"/>
        </w:rPr>
        <w:t>面向智能化的仿真任务构建，支持基于仿真需求的智能化解析、仿真任务拆解与规划，同时自动化实现仿真任务的创建、</w:t>
      </w:r>
      <w:r>
        <w:rPr>
          <w:rFonts w:hint="eastAsia"/>
          <w:shd w:val="clear" w:color="auto" w:fill="FFFFFF"/>
          <w:lang w:bidi="ar"/>
        </w:rPr>
        <w:t>仿真资源的分配、仿真资源运行状态的监控、仿真资源执行</w:t>
      </w:r>
      <w:r>
        <w:rPr>
          <w:rFonts w:hint="eastAsia"/>
          <w:shd w:val="clear" w:color="auto" w:fill="FFFFFF"/>
          <w:lang w:eastAsia="zh-CN" w:bidi="ar"/>
        </w:rPr>
        <w:t>、</w:t>
      </w:r>
      <w:r>
        <w:rPr>
          <w:rFonts w:hint="eastAsia"/>
          <w:highlight w:val="yellow"/>
          <w:shd w:val="clear" w:color="auto" w:fill="FFFFFF"/>
          <w:lang w:val="en-US" w:eastAsia="zh-CN" w:bidi="ar"/>
        </w:rPr>
        <w:t>仿真结果评估</w:t>
      </w:r>
      <w:r>
        <w:rPr>
          <w:rFonts w:hint="eastAsia"/>
          <w:shd w:val="clear" w:color="auto" w:fill="FFFFFF"/>
          <w:lang w:bidi="ar"/>
        </w:rPr>
        <w:t>等能力，并支持基于大模型的场景组合推荐、异常工况补全和任务优先级建议。</w:t>
      </w:r>
    </w:p>
    <w:p w14:paraId="78F6B2A2">
      <w:pPr>
        <w:pStyle w:val="10"/>
        <w:tabs>
          <w:tab w:val="left" w:pos="900"/>
          <w:tab w:val="clear" w:pos="432"/>
        </w:tabs>
        <w:spacing w:line="300" w:lineRule="auto"/>
        <w:ind w:left="902" w:hanging="420"/>
        <w:rPr>
          <w:shd w:val="clear" w:color="auto" w:fill="FFFFFF"/>
          <w:lang w:bidi="ar"/>
        </w:rPr>
      </w:pPr>
      <w:r>
        <w:rPr>
          <w:rFonts w:hint="eastAsia"/>
          <w:shd w:val="clear" w:color="auto" w:fill="FFFFFF"/>
          <w:lang w:bidi="ar"/>
        </w:rPr>
        <w:t>仿真环境装配与部署编排能力</w:t>
      </w:r>
    </w:p>
    <w:p w14:paraId="3BD2C2FA">
      <w:pPr>
        <w:pStyle w:val="4"/>
        <w:ind w:firstLine="560"/>
        <w:rPr>
          <w:shd w:val="clear" w:color="auto" w:fill="FFFFFF"/>
          <w:lang w:bidi="ar"/>
        </w:rPr>
      </w:pPr>
      <w:r>
        <w:rPr>
          <w:rFonts w:hint="eastAsia"/>
          <w:shd w:val="clear" w:color="auto" w:fill="FFFFFF"/>
          <w:lang w:bidi="ar"/>
        </w:rPr>
        <w:t>完成仿真环境中应用软件、支撑中间件、接口配置、网络参数和外设模型的装载、组合与部署编排能力。</w:t>
      </w:r>
    </w:p>
    <w:p w14:paraId="5EC1562C">
      <w:pPr>
        <w:pStyle w:val="10"/>
        <w:tabs>
          <w:tab w:val="left" w:pos="900"/>
          <w:tab w:val="clear" w:pos="432"/>
        </w:tabs>
        <w:spacing w:line="300" w:lineRule="auto"/>
        <w:ind w:left="902" w:hanging="420"/>
        <w:rPr>
          <w:shd w:val="clear" w:color="auto" w:fill="FFFFFF"/>
          <w:lang w:bidi="ar"/>
        </w:rPr>
      </w:pPr>
      <w:r>
        <w:rPr>
          <w:rFonts w:hint="eastAsia"/>
          <w:shd w:val="clear" w:color="auto" w:fill="FFFFFF"/>
          <w:lang w:bidi="ar"/>
        </w:rPr>
        <w:t>仿真自动测试管理</w:t>
      </w:r>
    </w:p>
    <w:p w14:paraId="1000DA4C">
      <w:pPr>
        <w:pStyle w:val="4"/>
        <w:ind w:firstLine="560"/>
        <w:rPr>
          <w:rFonts w:hint="eastAsia"/>
          <w:shd w:val="clear" w:color="auto" w:fill="FFFFFF"/>
          <w:lang w:eastAsia="zh-CN" w:bidi="ar"/>
        </w:rPr>
      </w:pPr>
      <w:r>
        <w:rPr>
          <w:rFonts w:hint="eastAsia"/>
          <w:highlight w:val="yellow"/>
          <w:shd w:val="clear" w:color="auto" w:fill="FFFFFF"/>
          <w:lang w:bidi="ar"/>
        </w:rPr>
        <w:t>完成</w:t>
      </w:r>
      <w:r>
        <w:rPr>
          <w:rFonts w:hint="eastAsia"/>
          <w:highlight w:val="yellow"/>
          <w:shd w:val="clear" w:color="auto" w:fill="FFFFFF"/>
          <w:lang w:val="en-US" w:eastAsia="zh-CN" w:bidi="ar"/>
        </w:rPr>
        <w:t>基于测试需求自动生成测试用例、</w:t>
      </w:r>
      <w:r>
        <w:rPr>
          <w:rFonts w:hint="eastAsia"/>
          <w:shd w:val="clear" w:color="auto" w:fill="FFFFFF"/>
          <w:lang w:val="en-US" w:eastAsia="zh-CN" w:bidi="ar"/>
        </w:rPr>
        <w:t>具备自动</w:t>
      </w:r>
      <w:r>
        <w:rPr>
          <w:rFonts w:hint="eastAsia"/>
          <w:shd w:val="clear" w:color="auto" w:fill="FFFFFF"/>
          <w:lang w:bidi="ar"/>
        </w:rPr>
        <w:t>测试用例管理、用例执行、执行结果通报能力，并支持基于大模型的测试场景生成、异常结果分析、</w:t>
      </w:r>
      <w:r>
        <w:rPr>
          <w:rFonts w:hint="eastAsia"/>
          <w:highlight w:val="yellow"/>
          <w:shd w:val="clear" w:color="auto" w:fill="FFFFFF"/>
          <w:lang w:val="en-US" w:eastAsia="zh-CN" w:bidi="ar"/>
        </w:rPr>
        <w:t>根因分析、</w:t>
      </w:r>
      <w:r>
        <w:rPr>
          <w:rFonts w:hint="eastAsia"/>
          <w:shd w:val="clear" w:color="auto" w:fill="FFFFFF"/>
          <w:lang w:bidi="ar"/>
        </w:rPr>
        <w:t>证据整理和验证报告辅助生成</w:t>
      </w:r>
      <w:r>
        <w:rPr>
          <w:rFonts w:hint="eastAsia"/>
          <w:shd w:val="clear" w:color="auto" w:fill="FFFFFF"/>
          <w:lang w:eastAsia="zh-CN" w:bidi="ar"/>
        </w:rPr>
        <w:t>。</w:t>
      </w:r>
    </w:p>
    <w:p w14:paraId="169DC9EF">
      <w:pPr>
        <w:pStyle w:val="4"/>
        <w:ind w:firstLine="560"/>
        <w:rPr>
          <w:rFonts w:eastAsiaTheme="minorEastAsia"/>
          <w:b/>
          <w:bCs/>
          <w:szCs w:val="28"/>
        </w:rPr>
      </w:pPr>
      <w:r>
        <w:rPr>
          <w:rFonts w:hint="eastAsia"/>
          <w:b/>
          <w:bCs/>
          <w:shd w:val="clear" w:color="auto" w:fill="FFFFFF"/>
          <w:lang w:eastAsia="zh-CN" w:bidi="ar"/>
        </w:rPr>
        <w:t>（</w:t>
      </w:r>
      <w:r>
        <w:rPr>
          <w:rFonts w:hint="eastAsia"/>
          <w:b/>
          <w:bCs/>
          <w:shd w:val="clear" w:color="auto" w:fill="FFFFFF"/>
          <w:lang w:val="en-US" w:eastAsia="zh-CN" w:bidi="ar"/>
        </w:rPr>
        <w:t>1）</w:t>
      </w:r>
      <w:r>
        <w:rPr>
          <w:rFonts w:hint="eastAsia" w:eastAsiaTheme="minorEastAsia"/>
          <w:b/>
          <w:bCs/>
          <w:szCs w:val="28"/>
        </w:rPr>
        <w:t>价格组成</w:t>
      </w:r>
    </w:p>
    <w:p w14:paraId="37FA7664">
      <w:pPr>
        <w:pStyle w:val="12"/>
        <w:spacing w:line="360" w:lineRule="auto"/>
        <w:ind w:left="982" w:hanging="562"/>
        <w:rPr>
          <w:kern w:val="0"/>
          <w:szCs w:val="28"/>
        </w:rPr>
      </w:pPr>
      <w:r>
        <w:rPr>
          <w:rFonts w:hint="eastAsia"/>
          <w:kern w:val="0"/>
          <w:szCs w:val="28"/>
        </w:rPr>
        <w:t>表</w:t>
      </w:r>
      <w:r>
        <w:rPr>
          <w:kern w:val="0"/>
          <w:szCs w:val="28"/>
        </w:rPr>
        <w:t xml:space="preserve"> 1</w:t>
      </w:r>
      <w:r>
        <w:rPr>
          <w:rFonts w:hint="eastAsia"/>
          <w:kern w:val="0"/>
          <w:szCs w:val="28"/>
        </w:rPr>
        <w:t>系统价格组成表</w:t>
      </w:r>
    </w:p>
    <w:tbl>
      <w:tblPr>
        <w:tblStyle w:val="17"/>
        <w:tblW w:w="45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8"/>
        <w:gridCol w:w="1130"/>
        <w:gridCol w:w="1415"/>
      </w:tblGrid>
      <w:tr w14:paraId="1BC1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359" w:type="pct"/>
            <w:tcBorders>
              <w:top w:val="single" w:color="auto" w:sz="4" w:space="0"/>
              <w:left w:val="single" w:color="auto" w:sz="4" w:space="0"/>
              <w:bottom w:val="single" w:color="auto" w:sz="4" w:space="0"/>
              <w:right w:val="single" w:color="auto" w:sz="4" w:space="0"/>
            </w:tcBorders>
            <w:vAlign w:val="center"/>
          </w:tcPr>
          <w:p w14:paraId="7AD9EB43">
            <w:pPr>
              <w:adjustRightInd w:val="0"/>
              <w:snapToGrid w:val="0"/>
              <w:jc w:val="center"/>
              <w:rPr>
                <w:rFonts w:eastAsiaTheme="minorEastAsia"/>
                <w:b/>
                <w:bCs/>
                <w:sz w:val="24"/>
                <w:szCs w:val="22"/>
              </w:rPr>
            </w:pPr>
            <w:r>
              <w:rPr>
                <w:rFonts w:hint="eastAsia" w:eastAsiaTheme="minorEastAsia"/>
                <w:b/>
                <w:bCs/>
                <w:sz w:val="24"/>
              </w:rPr>
              <w:t>模块名称</w:t>
            </w:r>
          </w:p>
        </w:tc>
        <w:tc>
          <w:tcPr>
            <w:tcW w:w="729" w:type="pct"/>
            <w:tcBorders>
              <w:top w:val="single" w:color="auto" w:sz="4" w:space="0"/>
              <w:left w:val="single" w:color="auto" w:sz="4" w:space="0"/>
              <w:bottom w:val="single" w:color="auto" w:sz="4" w:space="0"/>
              <w:right w:val="single" w:color="auto" w:sz="4" w:space="0"/>
            </w:tcBorders>
            <w:vAlign w:val="center"/>
          </w:tcPr>
          <w:p w14:paraId="55681D1A">
            <w:pPr>
              <w:adjustRightInd w:val="0"/>
              <w:snapToGrid w:val="0"/>
              <w:jc w:val="center"/>
              <w:rPr>
                <w:rFonts w:eastAsiaTheme="minorEastAsia"/>
                <w:b/>
                <w:bCs/>
                <w:sz w:val="24"/>
                <w:szCs w:val="22"/>
              </w:rPr>
            </w:pPr>
            <w:r>
              <w:rPr>
                <w:rFonts w:hint="eastAsia" w:eastAsiaTheme="minorEastAsia"/>
                <w:b/>
                <w:bCs/>
                <w:sz w:val="24"/>
              </w:rPr>
              <w:t>数量</w:t>
            </w:r>
          </w:p>
        </w:tc>
        <w:tc>
          <w:tcPr>
            <w:tcW w:w="912" w:type="pct"/>
            <w:tcBorders>
              <w:top w:val="single" w:color="auto" w:sz="4" w:space="0"/>
              <w:left w:val="single" w:color="auto" w:sz="4" w:space="0"/>
              <w:bottom w:val="single" w:color="auto" w:sz="4" w:space="0"/>
              <w:right w:val="single" w:color="auto" w:sz="4" w:space="0"/>
            </w:tcBorders>
            <w:vAlign w:val="center"/>
          </w:tcPr>
          <w:p w14:paraId="29E03980">
            <w:pPr>
              <w:adjustRightInd w:val="0"/>
              <w:snapToGrid w:val="0"/>
              <w:jc w:val="center"/>
              <w:rPr>
                <w:rFonts w:eastAsiaTheme="minorEastAsia"/>
                <w:b/>
                <w:bCs/>
                <w:sz w:val="24"/>
              </w:rPr>
            </w:pPr>
            <w:r>
              <w:rPr>
                <w:rFonts w:hint="eastAsia" w:eastAsiaTheme="minorEastAsia"/>
                <w:b/>
                <w:bCs/>
                <w:sz w:val="24"/>
              </w:rPr>
              <w:t>价格</w:t>
            </w:r>
          </w:p>
          <w:p w14:paraId="4C5F1F40">
            <w:pPr>
              <w:adjustRightInd w:val="0"/>
              <w:snapToGrid w:val="0"/>
              <w:jc w:val="center"/>
              <w:rPr>
                <w:rFonts w:eastAsiaTheme="minorEastAsia"/>
                <w:b/>
                <w:bCs/>
                <w:sz w:val="24"/>
                <w:szCs w:val="22"/>
              </w:rPr>
            </w:pPr>
            <w:r>
              <w:rPr>
                <w:rFonts w:hint="eastAsia" w:eastAsiaTheme="minorEastAsia"/>
                <w:b/>
                <w:bCs/>
                <w:sz w:val="24"/>
              </w:rPr>
              <w:t>（万元）</w:t>
            </w:r>
          </w:p>
        </w:tc>
      </w:tr>
      <w:tr w14:paraId="43D2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9" w:type="pct"/>
            <w:tcBorders>
              <w:top w:val="single" w:color="auto" w:sz="4" w:space="0"/>
              <w:left w:val="single" w:color="auto" w:sz="4" w:space="0"/>
              <w:bottom w:val="single" w:color="auto" w:sz="4" w:space="0"/>
              <w:right w:val="single" w:color="auto" w:sz="4" w:space="0"/>
            </w:tcBorders>
          </w:tcPr>
          <w:p w14:paraId="1E37C407">
            <w:pPr>
              <w:rPr>
                <w:sz w:val="24"/>
              </w:rPr>
            </w:pPr>
            <w:r>
              <w:rPr>
                <w:rFonts w:hint="eastAsia"/>
                <w:sz w:val="24"/>
              </w:rPr>
              <w:t>仿真验证数据底座能力</w:t>
            </w:r>
          </w:p>
        </w:tc>
        <w:tc>
          <w:tcPr>
            <w:tcW w:w="729" w:type="pct"/>
            <w:tcBorders>
              <w:top w:val="single" w:color="auto" w:sz="4" w:space="0"/>
              <w:left w:val="single" w:color="auto" w:sz="4" w:space="0"/>
              <w:bottom w:val="single" w:color="auto" w:sz="4" w:space="0"/>
              <w:right w:val="single" w:color="auto" w:sz="4" w:space="0"/>
            </w:tcBorders>
            <w:vAlign w:val="center"/>
          </w:tcPr>
          <w:p w14:paraId="3DC79CBE">
            <w:pPr>
              <w:widowControl/>
              <w:jc w:val="left"/>
              <w:rPr>
                <w:rFonts w:cs="宋体" w:asciiTheme="minorHAnsi" w:hAnsiTheme="minorHAnsi"/>
                <w:szCs w:val="22"/>
              </w:rPr>
            </w:pPr>
            <w:r>
              <w:rPr>
                <w:rFonts w:hint="eastAsia"/>
                <w:sz w:val="24"/>
              </w:rPr>
              <w:t>1套</w:t>
            </w:r>
          </w:p>
        </w:tc>
        <w:tc>
          <w:tcPr>
            <w:tcW w:w="912" w:type="pct"/>
            <w:tcBorders>
              <w:top w:val="single" w:color="auto" w:sz="4" w:space="0"/>
              <w:left w:val="single" w:color="auto" w:sz="4" w:space="0"/>
              <w:bottom w:val="single" w:color="auto" w:sz="4" w:space="0"/>
              <w:right w:val="single" w:color="auto" w:sz="4" w:space="0"/>
            </w:tcBorders>
            <w:vAlign w:val="center"/>
          </w:tcPr>
          <w:p w14:paraId="7DE5079C">
            <w:pPr>
              <w:widowControl/>
              <w:spacing w:line="240" w:lineRule="auto"/>
              <w:jc w:val="left"/>
              <w:rPr>
                <w:rFonts w:eastAsia="等线"/>
                <w:color w:val="000000"/>
                <w:kern w:val="0"/>
                <w:sz w:val="24"/>
                <w:szCs w:val="21"/>
              </w:rPr>
            </w:pPr>
            <w:r>
              <w:rPr>
                <w:rFonts w:eastAsia="等线"/>
                <w:color w:val="000000"/>
                <w:sz w:val="24"/>
                <w:szCs w:val="21"/>
              </w:rPr>
              <w:t>80</w:t>
            </w:r>
          </w:p>
        </w:tc>
      </w:tr>
      <w:tr w14:paraId="56FA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9" w:type="pct"/>
            <w:tcBorders>
              <w:top w:val="single" w:color="auto" w:sz="4" w:space="0"/>
              <w:left w:val="single" w:color="auto" w:sz="4" w:space="0"/>
              <w:bottom w:val="single" w:color="auto" w:sz="4" w:space="0"/>
              <w:right w:val="single" w:color="auto" w:sz="4" w:space="0"/>
            </w:tcBorders>
          </w:tcPr>
          <w:p w14:paraId="2C16F027">
            <w:pPr>
              <w:rPr>
                <w:sz w:val="24"/>
              </w:rPr>
            </w:pPr>
            <w:r>
              <w:rPr>
                <w:rFonts w:hint="eastAsia"/>
                <w:sz w:val="24"/>
              </w:rPr>
              <w:t>异构工具数据接入与解析能力</w:t>
            </w:r>
          </w:p>
        </w:tc>
        <w:tc>
          <w:tcPr>
            <w:tcW w:w="729" w:type="pct"/>
            <w:tcBorders>
              <w:top w:val="single" w:color="auto" w:sz="4" w:space="0"/>
              <w:left w:val="single" w:color="auto" w:sz="4" w:space="0"/>
              <w:bottom w:val="single" w:color="auto" w:sz="4" w:space="0"/>
              <w:right w:val="single" w:color="auto" w:sz="4" w:space="0"/>
            </w:tcBorders>
            <w:vAlign w:val="center"/>
          </w:tcPr>
          <w:p w14:paraId="19615959">
            <w:pPr>
              <w:rPr>
                <w:sz w:val="24"/>
              </w:rPr>
            </w:pPr>
            <w:r>
              <w:rPr>
                <w:rFonts w:hint="eastAsia"/>
                <w:sz w:val="24"/>
              </w:rPr>
              <w:t>1套</w:t>
            </w:r>
          </w:p>
        </w:tc>
        <w:tc>
          <w:tcPr>
            <w:tcW w:w="912" w:type="pct"/>
            <w:tcBorders>
              <w:top w:val="single" w:color="auto" w:sz="4" w:space="0"/>
              <w:left w:val="single" w:color="auto" w:sz="4" w:space="0"/>
              <w:bottom w:val="single" w:color="auto" w:sz="4" w:space="0"/>
              <w:right w:val="single" w:color="auto" w:sz="4" w:space="0"/>
            </w:tcBorders>
            <w:vAlign w:val="center"/>
          </w:tcPr>
          <w:p w14:paraId="390481BF">
            <w:pPr>
              <w:rPr>
                <w:rFonts w:eastAsia="等线"/>
                <w:color w:val="000000"/>
                <w:sz w:val="24"/>
              </w:rPr>
            </w:pPr>
            <w:r>
              <w:rPr>
                <w:rFonts w:eastAsia="等线"/>
                <w:color w:val="000000"/>
                <w:sz w:val="24"/>
              </w:rPr>
              <w:t>50</w:t>
            </w:r>
          </w:p>
        </w:tc>
      </w:tr>
      <w:tr w14:paraId="2910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9" w:type="pct"/>
            <w:tcBorders>
              <w:top w:val="single" w:color="auto" w:sz="4" w:space="0"/>
              <w:left w:val="single" w:color="auto" w:sz="4" w:space="0"/>
              <w:bottom w:val="single" w:color="auto" w:sz="4" w:space="0"/>
              <w:right w:val="single" w:color="auto" w:sz="4" w:space="0"/>
            </w:tcBorders>
          </w:tcPr>
          <w:p w14:paraId="6EC945C7">
            <w:pPr>
              <w:rPr>
                <w:sz w:val="24"/>
              </w:rPr>
            </w:pPr>
            <w:r>
              <w:rPr>
                <w:rFonts w:hint="eastAsia"/>
                <w:sz w:val="24"/>
              </w:rPr>
              <w:t>仿真与半实物资源调度能力</w:t>
            </w:r>
          </w:p>
        </w:tc>
        <w:tc>
          <w:tcPr>
            <w:tcW w:w="729" w:type="pct"/>
            <w:tcBorders>
              <w:top w:val="single" w:color="auto" w:sz="4" w:space="0"/>
              <w:left w:val="single" w:color="auto" w:sz="4" w:space="0"/>
              <w:bottom w:val="single" w:color="auto" w:sz="4" w:space="0"/>
              <w:right w:val="single" w:color="auto" w:sz="4" w:space="0"/>
            </w:tcBorders>
            <w:vAlign w:val="center"/>
          </w:tcPr>
          <w:p w14:paraId="3C5FF07A">
            <w:pPr>
              <w:rPr>
                <w:sz w:val="24"/>
              </w:rPr>
            </w:pPr>
            <w:r>
              <w:rPr>
                <w:rFonts w:hint="eastAsia"/>
                <w:sz w:val="24"/>
              </w:rPr>
              <w:t>1套</w:t>
            </w:r>
          </w:p>
        </w:tc>
        <w:tc>
          <w:tcPr>
            <w:tcW w:w="912" w:type="pct"/>
            <w:tcBorders>
              <w:top w:val="single" w:color="auto" w:sz="4" w:space="0"/>
              <w:left w:val="single" w:color="auto" w:sz="4" w:space="0"/>
              <w:bottom w:val="single" w:color="auto" w:sz="4" w:space="0"/>
              <w:right w:val="single" w:color="auto" w:sz="4" w:space="0"/>
            </w:tcBorders>
            <w:vAlign w:val="center"/>
          </w:tcPr>
          <w:p w14:paraId="4ABCA201">
            <w:pPr>
              <w:rPr>
                <w:rFonts w:eastAsia="等线"/>
                <w:color w:val="000000"/>
                <w:sz w:val="24"/>
              </w:rPr>
            </w:pPr>
            <w:r>
              <w:rPr>
                <w:rFonts w:eastAsia="等线"/>
                <w:color w:val="000000"/>
                <w:sz w:val="24"/>
              </w:rPr>
              <w:t>60</w:t>
            </w:r>
          </w:p>
        </w:tc>
      </w:tr>
      <w:tr w14:paraId="67DF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9" w:type="pct"/>
            <w:tcBorders>
              <w:top w:val="single" w:color="auto" w:sz="4" w:space="0"/>
              <w:left w:val="single" w:color="auto" w:sz="4" w:space="0"/>
              <w:bottom w:val="single" w:color="auto" w:sz="4" w:space="0"/>
              <w:right w:val="single" w:color="auto" w:sz="4" w:space="0"/>
            </w:tcBorders>
          </w:tcPr>
          <w:p w14:paraId="19C70C99">
            <w:pPr>
              <w:rPr>
                <w:sz w:val="24"/>
              </w:rPr>
            </w:pPr>
            <w:r>
              <w:rPr>
                <w:rFonts w:hint="eastAsia"/>
                <w:sz w:val="24"/>
              </w:rPr>
              <w:t>仿真验证数据组织与追溯能力</w:t>
            </w:r>
          </w:p>
        </w:tc>
        <w:tc>
          <w:tcPr>
            <w:tcW w:w="729" w:type="pct"/>
            <w:tcBorders>
              <w:top w:val="single" w:color="auto" w:sz="4" w:space="0"/>
              <w:left w:val="single" w:color="auto" w:sz="4" w:space="0"/>
              <w:bottom w:val="single" w:color="auto" w:sz="4" w:space="0"/>
              <w:right w:val="single" w:color="auto" w:sz="4" w:space="0"/>
            </w:tcBorders>
            <w:vAlign w:val="center"/>
          </w:tcPr>
          <w:p w14:paraId="7D5F5EE6">
            <w:pPr>
              <w:rPr>
                <w:sz w:val="24"/>
              </w:rPr>
            </w:pPr>
            <w:r>
              <w:rPr>
                <w:rFonts w:hint="eastAsia"/>
                <w:sz w:val="24"/>
              </w:rPr>
              <w:t>1套</w:t>
            </w:r>
          </w:p>
        </w:tc>
        <w:tc>
          <w:tcPr>
            <w:tcW w:w="912" w:type="pct"/>
            <w:tcBorders>
              <w:top w:val="single" w:color="auto" w:sz="4" w:space="0"/>
              <w:left w:val="single" w:color="auto" w:sz="4" w:space="0"/>
              <w:bottom w:val="single" w:color="auto" w:sz="4" w:space="0"/>
              <w:right w:val="single" w:color="auto" w:sz="4" w:space="0"/>
            </w:tcBorders>
            <w:vAlign w:val="center"/>
          </w:tcPr>
          <w:p w14:paraId="48B37F24">
            <w:pPr>
              <w:rPr>
                <w:rFonts w:eastAsia="等线"/>
                <w:color w:val="000000"/>
                <w:sz w:val="24"/>
              </w:rPr>
            </w:pPr>
            <w:r>
              <w:rPr>
                <w:rFonts w:eastAsia="等线"/>
                <w:color w:val="000000"/>
                <w:sz w:val="24"/>
              </w:rPr>
              <w:t>80</w:t>
            </w:r>
          </w:p>
        </w:tc>
      </w:tr>
      <w:tr w14:paraId="0666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9" w:type="pct"/>
            <w:tcBorders>
              <w:top w:val="single" w:color="auto" w:sz="4" w:space="0"/>
              <w:left w:val="single" w:color="auto" w:sz="4" w:space="0"/>
              <w:bottom w:val="single" w:color="auto" w:sz="4" w:space="0"/>
              <w:right w:val="single" w:color="auto" w:sz="4" w:space="0"/>
            </w:tcBorders>
          </w:tcPr>
          <w:p w14:paraId="1D3B37EF">
            <w:pPr>
              <w:rPr>
                <w:sz w:val="24"/>
              </w:rPr>
            </w:pPr>
            <w:r>
              <w:rPr>
                <w:rFonts w:hint="eastAsia"/>
                <w:sz w:val="24"/>
              </w:rPr>
              <w:t>仿真运行观测与证据留痕能力</w:t>
            </w:r>
          </w:p>
        </w:tc>
        <w:tc>
          <w:tcPr>
            <w:tcW w:w="729" w:type="pct"/>
            <w:tcBorders>
              <w:top w:val="single" w:color="auto" w:sz="4" w:space="0"/>
              <w:left w:val="single" w:color="auto" w:sz="4" w:space="0"/>
              <w:bottom w:val="single" w:color="auto" w:sz="4" w:space="0"/>
              <w:right w:val="single" w:color="auto" w:sz="4" w:space="0"/>
            </w:tcBorders>
            <w:vAlign w:val="center"/>
          </w:tcPr>
          <w:p w14:paraId="5518521E">
            <w:pPr>
              <w:rPr>
                <w:sz w:val="24"/>
              </w:rPr>
            </w:pPr>
            <w:r>
              <w:rPr>
                <w:rFonts w:hint="eastAsia"/>
                <w:sz w:val="24"/>
              </w:rPr>
              <w:t>1套</w:t>
            </w:r>
          </w:p>
        </w:tc>
        <w:tc>
          <w:tcPr>
            <w:tcW w:w="912" w:type="pct"/>
            <w:tcBorders>
              <w:top w:val="single" w:color="auto" w:sz="4" w:space="0"/>
              <w:left w:val="single" w:color="auto" w:sz="4" w:space="0"/>
              <w:bottom w:val="single" w:color="auto" w:sz="4" w:space="0"/>
              <w:right w:val="single" w:color="auto" w:sz="4" w:space="0"/>
            </w:tcBorders>
            <w:vAlign w:val="center"/>
          </w:tcPr>
          <w:p w14:paraId="316A934B">
            <w:pPr>
              <w:rPr>
                <w:rFonts w:eastAsia="等线"/>
                <w:color w:val="000000"/>
                <w:sz w:val="24"/>
              </w:rPr>
            </w:pPr>
            <w:r>
              <w:rPr>
                <w:rFonts w:eastAsia="等线"/>
                <w:color w:val="000000"/>
                <w:sz w:val="24"/>
              </w:rPr>
              <w:t>60</w:t>
            </w:r>
          </w:p>
        </w:tc>
      </w:tr>
      <w:tr w14:paraId="4352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9" w:type="pct"/>
            <w:tcBorders>
              <w:top w:val="single" w:color="auto" w:sz="4" w:space="0"/>
              <w:left w:val="single" w:color="auto" w:sz="4" w:space="0"/>
              <w:bottom w:val="single" w:color="auto" w:sz="4" w:space="0"/>
              <w:right w:val="single" w:color="auto" w:sz="4" w:space="0"/>
            </w:tcBorders>
          </w:tcPr>
          <w:p w14:paraId="7776E304">
            <w:pPr>
              <w:rPr>
                <w:sz w:val="24"/>
              </w:rPr>
            </w:pPr>
            <w:r>
              <w:rPr>
                <w:rFonts w:hint="eastAsia"/>
                <w:sz w:val="24"/>
              </w:rPr>
              <w:t>验证基线管理能力</w:t>
            </w:r>
          </w:p>
        </w:tc>
        <w:tc>
          <w:tcPr>
            <w:tcW w:w="729" w:type="pct"/>
            <w:tcBorders>
              <w:top w:val="single" w:color="auto" w:sz="4" w:space="0"/>
              <w:left w:val="single" w:color="auto" w:sz="4" w:space="0"/>
              <w:bottom w:val="single" w:color="auto" w:sz="4" w:space="0"/>
              <w:right w:val="single" w:color="auto" w:sz="4" w:space="0"/>
            </w:tcBorders>
            <w:vAlign w:val="center"/>
          </w:tcPr>
          <w:p w14:paraId="17086FC0">
            <w:pPr>
              <w:rPr>
                <w:sz w:val="24"/>
              </w:rPr>
            </w:pPr>
            <w:r>
              <w:rPr>
                <w:rFonts w:hint="eastAsia"/>
                <w:sz w:val="24"/>
              </w:rPr>
              <w:t>1套</w:t>
            </w:r>
          </w:p>
        </w:tc>
        <w:tc>
          <w:tcPr>
            <w:tcW w:w="912" w:type="pct"/>
            <w:tcBorders>
              <w:top w:val="single" w:color="auto" w:sz="4" w:space="0"/>
              <w:left w:val="single" w:color="auto" w:sz="4" w:space="0"/>
              <w:bottom w:val="single" w:color="auto" w:sz="4" w:space="0"/>
              <w:right w:val="single" w:color="auto" w:sz="4" w:space="0"/>
            </w:tcBorders>
            <w:vAlign w:val="center"/>
          </w:tcPr>
          <w:p w14:paraId="5A4EA722">
            <w:pPr>
              <w:rPr>
                <w:rFonts w:eastAsia="等线"/>
                <w:color w:val="000000"/>
                <w:sz w:val="24"/>
              </w:rPr>
            </w:pPr>
            <w:r>
              <w:rPr>
                <w:rFonts w:eastAsia="等线"/>
                <w:color w:val="000000"/>
                <w:sz w:val="24"/>
              </w:rPr>
              <w:t>80</w:t>
            </w:r>
          </w:p>
        </w:tc>
      </w:tr>
      <w:tr w14:paraId="6E69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9" w:type="pct"/>
            <w:tcBorders>
              <w:top w:val="single" w:color="auto" w:sz="4" w:space="0"/>
              <w:left w:val="single" w:color="auto" w:sz="4" w:space="0"/>
              <w:bottom w:val="single" w:color="auto" w:sz="4" w:space="0"/>
              <w:right w:val="single" w:color="auto" w:sz="4" w:space="0"/>
            </w:tcBorders>
          </w:tcPr>
          <w:p w14:paraId="5A08DEFD">
            <w:pPr>
              <w:rPr>
                <w:sz w:val="24"/>
              </w:rPr>
            </w:pPr>
            <w:r>
              <w:rPr>
                <w:rFonts w:hint="eastAsia"/>
                <w:sz w:val="24"/>
              </w:rPr>
              <w:t>仿真任务管理</w:t>
            </w:r>
          </w:p>
        </w:tc>
        <w:tc>
          <w:tcPr>
            <w:tcW w:w="729" w:type="pct"/>
            <w:tcBorders>
              <w:top w:val="single" w:color="auto" w:sz="4" w:space="0"/>
              <w:left w:val="single" w:color="auto" w:sz="4" w:space="0"/>
              <w:bottom w:val="single" w:color="auto" w:sz="4" w:space="0"/>
              <w:right w:val="single" w:color="auto" w:sz="4" w:space="0"/>
            </w:tcBorders>
            <w:vAlign w:val="center"/>
          </w:tcPr>
          <w:p w14:paraId="3EFD5804">
            <w:pPr>
              <w:rPr>
                <w:sz w:val="24"/>
              </w:rPr>
            </w:pPr>
            <w:r>
              <w:rPr>
                <w:rFonts w:hint="eastAsia"/>
                <w:sz w:val="24"/>
              </w:rPr>
              <w:t>1套</w:t>
            </w:r>
          </w:p>
        </w:tc>
        <w:tc>
          <w:tcPr>
            <w:tcW w:w="912" w:type="pct"/>
            <w:tcBorders>
              <w:top w:val="single" w:color="auto" w:sz="4" w:space="0"/>
              <w:left w:val="single" w:color="auto" w:sz="4" w:space="0"/>
              <w:bottom w:val="single" w:color="auto" w:sz="4" w:space="0"/>
              <w:right w:val="single" w:color="auto" w:sz="4" w:space="0"/>
            </w:tcBorders>
            <w:vAlign w:val="center"/>
          </w:tcPr>
          <w:p w14:paraId="226A6127">
            <w:pPr>
              <w:rPr>
                <w:rFonts w:eastAsia="等线"/>
                <w:color w:val="000000"/>
                <w:sz w:val="24"/>
              </w:rPr>
            </w:pPr>
            <w:r>
              <w:rPr>
                <w:rFonts w:eastAsia="等线"/>
                <w:color w:val="000000"/>
                <w:sz w:val="24"/>
              </w:rPr>
              <w:t>50</w:t>
            </w:r>
          </w:p>
        </w:tc>
      </w:tr>
      <w:tr w14:paraId="1D96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9" w:type="pct"/>
            <w:tcBorders>
              <w:top w:val="single" w:color="auto" w:sz="4" w:space="0"/>
              <w:left w:val="single" w:color="auto" w:sz="4" w:space="0"/>
              <w:bottom w:val="single" w:color="auto" w:sz="4" w:space="0"/>
              <w:right w:val="single" w:color="auto" w:sz="4" w:space="0"/>
            </w:tcBorders>
          </w:tcPr>
          <w:p w14:paraId="0A8B1F3D">
            <w:pPr>
              <w:rPr>
                <w:sz w:val="24"/>
              </w:rPr>
            </w:pPr>
            <w:r>
              <w:rPr>
                <w:rFonts w:hint="eastAsia"/>
                <w:sz w:val="24"/>
              </w:rPr>
              <w:t>仿真环境装配与部署编排能力</w:t>
            </w:r>
          </w:p>
        </w:tc>
        <w:tc>
          <w:tcPr>
            <w:tcW w:w="729" w:type="pct"/>
            <w:tcBorders>
              <w:top w:val="single" w:color="auto" w:sz="4" w:space="0"/>
              <w:left w:val="single" w:color="auto" w:sz="4" w:space="0"/>
              <w:bottom w:val="single" w:color="auto" w:sz="4" w:space="0"/>
              <w:right w:val="single" w:color="auto" w:sz="4" w:space="0"/>
            </w:tcBorders>
            <w:vAlign w:val="center"/>
          </w:tcPr>
          <w:p w14:paraId="1F358024">
            <w:pPr>
              <w:rPr>
                <w:sz w:val="24"/>
              </w:rPr>
            </w:pPr>
            <w:r>
              <w:rPr>
                <w:rFonts w:hint="eastAsia"/>
                <w:sz w:val="24"/>
              </w:rPr>
              <w:t>1套</w:t>
            </w:r>
          </w:p>
        </w:tc>
        <w:tc>
          <w:tcPr>
            <w:tcW w:w="912" w:type="pct"/>
            <w:tcBorders>
              <w:top w:val="single" w:color="auto" w:sz="4" w:space="0"/>
              <w:left w:val="single" w:color="auto" w:sz="4" w:space="0"/>
              <w:bottom w:val="single" w:color="auto" w:sz="4" w:space="0"/>
              <w:right w:val="single" w:color="auto" w:sz="4" w:space="0"/>
            </w:tcBorders>
            <w:vAlign w:val="center"/>
          </w:tcPr>
          <w:p w14:paraId="45193F8E">
            <w:pPr>
              <w:rPr>
                <w:rFonts w:eastAsia="等线"/>
                <w:color w:val="000000"/>
                <w:sz w:val="24"/>
              </w:rPr>
            </w:pPr>
            <w:r>
              <w:rPr>
                <w:rFonts w:eastAsia="等线"/>
                <w:color w:val="000000"/>
                <w:sz w:val="24"/>
              </w:rPr>
              <w:t>80</w:t>
            </w:r>
          </w:p>
        </w:tc>
      </w:tr>
      <w:tr w14:paraId="19B2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9" w:type="pct"/>
            <w:tcBorders>
              <w:top w:val="single" w:color="auto" w:sz="4" w:space="0"/>
              <w:left w:val="single" w:color="auto" w:sz="4" w:space="0"/>
              <w:bottom w:val="single" w:color="auto" w:sz="4" w:space="0"/>
              <w:right w:val="single" w:color="auto" w:sz="4" w:space="0"/>
            </w:tcBorders>
          </w:tcPr>
          <w:p w14:paraId="312CF14B">
            <w:pPr>
              <w:rPr>
                <w:sz w:val="24"/>
              </w:rPr>
            </w:pPr>
            <w:r>
              <w:rPr>
                <w:rFonts w:hint="eastAsia"/>
                <w:sz w:val="24"/>
              </w:rPr>
              <w:t>仿真自动测试管理</w:t>
            </w:r>
          </w:p>
        </w:tc>
        <w:tc>
          <w:tcPr>
            <w:tcW w:w="729" w:type="pct"/>
            <w:tcBorders>
              <w:top w:val="single" w:color="auto" w:sz="4" w:space="0"/>
              <w:left w:val="single" w:color="auto" w:sz="4" w:space="0"/>
              <w:bottom w:val="single" w:color="auto" w:sz="4" w:space="0"/>
              <w:right w:val="single" w:color="auto" w:sz="4" w:space="0"/>
            </w:tcBorders>
            <w:vAlign w:val="center"/>
          </w:tcPr>
          <w:p w14:paraId="277F1CB0">
            <w:pPr>
              <w:rPr>
                <w:sz w:val="24"/>
              </w:rPr>
            </w:pPr>
            <w:r>
              <w:rPr>
                <w:rFonts w:hint="eastAsia"/>
                <w:sz w:val="24"/>
              </w:rPr>
              <w:t>1套</w:t>
            </w:r>
          </w:p>
        </w:tc>
        <w:tc>
          <w:tcPr>
            <w:tcW w:w="912" w:type="pct"/>
            <w:tcBorders>
              <w:top w:val="single" w:color="auto" w:sz="4" w:space="0"/>
              <w:left w:val="single" w:color="auto" w:sz="4" w:space="0"/>
              <w:bottom w:val="single" w:color="auto" w:sz="4" w:space="0"/>
              <w:right w:val="single" w:color="auto" w:sz="4" w:space="0"/>
            </w:tcBorders>
            <w:vAlign w:val="center"/>
          </w:tcPr>
          <w:p w14:paraId="3639A48A">
            <w:pPr>
              <w:rPr>
                <w:rFonts w:eastAsia="等线"/>
                <w:color w:val="000000"/>
                <w:sz w:val="24"/>
              </w:rPr>
            </w:pPr>
            <w:r>
              <w:rPr>
                <w:rFonts w:eastAsia="等线"/>
                <w:color w:val="000000"/>
                <w:sz w:val="24"/>
              </w:rPr>
              <w:t>60</w:t>
            </w:r>
          </w:p>
        </w:tc>
      </w:tr>
      <w:tr w14:paraId="0D01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359" w:type="pct"/>
            <w:tcBorders>
              <w:top w:val="single" w:color="auto" w:sz="4" w:space="0"/>
              <w:left w:val="single" w:color="auto" w:sz="4" w:space="0"/>
              <w:bottom w:val="single" w:color="auto" w:sz="4" w:space="0"/>
              <w:right w:val="single" w:color="auto" w:sz="4" w:space="0"/>
            </w:tcBorders>
            <w:vAlign w:val="center"/>
          </w:tcPr>
          <w:p w14:paraId="0C10F48F">
            <w:pPr>
              <w:adjustRightInd w:val="0"/>
              <w:snapToGrid w:val="0"/>
              <w:spacing w:after="120"/>
              <w:ind w:left="420" w:leftChars="200"/>
              <w:jc w:val="center"/>
              <w:rPr>
                <w:rFonts w:eastAsiaTheme="minorEastAsia"/>
                <w:b/>
                <w:bCs/>
                <w:sz w:val="24"/>
                <w:szCs w:val="22"/>
              </w:rPr>
            </w:pPr>
            <w:r>
              <w:rPr>
                <w:rFonts w:hint="eastAsia" w:eastAsiaTheme="minorEastAsia"/>
                <w:b/>
                <w:bCs/>
                <w:sz w:val="24"/>
              </w:rPr>
              <w:t>合计</w:t>
            </w:r>
          </w:p>
        </w:tc>
        <w:tc>
          <w:tcPr>
            <w:tcW w:w="729" w:type="pct"/>
            <w:tcBorders>
              <w:top w:val="single" w:color="auto" w:sz="4" w:space="0"/>
              <w:left w:val="single" w:color="auto" w:sz="4" w:space="0"/>
              <w:bottom w:val="single" w:color="auto" w:sz="4" w:space="0"/>
              <w:right w:val="single" w:color="auto" w:sz="4" w:space="0"/>
            </w:tcBorders>
            <w:vAlign w:val="center"/>
          </w:tcPr>
          <w:p w14:paraId="11A5937A">
            <w:pPr>
              <w:widowControl/>
              <w:adjustRightInd w:val="0"/>
              <w:snapToGrid w:val="0"/>
              <w:jc w:val="center"/>
              <w:rPr>
                <w:rFonts w:eastAsiaTheme="minorEastAsia"/>
                <w:sz w:val="24"/>
                <w:szCs w:val="22"/>
              </w:rPr>
            </w:pPr>
          </w:p>
        </w:tc>
        <w:tc>
          <w:tcPr>
            <w:tcW w:w="912" w:type="pct"/>
            <w:tcBorders>
              <w:top w:val="single" w:color="auto" w:sz="4" w:space="0"/>
              <w:left w:val="single" w:color="auto" w:sz="4" w:space="0"/>
              <w:bottom w:val="single" w:color="auto" w:sz="4" w:space="0"/>
              <w:right w:val="single" w:color="auto" w:sz="4" w:space="0"/>
            </w:tcBorders>
            <w:vAlign w:val="center"/>
          </w:tcPr>
          <w:p w14:paraId="3324BEDF">
            <w:pPr>
              <w:adjustRightInd w:val="0"/>
              <w:snapToGrid w:val="0"/>
              <w:spacing w:after="120"/>
              <w:ind w:firstLine="360" w:firstLineChars="150"/>
              <w:rPr>
                <w:sz w:val="24"/>
                <w:szCs w:val="22"/>
              </w:rPr>
            </w:pPr>
            <w:r>
              <w:rPr>
                <w:sz w:val="24"/>
                <w:szCs w:val="22"/>
              </w:rPr>
              <w:t>600</w:t>
            </w:r>
          </w:p>
        </w:tc>
      </w:tr>
    </w:tbl>
    <w:p w14:paraId="057BFB30">
      <w:pPr>
        <w:numPr>
          <w:ilvl w:val="0"/>
          <w:numId w:val="3"/>
        </w:numPr>
        <w:adjustRightInd w:val="0"/>
        <w:snapToGrid w:val="0"/>
        <w:spacing w:before="240" w:line="360" w:lineRule="auto"/>
        <w:outlineLvl w:val="1"/>
        <w:rPr>
          <w:rFonts w:eastAsiaTheme="minorEastAsia"/>
          <w:b/>
          <w:sz w:val="28"/>
          <w:szCs w:val="28"/>
        </w:rPr>
      </w:pPr>
      <w:bookmarkStart w:id="3" w:name="_Toc183013414"/>
      <w:bookmarkStart w:id="4" w:name="_Toc174913558"/>
      <w:r>
        <w:rPr>
          <w:rFonts w:hint="eastAsia" w:eastAsiaTheme="minorEastAsia"/>
          <w:b/>
          <w:sz w:val="28"/>
          <w:szCs w:val="28"/>
        </w:rPr>
        <w:t>建设必要性说明</w:t>
      </w:r>
      <w:bookmarkEnd w:id="3"/>
      <w:bookmarkEnd w:id="4"/>
    </w:p>
    <w:p w14:paraId="747BF2F5">
      <w:pPr>
        <w:pStyle w:val="4"/>
        <w:ind w:firstLine="560"/>
        <w:rPr>
          <w:rFonts w:cs="Times New Roman"/>
          <w:kern w:val="0"/>
          <w:szCs w:val="28"/>
        </w:rPr>
      </w:pPr>
      <w:r>
        <w:rPr>
          <w:rFonts w:hint="eastAsia" w:cs="Times New Roman"/>
          <w:kern w:val="0"/>
          <w:szCs w:val="28"/>
        </w:rPr>
        <w:t>在我所航空领域复杂系统研制，软件研发及仿真验证面临严峻挑战，一是系统复杂度高，航空领域CNX分系统硬件、网络、软件很复杂，少则几十个软件配置项，多则上百个软件配置项，没有一个完整的仿真验证平台能够对分系统的软件进行先期验证和测试，在系统架构设计或者系统设计阶段，缺乏有效的虚拟集成与仿真验证能力，无法在投入巨额开放成本前发现架构缺陷。二是“烟囱式”工具链，现有的系统和软件工具链未能有效的串联及进行数据传递，均为软件孤岛。系统设计的MagicDraw工具、软件设计的服务建模工具、FACE建模工具、SkyEye仿真工具、SOMBulid云端编译工具、SOMTool代码生成工具等工具链均为独立使用，数据手动传递，导致信息不一致、追溯困难。三是验证滞后且成本高昂，目前的软件的验证及联试，严重依赖后期实物集成测试或者物理样机，问题发现晚、修复代价指数级增长，且物理测试成本高、周期长、使用者多、边界与故障场景难复现。很多软件处理逻辑和接口问题均在真实环境下才能发现，带来系统联试周期长，系统交付压力大。</w:t>
      </w:r>
    </w:p>
    <w:p w14:paraId="594672A6">
      <w:pPr>
        <w:pStyle w:val="4"/>
        <w:ind w:firstLine="560"/>
        <w:rPr>
          <w:rFonts w:cs="Times New Roman"/>
          <w:kern w:val="0"/>
          <w:szCs w:val="28"/>
        </w:rPr>
      </w:pPr>
      <w:r>
        <w:rPr>
          <w:rFonts w:hint="eastAsia" w:cs="Times New Roman"/>
          <w:kern w:val="0"/>
          <w:szCs w:val="28"/>
        </w:rPr>
        <w:t>根据主机单位下发的远X项目《无线电通信导航监视分系统技术要求》YX20-XGD642-046文件中“体系结构”章节，需求编号：R_YSXX-TR-62300500-00370，需求正文：独立软件配置项应采用主流的开放式体系结构，支撑系统的功能扩展及软件模块的增量式开发。需求编号：R_YSXX-TR-62300500-00381，需求正文：安全关键、任务关键类软件，若涉及算法，应建立算法数学模型进行仿真验证。</w:t>
      </w:r>
    </w:p>
    <w:p w14:paraId="21E504BA">
      <w:pPr>
        <w:numPr>
          <w:ilvl w:val="0"/>
          <w:numId w:val="3"/>
        </w:numPr>
        <w:adjustRightInd w:val="0"/>
        <w:snapToGrid w:val="0"/>
        <w:spacing w:line="360" w:lineRule="auto"/>
        <w:outlineLvl w:val="1"/>
        <w:rPr>
          <w:rFonts w:eastAsiaTheme="minorEastAsia"/>
          <w:b/>
          <w:sz w:val="28"/>
          <w:szCs w:val="28"/>
        </w:rPr>
      </w:pPr>
      <w:bookmarkStart w:id="5" w:name="_Toc183013415"/>
      <w:bookmarkStart w:id="6" w:name="_Toc174913559"/>
      <w:r>
        <w:rPr>
          <w:rFonts w:hint="eastAsia" w:eastAsiaTheme="minorEastAsia"/>
          <w:b/>
          <w:sz w:val="28"/>
          <w:szCs w:val="28"/>
        </w:rPr>
        <w:t>设备的主要构成</w:t>
      </w:r>
      <w:bookmarkEnd w:id="5"/>
      <w:bookmarkEnd w:id="6"/>
    </w:p>
    <w:p w14:paraId="1AAA5E60">
      <w:pPr>
        <w:pStyle w:val="12"/>
        <w:ind w:firstLine="560"/>
      </w:pPr>
      <w:r>
        <w:rPr>
          <w:rFonts w:hint="eastAsia"/>
        </w:rPr>
        <w:t xml:space="preserve">表 </w:t>
      </w:r>
      <w:r>
        <w:rPr>
          <w:rFonts w:hint="eastAsia"/>
        </w:rPr>
        <w:fldChar w:fldCharType="begin"/>
      </w:r>
      <w:r>
        <w:rPr>
          <w:rFonts w:hint="eastAsia"/>
        </w:rPr>
        <w:instrText xml:space="preserve"> SEQ 表 \* ARABIC </w:instrText>
      </w:r>
      <w:r>
        <w:rPr>
          <w:rFonts w:hint="eastAsia"/>
        </w:rPr>
        <w:fldChar w:fldCharType="separate"/>
      </w:r>
      <w:r>
        <w:rPr>
          <w:rFonts w:hint="eastAsia"/>
        </w:rPr>
        <w:t>1</w:t>
      </w:r>
      <w:r>
        <w:rPr>
          <w:rFonts w:hint="eastAsia"/>
        </w:rPr>
        <w:fldChar w:fldCharType="end"/>
      </w:r>
      <w:r>
        <w:rPr>
          <w:rFonts w:hint="eastAsia"/>
        </w:rPr>
        <w:t>系统组成表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615"/>
        <w:gridCol w:w="3988"/>
        <w:gridCol w:w="711"/>
        <w:gridCol w:w="731"/>
        <w:gridCol w:w="746"/>
      </w:tblGrid>
      <w:tr w14:paraId="06A8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shd w:val="clear" w:color="auto" w:fill="D7D7D7" w:themeFill="background1" w:themeFillShade="D8"/>
          </w:tcPr>
          <w:p w14:paraId="280A4C41">
            <w:pPr>
              <w:rPr>
                <w:b/>
                <w:bCs/>
              </w:rPr>
            </w:pPr>
            <w:r>
              <w:rPr>
                <w:rFonts w:hint="eastAsia"/>
                <w:b/>
                <w:bCs/>
              </w:rPr>
              <w:t>序号</w:t>
            </w:r>
          </w:p>
        </w:tc>
        <w:tc>
          <w:tcPr>
            <w:tcW w:w="1615" w:type="dxa"/>
            <w:shd w:val="clear" w:color="auto" w:fill="D7D7D7" w:themeFill="background1" w:themeFillShade="D8"/>
          </w:tcPr>
          <w:p w14:paraId="12E72E48">
            <w:pPr>
              <w:rPr>
                <w:b/>
                <w:bCs/>
              </w:rPr>
            </w:pPr>
            <w:r>
              <w:rPr>
                <w:rFonts w:hint="eastAsia"/>
                <w:b/>
                <w:bCs/>
              </w:rPr>
              <w:t>名称</w:t>
            </w:r>
          </w:p>
        </w:tc>
        <w:tc>
          <w:tcPr>
            <w:tcW w:w="3988" w:type="dxa"/>
            <w:shd w:val="clear" w:color="auto" w:fill="D7D7D7" w:themeFill="background1" w:themeFillShade="D8"/>
          </w:tcPr>
          <w:p w14:paraId="3D9BF60A">
            <w:pPr>
              <w:rPr>
                <w:b/>
                <w:bCs/>
              </w:rPr>
            </w:pPr>
            <w:r>
              <w:rPr>
                <w:rFonts w:hint="eastAsia"/>
                <w:b/>
                <w:bCs/>
              </w:rPr>
              <w:t>技术指标</w:t>
            </w:r>
          </w:p>
        </w:tc>
        <w:tc>
          <w:tcPr>
            <w:tcW w:w="711" w:type="dxa"/>
            <w:shd w:val="clear" w:color="auto" w:fill="D7D7D7" w:themeFill="background1" w:themeFillShade="D8"/>
          </w:tcPr>
          <w:p w14:paraId="1ADF5891">
            <w:pPr>
              <w:rPr>
                <w:b/>
                <w:bCs/>
              </w:rPr>
            </w:pPr>
            <w:r>
              <w:rPr>
                <w:rFonts w:hint="eastAsia"/>
                <w:b/>
                <w:bCs/>
              </w:rPr>
              <w:t>数量</w:t>
            </w:r>
          </w:p>
        </w:tc>
        <w:tc>
          <w:tcPr>
            <w:tcW w:w="731" w:type="dxa"/>
            <w:shd w:val="clear" w:color="auto" w:fill="D7D7D7" w:themeFill="background1" w:themeFillShade="D8"/>
          </w:tcPr>
          <w:p w14:paraId="68C6BF75">
            <w:pPr>
              <w:rPr>
                <w:b/>
                <w:bCs/>
              </w:rPr>
            </w:pPr>
            <w:r>
              <w:rPr>
                <w:rFonts w:hint="eastAsia"/>
                <w:b/>
                <w:bCs/>
              </w:rPr>
              <w:t>单位</w:t>
            </w:r>
          </w:p>
        </w:tc>
        <w:tc>
          <w:tcPr>
            <w:tcW w:w="746" w:type="dxa"/>
            <w:shd w:val="clear" w:color="auto" w:fill="D7D7D7" w:themeFill="background1" w:themeFillShade="D8"/>
          </w:tcPr>
          <w:p w14:paraId="12CEDB0E">
            <w:pPr>
              <w:rPr>
                <w:b/>
                <w:bCs/>
              </w:rPr>
            </w:pPr>
            <w:r>
              <w:rPr>
                <w:rFonts w:hint="eastAsia"/>
                <w:b/>
                <w:bCs/>
              </w:rPr>
              <w:t>备注</w:t>
            </w:r>
          </w:p>
        </w:tc>
      </w:tr>
      <w:tr w14:paraId="6DEF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68B28125">
            <w:r>
              <w:rPr>
                <w:rFonts w:hint="eastAsia"/>
              </w:rPr>
              <w:t>1</w:t>
            </w:r>
          </w:p>
        </w:tc>
        <w:tc>
          <w:tcPr>
            <w:tcW w:w="1615" w:type="dxa"/>
          </w:tcPr>
          <w:p w14:paraId="581705DC">
            <w:r>
              <w:rPr>
                <w:rFonts w:hint="eastAsia"/>
              </w:rPr>
              <w:t>仿真验证数据底座能力</w:t>
            </w:r>
          </w:p>
        </w:tc>
        <w:tc>
          <w:tcPr>
            <w:tcW w:w="3988" w:type="dxa"/>
          </w:tcPr>
          <w:p w14:paraId="06F708FD">
            <w:r>
              <w:rPr>
                <w:rFonts w:hint="eastAsia"/>
              </w:rPr>
              <w:t>（1）采用国产数据库，数据库部署支持国产服务器；</w:t>
            </w:r>
          </w:p>
          <w:p w14:paraId="68F2ECF7">
            <w:r>
              <w:rPr>
                <w:rFonts w:hint="eastAsia"/>
              </w:rPr>
              <w:t>（2）支持不少于5类数据对象统一存储与索引，包括仿真资源信息、模型与接口数据、测试用例、运行记录、结果证据包等；</w:t>
            </w:r>
          </w:p>
          <w:p w14:paraId="1F1E727E">
            <w:pPr>
              <w:rPr>
                <w:rFonts w:hint="eastAsia"/>
                <w:highlight w:val="yellow"/>
              </w:rPr>
            </w:pPr>
            <w:r>
              <w:rPr>
                <w:rFonts w:hint="eastAsia"/>
                <w:highlight w:val="yellow"/>
              </w:rPr>
              <w:t>（3）支持结构化、半结构化数据</w:t>
            </w:r>
            <w:r>
              <w:rPr>
                <w:rFonts w:hint="eastAsia"/>
                <w:highlight w:val="yellow"/>
                <w:lang w:eastAsia="zh-CN"/>
              </w:rPr>
              <w:t>、</w:t>
            </w:r>
            <w:r>
              <w:rPr>
                <w:rFonts w:hint="eastAsia"/>
                <w:highlight w:val="yellow"/>
                <w:lang w:val="en-US" w:eastAsia="zh-CN"/>
              </w:rPr>
              <w:t>图像与多媒体数据</w:t>
            </w:r>
            <w:r>
              <w:rPr>
                <w:rFonts w:hint="eastAsia"/>
                <w:highlight w:val="yellow"/>
              </w:rPr>
              <w:t>存储；</w:t>
            </w:r>
          </w:p>
          <w:p w14:paraId="44DD8B76">
            <w:pPr>
              <w:rPr>
                <w:rFonts w:hint="eastAsia"/>
              </w:rPr>
            </w:pPr>
            <w:r>
              <w:rPr>
                <w:rFonts w:hint="eastAsia"/>
              </w:rPr>
              <w:t>（4）关键数据查询响应时间不高于3秒；</w:t>
            </w:r>
          </w:p>
          <w:p w14:paraId="7C7C15FD">
            <w:pPr>
              <w:rPr>
                <w:rFonts w:hint="eastAsia"/>
                <w:highlight w:val="yellow"/>
                <w:lang w:val="en-US" w:eastAsia="zh-CN"/>
              </w:rPr>
            </w:pPr>
            <w:r>
              <w:rPr>
                <w:rFonts w:hint="eastAsia"/>
                <w:lang w:eastAsia="zh-CN"/>
              </w:rPr>
              <w:t>（</w:t>
            </w:r>
            <w:r>
              <w:rPr>
                <w:rFonts w:hint="eastAsia"/>
                <w:lang w:val="en-US" w:eastAsia="zh-CN"/>
              </w:rPr>
              <w:t>5）</w:t>
            </w:r>
            <w:r>
              <w:rPr>
                <w:rFonts w:hint="eastAsia"/>
                <w:highlight w:val="yellow"/>
                <w:lang w:val="en-US" w:eastAsia="zh-CN"/>
              </w:rPr>
              <w:t>支持通过离线导入、实时数据抽取等方式进行数据的接入；</w:t>
            </w:r>
          </w:p>
          <w:p w14:paraId="5AFAB3F0">
            <w:pPr>
              <w:rPr>
                <w:rFonts w:hint="eastAsia"/>
                <w:lang w:val="en-US" w:eastAsia="zh-CN"/>
              </w:rPr>
            </w:pPr>
            <w:r>
              <w:rPr>
                <w:rFonts w:hint="eastAsia"/>
                <w:lang w:val="en-US" w:eastAsia="zh-CN"/>
              </w:rPr>
              <w:t>（6）</w:t>
            </w:r>
            <w:r>
              <w:rPr>
                <w:rFonts w:hint="eastAsia"/>
                <w:highlight w:val="yellow"/>
                <w:lang w:val="en-US" w:eastAsia="zh-CN"/>
              </w:rPr>
              <w:t>具备数据加密与访问控制能力，确保敏感数据的安全性与合规性。</w:t>
            </w:r>
          </w:p>
          <w:p w14:paraId="5100A0C0">
            <w:pPr>
              <w:rPr>
                <w:rFonts w:hint="eastAsia"/>
                <w:lang w:val="en-US" w:eastAsia="zh-CN"/>
              </w:rPr>
            </w:pPr>
            <w:r>
              <w:rPr>
                <w:rFonts w:hint="eastAsia"/>
                <w:lang w:val="en-US" w:eastAsia="zh-CN"/>
              </w:rPr>
              <w:t>（</w:t>
            </w:r>
            <w:r>
              <w:rPr>
                <w:rFonts w:hint="eastAsia"/>
                <w:highlight w:val="yellow"/>
                <w:lang w:val="en-US" w:eastAsia="zh-CN"/>
              </w:rPr>
              <w:t>7）支持对仿真验证数据的统计分析，发现潜在的关联性与趋势，为决策提供支持；</w:t>
            </w:r>
          </w:p>
          <w:p w14:paraId="641E586B">
            <w:pPr>
              <w:rPr>
                <w:rFonts w:hint="default"/>
                <w:lang w:val="en-US" w:eastAsia="zh-CN"/>
              </w:rPr>
            </w:pPr>
            <w:r>
              <w:rPr>
                <w:rFonts w:hint="eastAsia"/>
                <w:lang w:val="en-US" w:eastAsia="zh-CN"/>
              </w:rPr>
              <w:t>（8）</w:t>
            </w:r>
            <w:r>
              <w:rPr>
                <w:rFonts w:hint="eastAsia"/>
                <w:highlight w:val="yellow"/>
                <w:lang w:val="en-US" w:eastAsia="zh-CN"/>
              </w:rPr>
              <w:t>支持</w:t>
            </w:r>
            <w:r>
              <w:rPr>
                <w:rFonts w:hint="default"/>
                <w:highlight w:val="yellow"/>
                <w:lang w:val="en-US" w:eastAsia="zh-CN"/>
              </w:rPr>
              <w:t>根据标准ICD（接口控制文档）生成的</w:t>
            </w:r>
            <w:r>
              <w:rPr>
                <w:rFonts w:hint="eastAsia"/>
                <w:highlight w:val="yellow"/>
                <w:lang w:val="en-US" w:eastAsia="zh-CN"/>
              </w:rPr>
              <w:t>C/</w:t>
            </w:r>
            <w:r>
              <w:rPr>
                <w:rFonts w:hint="default"/>
                <w:highlight w:val="yellow"/>
                <w:lang w:val="en-US" w:eastAsia="zh-CN"/>
              </w:rPr>
              <w:t>C++接口代码，编译通过率不低于80%</w:t>
            </w:r>
            <w:r>
              <w:rPr>
                <w:rFonts w:hint="eastAsia"/>
                <w:highlight w:val="yellow"/>
                <w:lang w:val="en-US" w:eastAsia="zh-CN"/>
              </w:rPr>
              <w:t>；</w:t>
            </w:r>
          </w:p>
        </w:tc>
        <w:tc>
          <w:tcPr>
            <w:tcW w:w="711" w:type="dxa"/>
          </w:tcPr>
          <w:p w14:paraId="31DF8EEE">
            <w:r>
              <w:rPr>
                <w:rFonts w:hint="eastAsia"/>
              </w:rPr>
              <w:t>1</w:t>
            </w:r>
          </w:p>
        </w:tc>
        <w:tc>
          <w:tcPr>
            <w:tcW w:w="731" w:type="dxa"/>
          </w:tcPr>
          <w:p w14:paraId="4A9F6924">
            <w:r>
              <w:rPr>
                <w:rFonts w:hint="eastAsia"/>
              </w:rPr>
              <w:t>套</w:t>
            </w:r>
          </w:p>
        </w:tc>
        <w:tc>
          <w:tcPr>
            <w:tcW w:w="746" w:type="dxa"/>
          </w:tcPr>
          <w:p w14:paraId="6B1BA6AC">
            <w:r>
              <w:rPr>
                <w:rFonts w:hint="eastAsia"/>
              </w:rPr>
              <w:t>新增</w:t>
            </w:r>
          </w:p>
        </w:tc>
      </w:tr>
      <w:tr w14:paraId="752E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71ED779A">
            <w:r>
              <w:rPr>
                <w:rFonts w:hint="eastAsia"/>
              </w:rPr>
              <w:t>2</w:t>
            </w:r>
          </w:p>
        </w:tc>
        <w:tc>
          <w:tcPr>
            <w:tcW w:w="1615" w:type="dxa"/>
          </w:tcPr>
          <w:p w14:paraId="7B88161D">
            <w:r>
              <w:rPr>
                <w:rFonts w:hint="eastAsia"/>
              </w:rPr>
              <w:t>异构工具数据接入与解析能力</w:t>
            </w:r>
          </w:p>
        </w:tc>
        <w:tc>
          <w:tcPr>
            <w:tcW w:w="3988" w:type="dxa"/>
          </w:tcPr>
          <w:p w14:paraId="219CC66D">
            <w:pPr>
              <w:numPr>
                <w:ilvl w:val="0"/>
                <w:numId w:val="5"/>
              </w:numPr>
              <w:spacing w:line="360" w:lineRule="auto"/>
            </w:pPr>
            <w:r>
              <w:rPr>
                <w:rFonts w:hint="eastAsia"/>
              </w:rPr>
              <w:t>支持不少于4类异构工具或数据源接入，包括MagicDraw、服务建模工具、FACE建模工具、SOMTools；</w:t>
            </w:r>
          </w:p>
          <w:p w14:paraId="1E9CAB53">
            <w:pPr>
              <w:numPr>
                <w:ilvl w:val="0"/>
                <w:numId w:val="5"/>
              </w:numPr>
              <w:spacing w:line="360" w:lineRule="auto"/>
              <w:rPr>
                <w:highlight w:val="yellow"/>
              </w:rPr>
            </w:pPr>
            <w:r>
              <w:rPr>
                <w:rFonts w:hint="eastAsia"/>
                <w:highlight w:val="yellow"/>
                <w:lang w:val="en-US" w:eastAsia="zh-CN"/>
              </w:rPr>
              <w:t>支持基于MCP、CLI协议实现对工具的接入；</w:t>
            </w:r>
          </w:p>
          <w:p w14:paraId="1810E97A">
            <w:pPr>
              <w:numPr>
                <w:ilvl w:val="0"/>
                <w:numId w:val="5"/>
              </w:numPr>
              <w:spacing w:line="360" w:lineRule="auto"/>
            </w:pPr>
            <w:r>
              <w:rPr>
                <w:rFonts w:hint="eastAsia"/>
              </w:rPr>
              <w:t>支持需求条目、模型元素、接口定义、参数配置、测试数据等不少于5类对象解析；</w:t>
            </w:r>
          </w:p>
          <w:p w14:paraId="40730E83">
            <w:pPr>
              <w:numPr>
                <w:ilvl w:val="0"/>
                <w:numId w:val="5"/>
              </w:numPr>
              <w:spacing w:line="360" w:lineRule="auto"/>
            </w:pPr>
            <w:r>
              <w:rPr>
                <w:rFonts w:hint="eastAsia"/>
              </w:rPr>
              <w:t>支持统一交换接口和基础语义映射；</w:t>
            </w:r>
          </w:p>
          <w:p w14:paraId="27216FC7">
            <w:pPr>
              <w:numPr>
                <w:ilvl w:val="0"/>
                <w:numId w:val="5"/>
              </w:numPr>
              <w:spacing w:line="360" w:lineRule="auto"/>
            </w:pPr>
            <w:r>
              <w:rPr>
                <w:rFonts w:hint="eastAsia"/>
              </w:rPr>
              <w:t>支持解析结果可视化展示、差异分析和版本比对。</w:t>
            </w:r>
          </w:p>
          <w:p w14:paraId="79867B69">
            <w:pPr>
              <w:numPr>
                <w:ilvl w:val="0"/>
                <w:numId w:val="5"/>
              </w:numPr>
              <w:spacing w:line="360" w:lineRule="auto"/>
              <w:rPr>
                <w:highlight w:val="yellow"/>
              </w:rPr>
            </w:pPr>
            <w:r>
              <w:rPr>
                <w:rFonts w:hint="eastAsia"/>
                <w:highlight w:val="yellow"/>
                <w:lang w:val="en-US" w:eastAsia="zh-CN"/>
              </w:rPr>
              <w:t>支持</w:t>
            </w:r>
            <w:r>
              <w:rPr>
                <w:rFonts w:hint="eastAsia"/>
                <w:highlight w:val="yellow"/>
              </w:rPr>
              <w:t>自动识别不同工具的数据格式，智能化解析数据内容</w:t>
            </w:r>
            <w:r>
              <w:rPr>
                <w:rFonts w:hint="eastAsia"/>
                <w:highlight w:val="yellow"/>
                <w:lang w:val="en-US" w:eastAsia="zh-CN"/>
              </w:rPr>
              <w:t>并形成统一标准格式</w:t>
            </w:r>
            <w:r>
              <w:rPr>
                <w:rFonts w:hint="eastAsia"/>
                <w:highlight w:val="yellow"/>
              </w:rPr>
              <w:t>。</w:t>
            </w:r>
          </w:p>
          <w:p w14:paraId="0620C76E">
            <w:pPr>
              <w:numPr>
                <w:ilvl w:val="0"/>
                <w:numId w:val="5"/>
              </w:numPr>
              <w:spacing w:line="360" w:lineRule="auto"/>
            </w:pPr>
            <w:r>
              <w:rPr>
                <w:rFonts w:hint="eastAsia"/>
                <w:highlight w:val="yellow"/>
              </w:rPr>
              <w:t>提供自动化接口测试工具，支持对数据交换接口的功能与性能验证。</w:t>
            </w:r>
          </w:p>
        </w:tc>
        <w:tc>
          <w:tcPr>
            <w:tcW w:w="711" w:type="dxa"/>
          </w:tcPr>
          <w:p w14:paraId="0FA25FF6">
            <w:r>
              <w:rPr>
                <w:rFonts w:hint="eastAsia"/>
              </w:rPr>
              <w:t>1</w:t>
            </w:r>
          </w:p>
        </w:tc>
        <w:tc>
          <w:tcPr>
            <w:tcW w:w="731" w:type="dxa"/>
          </w:tcPr>
          <w:p w14:paraId="65750925">
            <w:r>
              <w:rPr>
                <w:rFonts w:hint="eastAsia"/>
              </w:rPr>
              <w:t>套</w:t>
            </w:r>
          </w:p>
        </w:tc>
        <w:tc>
          <w:tcPr>
            <w:tcW w:w="746" w:type="dxa"/>
          </w:tcPr>
          <w:p w14:paraId="63006221">
            <w:r>
              <w:rPr>
                <w:rFonts w:hint="eastAsia"/>
              </w:rPr>
              <w:t>新增</w:t>
            </w:r>
          </w:p>
        </w:tc>
      </w:tr>
      <w:tr w14:paraId="558A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16FBCA60">
            <w:r>
              <w:rPr>
                <w:rFonts w:hint="eastAsia"/>
              </w:rPr>
              <w:t>3</w:t>
            </w:r>
          </w:p>
        </w:tc>
        <w:tc>
          <w:tcPr>
            <w:tcW w:w="1615" w:type="dxa"/>
          </w:tcPr>
          <w:p w14:paraId="44B36248">
            <w:r>
              <w:rPr>
                <w:rFonts w:hint="eastAsia"/>
              </w:rPr>
              <w:t>仿真与半实物资源调度能力</w:t>
            </w:r>
          </w:p>
        </w:tc>
        <w:tc>
          <w:tcPr>
            <w:tcW w:w="3988" w:type="dxa"/>
          </w:tcPr>
          <w:p w14:paraId="307B6526">
            <w:pPr>
              <w:numPr>
                <w:ilvl w:val="0"/>
                <w:numId w:val="6"/>
              </w:numPr>
              <w:spacing w:line="360" w:lineRule="auto"/>
            </w:pPr>
            <w:r>
              <w:rPr>
                <w:rFonts w:hint="eastAsia"/>
              </w:rPr>
              <w:t>支持服务器、仿真单板、网络接口设备、虚拟机和容器等不少于6类资源统一纳管；</w:t>
            </w:r>
          </w:p>
          <w:p w14:paraId="723C2E8A">
            <w:pPr>
              <w:numPr>
                <w:ilvl w:val="0"/>
                <w:numId w:val="6"/>
              </w:numPr>
              <w:spacing w:line="360" w:lineRule="auto"/>
            </w:pPr>
            <w:r>
              <w:rPr>
                <w:rFonts w:hint="eastAsia"/>
              </w:rPr>
              <w:t>支持资源发现、编组、配置、启动、回收和状态监测；</w:t>
            </w:r>
          </w:p>
          <w:p w14:paraId="7A7603CB">
            <w:pPr>
              <w:numPr>
                <w:ilvl w:val="0"/>
                <w:numId w:val="6"/>
              </w:numPr>
              <w:spacing w:line="360" w:lineRule="auto"/>
            </w:pPr>
            <w:r>
              <w:rPr>
                <w:rFonts w:hint="eastAsia"/>
              </w:rPr>
              <w:t>支持按项目和任务进行资源分配；</w:t>
            </w:r>
          </w:p>
          <w:p w14:paraId="2B5583F8">
            <w:pPr>
              <w:numPr>
                <w:ilvl w:val="0"/>
                <w:numId w:val="6"/>
              </w:numPr>
              <w:spacing w:line="360" w:lineRule="auto"/>
            </w:pPr>
            <w:r>
              <w:rPr>
                <w:rFonts w:hint="eastAsia"/>
              </w:rPr>
              <w:t>支持资源状态在线展示与统计，管理资源数&gt;100个；</w:t>
            </w:r>
          </w:p>
          <w:p w14:paraId="1A1DBC0F">
            <w:pPr>
              <w:numPr>
                <w:ilvl w:val="0"/>
                <w:numId w:val="6"/>
              </w:numPr>
              <w:spacing w:line="360" w:lineRule="auto"/>
            </w:pPr>
            <w:r>
              <w:rPr>
                <w:rFonts w:hint="eastAsia"/>
              </w:rPr>
              <w:t>任务资源准备时间宜不高于10分钟。</w:t>
            </w:r>
          </w:p>
        </w:tc>
        <w:tc>
          <w:tcPr>
            <w:tcW w:w="711" w:type="dxa"/>
          </w:tcPr>
          <w:p w14:paraId="7EAB8FF6">
            <w:r>
              <w:rPr>
                <w:rFonts w:hint="eastAsia"/>
              </w:rPr>
              <w:t>1</w:t>
            </w:r>
          </w:p>
        </w:tc>
        <w:tc>
          <w:tcPr>
            <w:tcW w:w="731" w:type="dxa"/>
          </w:tcPr>
          <w:p w14:paraId="1EC256EE">
            <w:r>
              <w:rPr>
                <w:rFonts w:hint="eastAsia"/>
              </w:rPr>
              <w:t>套</w:t>
            </w:r>
          </w:p>
        </w:tc>
        <w:tc>
          <w:tcPr>
            <w:tcW w:w="746" w:type="dxa"/>
          </w:tcPr>
          <w:p w14:paraId="613A1DAC">
            <w:r>
              <w:rPr>
                <w:rFonts w:hint="eastAsia"/>
              </w:rPr>
              <w:t>新增</w:t>
            </w:r>
          </w:p>
        </w:tc>
      </w:tr>
      <w:tr w14:paraId="7F88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6B86FB42">
            <w:r>
              <w:rPr>
                <w:rFonts w:hint="eastAsia"/>
              </w:rPr>
              <w:t>4</w:t>
            </w:r>
          </w:p>
        </w:tc>
        <w:tc>
          <w:tcPr>
            <w:tcW w:w="1615" w:type="dxa"/>
          </w:tcPr>
          <w:p w14:paraId="77590849">
            <w:r>
              <w:rPr>
                <w:rFonts w:hint="eastAsia"/>
              </w:rPr>
              <w:t>仿真验证数据组织与追溯能力</w:t>
            </w:r>
          </w:p>
        </w:tc>
        <w:tc>
          <w:tcPr>
            <w:tcW w:w="3988" w:type="dxa"/>
          </w:tcPr>
          <w:p w14:paraId="0D8FAF18">
            <w:pPr>
              <w:numPr>
                <w:ilvl w:val="0"/>
                <w:numId w:val="7"/>
              </w:numPr>
              <w:spacing w:line="360" w:lineRule="auto"/>
            </w:pPr>
            <w:r>
              <w:rPr>
                <w:rFonts w:hint="eastAsia"/>
              </w:rPr>
              <w:t>支持需求条目、模型数据、接口参数、工况配置、测试输入输出和验证结论等数据对象统一组织；</w:t>
            </w:r>
          </w:p>
          <w:p w14:paraId="4E99F0A9">
            <w:pPr>
              <w:numPr>
                <w:ilvl w:val="0"/>
                <w:numId w:val="7"/>
              </w:numPr>
              <w:spacing w:line="360" w:lineRule="auto"/>
            </w:pPr>
            <w:r>
              <w:rPr>
                <w:rFonts w:hint="eastAsia"/>
              </w:rPr>
              <w:t>支持版本关联、差异比对和追溯</w:t>
            </w:r>
            <w:r>
              <w:rPr>
                <w:rFonts w:hint="eastAsia"/>
                <w:lang w:eastAsia="zh-CN"/>
              </w:rPr>
              <w:t>，支持对比对结果的可视化展示，帮助用户快速理解数据变化。</w:t>
            </w:r>
          </w:p>
          <w:p w14:paraId="6A429251">
            <w:pPr>
              <w:numPr>
                <w:ilvl w:val="0"/>
                <w:numId w:val="7"/>
              </w:numPr>
              <w:spacing w:line="360" w:lineRule="auto"/>
            </w:pPr>
            <w:r>
              <w:rPr>
                <w:rFonts w:hint="eastAsia"/>
              </w:rPr>
              <w:t>支持验证过程输入、执行记录、输出结果全链路关联；</w:t>
            </w:r>
          </w:p>
          <w:p w14:paraId="2BE43E33">
            <w:pPr>
              <w:numPr>
                <w:ilvl w:val="0"/>
                <w:numId w:val="7"/>
              </w:numPr>
              <w:spacing w:line="360" w:lineRule="auto"/>
            </w:pPr>
            <w:r>
              <w:rPr>
                <w:rFonts w:hint="eastAsia"/>
              </w:rPr>
              <w:t>支持按任务、时间、对象维度进行检索与追溯。</w:t>
            </w:r>
          </w:p>
        </w:tc>
        <w:tc>
          <w:tcPr>
            <w:tcW w:w="711" w:type="dxa"/>
          </w:tcPr>
          <w:p w14:paraId="63915A78">
            <w:r>
              <w:rPr>
                <w:rFonts w:hint="eastAsia"/>
              </w:rPr>
              <w:t>1</w:t>
            </w:r>
          </w:p>
        </w:tc>
        <w:tc>
          <w:tcPr>
            <w:tcW w:w="731" w:type="dxa"/>
          </w:tcPr>
          <w:p w14:paraId="77D34686">
            <w:r>
              <w:rPr>
                <w:rFonts w:hint="eastAsia"/>
              </w:rPr>
              <w:t>套</w:t>
            </w:r>
          </w:p>
        </w:tc>
        <w:tc>
          <w:tcPr>
            <w:tcW w:w="746" w:type="dxa"/>
          </w:tcPr>
          <w:p w14:paraId="4D696BC5">
            <w:r>
              <w:rPr>
                <w:rFonts w:hint="eastAsia"/>
              </w:rPr>
              <w:t>新增</w:t>
            </w:r>
          </w:p>
        </w:tc>
      </w:tr>
      <w:tr w14:paraId="51F3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0604433B">
            <w:r>
              <w:rPr>
                <w:rFonts w:hint="eastAsia"/>
              </w:rPr>
              <w:t>5</w:t>
            </w:r>
          </w:p>
        </w:tc>
        <w:tc>
          <w:tcPr>
            <w:tcW w:w="1615" w:type="dxa"/>
          </w:tcPr>
          <w:p w14:paraId="6189DD66">
            <w:r>
              <w:rPr>
                <w:rFonts w:hint="eastAsia"/>
              </w:rPr>
              <w:t>仿真运行观测与证据留痕能力</w:t>
            </w:r>
          </w:p>
        </w:tc>
        <w:tc>
          <w:tcPr>
            <w:tcW w:w="3988" w:type="dxa"/>
          </w:tcPr>
          <w:p w14:paraId="1DFCAC8E">
            <w:pPr>
              <w:numPr>
                <w:ilvl w:val="0"/>
                <w:numId w:val="8"/>
              </w:numPr>
              <w:spacing w:line="360" w:lineRule="auto"/>
            </w:pPr>
            <w:r>
              <w:rPr>
                <w:rFonts w:hint="eastAsia"/>
              </w:rPr>
              <w:t>支持系统日志、测试日志、仿真日志、运行日志和关键时序事件等信息统一采集；</w:t>
            </w:r>
          </w:p>
          <w:p w14:paraId="5B91129A">
            <w:pPr>
              <w:numPr>
                <w:ilvl w:val="0"/>
                <w:numId w:val="8"/>
              </w:numPr>
              <w:spacing w:line="360" w:lineRule="auto"/>
              <w:rPr>
                <w:highlight w:val="yellow"/>
              </w:rPr>
            </w:pPr>
            <w:r>
              <w:rPr>
                <w:rFonts w:hint="eastAsia"/>
                <w:highlight w:val="yellow"/>
                <w:lang w:val="en-US" w:eastAsia="zh-CN"/>
              </w:rPr>
              <w:t>支持</w:t>
            </w:r>
            <w:r>
              <w:rPr>
                <w:rFonts w:hint="eastAsia"/>
                <w:highlight w:val="yellow"/>
              </w:rPr>
              <w:t>日志内容的智能分析，自动识别和分类日志信息</w:t>
            </w:r>
            <w:r>
              <w:rPr>
                <w:rFonts w:hint="eastAsia"/>
                <w:highlight w:val="yellow"/>
                <w:lang w:eastAsia="zh-CN"/>
              </w:rPr>
              <w:t>；</w:t>
            </w:r>
          </w:p>
          <w:p w14:paraId="0DCE5EDE">
            <w:pPr>
              <w:numPr>
                <w:ilvl w:val="0"/>
                <w:numId w:val="8"/>
              </w:numPr>
              <w:spacing w:line="360" w:lineRule="auto"/>
            </w:pPr>
            <w:r>
              <w:rPr>
                <w:rFonts w:hint="eastAsia"/>
                <w:highlight w:val="yellow"/>
              </w:rPr>
              <w:t>支持多维度</w:t>
            </w:r>
            <w:r>
              <w:rPr>
                <w:rFonts w:hint="eastAsia"/>
                <w:highlight w:val="yellow"/>
                <w:lang w:eastAsia="zh-CN"/>
              </w:rPr>
              <w:t>（</w:t>
            </w:r>
            <w:r>
              <w:rPr>
                <w:rFonts w:hint="eastAsia"/>
                <w:highlight w:val="yellow"/>
              </w:rPr>
              <w:t>如按时间、事件类型、严重程度等</w:t>
            </w:r>
            <w:r>
              <w:rPr>
                <w:rFonts w:hint="eastAsia"/>
                <w:highlight w:val="yellow"/>
                <w:lang w:eastAsia="zh-CN"/>
              </w:rPr>
              <w:t>）</w:t>
            </w:r>
            <w:r>
              <w:rPr>
                <w:rFonts w:hint="eastAsia"/>
                <w:highlight w:val="yellow"/>
              </w:rPr>
              <w:t>的日志查询</w:t>
            </w:r>
            <w:r>
              <w:rPr>
                <w:rFonts w:hint="eastAsia"/>
                <w:highlight w:val="yellow"/>
                <w:lang w:eastAsia="zh-CN"/>
              </w:rPr>
              <w:t>、</w:t>
            </w:r>
            <w:r>
              <w:rPr>
                <w:rFonts w:hint="eastAsia"/>
                <w:highlight w:val="yellow"/>
                <w:lang w:val="en-US" w:eastAsia="zh-CN"/>
              </w:rPr>
              <w:t>过滤与导出</w:t>
            </w:r>
            <w:r>
              <w:rPr>
                <w:rFonts w:hint="eastAsia"/>
              </w:rPr>
              <w:t>；</w:t>
            </w:r>
          </w:p>
          <w:p w14:paraId="7A08A202">
            <w:pPr>
              <w:numPr>
                <w:ilvl w:val="0"/>
                <w:numId w:val="8"/>
              </w:numPr>
              <w:spacing w:line="360" w:lineRule="auto"/>
              <w:rPr>
                <w:highlight w:val="yellow"/>
              </w:rPr>
            </w:pPr>
            <w:r>
              <w:rPr>
                <w:rFonts w:hint="eastAsia"/>
                <w:highlight w:val="yellow"/>
                <w:lang w:val="en-US" w:eastAsia="zh-CN"/>
              </w:rPr>
              <w:t>支持通过自然语言实现日志的查询、分析与可视化展示。</w:t>
            </w:r>
          </w:p>
          <w:p w14:paraId="590903E0">
            <w:pPr>
              <w:numPr>
                <w:ilvl w:val="0"/>
                <w:numId w:val="8"/>
              </w:numPr>
              <w:spacing w:line="360" w:lineRule="auto"/>
              <w:rPr>
                <w:highlight w:val="yellow"/>
              </w:rPr>
            </w:pPr>
            <w:r>
              <w:rPr>
                <w:rFonts w:hint="eastAsia"/>
                <w:highlight w:val="yellow"/>
              </w:rPr>
              <w:t>通过可视化工具，支持对仿真运行过程的回放，帮助用户理解问题发生的原因</w:t>
            </w:r>
            <w:r>
              <w:rPr>
                <w:rFonts w:hint="eastAsia"/>
                <w:highlight w:val="yellow"/>
                <w:lang w:eastAsia="zh-CN"/>
              </w:rPr>
              <w:t>；</w:t>
            </w:r>
          </w:p>
          <w:p w14:paraId="2836D55B">
            <w:pPr>
              <w:numPr>
                <w:ilvl w:val="0"/>
                <w:numId w:val="8"/>
              </w:numPr>
              <w:spacing w:line="360" w:lineRule="auto"/>
            </w:pPr>
            <w:r>
              <w:rPr>
                <w:rFonts w:hint="eastAsia"/>
              </w:rPr>
              <w:t>支持关键过程留痕和证据固化；</w:t>
            </w:r>
          </w:p>
          <w:p w14:paraId="5236998B">
            <w:pPr>
              <w:numPr>
                <w:ilvl w:val="0"/>
                <w:numId w:val="8"/>
              </w:numPr>
              <w:spacing w:line="360" w:lineRule="auto"/>
            </w:pPr>
            <w:r>
              <w:rPr>
                <w:rFonts w:hint="eastAsia"/>
              </w:rPr>
              <w:t>支持异常定位和结果复盘；</w:t>
            </w:r>
          </w:p>
          <w:p w14:paraId="7901D7A2">
            <w:pPr>
              <w:numPr>
                <w:ilvl w:val="0"/>
                <w:numId w:val="8"/>
              </w:numPr>
              <w:spacing w:line="360" w:lineRule="auto"/>
            </w:pPr>
            <w:r>
              <w:rPr>
                <w:rFonts w:hint="eastAsia"/>
              </w:rPr>
              <w:t>日志留存周期不少于12个月。</w:t>
            </w:r>
          </w:p>
        </w:tc>
        <w:tc>
          <w:tcPr>
            <w:tcW w:w="711" w:type="dxa"/>
          </w:tcPr>
          <w:p w14:paraId="130C5FB8">
            <w:r>
              <w:rPr>
                <w:rFonts w:hint="eastAsia"/>
              </w:rPr>
              <w:t>1</w:t>
            </w:r>
          </w:p>
        </w:tc>
        <w:tc>
          <w:tcPr>
            <w:tcW w:w="731" w:type="dxa"/>
          </w:tcPr>
          <w:p w14:paraId="7D2F77D3">
            <w:r>
              <w:rPr>
                <w:rFonts w:hint="eastAsia"/>
              </w:rPr>
              <w:t>套</w:t>
            </w:r>
          </w:p>
        </w:tc>
        <w:tc>
          <w:tcPr>
            <w:tcW w:w="746" w:type="dxa"/>
          </w:tcPr>
          <w:p w14:paraId="19E4AD14">
            <w:r>
              <w:rPr>
                <w:rFonts w:hint="eastAsia"/>
              </w:rPr>
              <w:t>新增</w:t>
            </w:r>
          </w:p>
        </w:tc>
      </w:tr>
      <w:tr w14:paraId="58A2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7B4F8F8D">
            <w:r>
              <w:rPr>
                <w:rFonts w:hint="eastAsia"/>
              </w:rPr>
              <w:t>6</w:t>
            </w:r>
          </w:p>
        </w:tc>
        <w:tc>
          <w:tcPr>
            <w:tcW w:w="1615" w:type="dxa"/>
          </w:tcPr>
          <w:p w14:paraId="2A7517D1">
            <w:r>
              <w:rPr>
                <w:rFonts w:hint="eastAsia"/>
              </w:rPr>
              <w:t>验证基线管理能力</w:t>
            </w:r>
          </w:p>
        </w:tc>
        <w:tc>
          <w:tcPr>
            <w:tcW w:w="3988" w:type="dxa"/>
          </w:tcPr>
          <w:p w14:paraId="33551C36">
            <w:pPr>
              <w:numPr>
                <w:ilvl w:val="0"/>
                <w:numId w:val="9"/>
              </w:numPr>
              <w:spacing w:line="360" w:lineRule="auto"/>
            </w:pPr>
            <w:r>
              <w:rPr>
                <w:rFonts w:hint="eastAsia"/>
              </w:rPr>
              <w:t>支持需求、接口约束、性能指标、时序条件、验证准则等基线要素导入与管理；</w:t>
            </w:r>
          </w:p>
          <w:p w14:paraId="5B9E4D57">
            <w:pPr>
              <w:numPr>
                <w:ilvl w:val="0"/>
                <w:numId w:val="9"/>
              </w:numPr>
              <w:spacing w:line="360" w:lineRule="auto"/>
            </w:pPr>
            <w:r>
              <w:rPr>
                <w:rFonts w:hint="eastAsia"/>
              </w:rPr>
              <w:t>支持基线版本固化、变更留痕和历史回溯；</w:t>
            </w:r>
          </w:p>
          <w:p w14:paraId="270992BE">
            <w:pPr>
              <w:numPr>
                <w:ilvl w:val="0"/>
                <w:numId w:val="9"/>
              </w:numPr>
              <w:spacing w:line="360" w:lineRule="auto"/>
            </w:pPr>
            <w:r>
              <w:rPr>
                <w:rFonts w:hint="eastAsia"/>
              </w:rPr>
              <w:t>支持基于规则和语义分析形成检查项；</w:t>
            </w:r>
          </w:p>
          <w:p w14:paraId="008132A5">
            <w:pPr>
              <w:numPr>
                <w:ilvl w:val="0"/>
                <w:numId w:val="9"/>
              </w:numPr>
              <w:spacing w:line="360" w:lineRule="auto"/>
            </w:pPr>
            <w:r>
              <w:rPr>
                <w:rFonts w:hint="eastAsia"/>
              </w:rPr>
              <w:t>支持为仿真任务配置和结果判定提供依据。</w:t>
            </w:r>
          </w:p>
        </w:tc>
        <w:tc>
          <w:tcPr>
            <w:tcW w:w="711" w:type="dxa"/>
          </w:tcPr>
          <w:p w14:paraId="00FBC700">
            <w:r>
              <w:rPr>
                <w:rFonts w:hint="eastAsia"/>
              </w:rPr>
              <w:t>1</w:t>
            </w:r>
          </w:p>
        </w:tc>
        <w:tc>
          <w:tcPr>
            <w:tcW w:w="731" w:type="dxa"/>
          </w:tcPr>
          <w:p w14:paraId="64C19FC5">
            <w:r>
              <w:rPr>
                <w:rFonts w:hint="eastAsia"/>
              </w:rPr>
              <w:t>套</w:t>
            </w:r>
          </w:p>
        </w:tc>
        <w:tc>
          <w:tcPr>
            <w:tcW w:w="746" w:type="dxa"/>
          </w:tcPr>
          <w:p w14:paraId="3640849D">
            <w:r>
              <w:rPr>
                <w:rFonts w:hint="eastAsia"/>
              </w:rPr>
              <w:t>新增</w:t>
            </w:r>
          </w:p>
        </w:tc>
      </w:tr>
      <w:tr w14:paraId="7841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7AE4CB65">
            <w:r>
              <w:rPr>
                <w:rFonts w:hint="eastAsia"/>
              </w:rPr>
              <w:t>7</w:t>
            </w:r>
          </w:p>
        </w:tc>
        <w:tc>
          <w:tcPr>
            <w:tcW w:w="1615" w:type="dxa"/>
          </w:tcPr>
          <w:p w14:paraId="7D28041B">
            <w:r>
              <w:rPr>
                <w:rFonts w:hint="eastAsia"/>
              </w:rPr>
              <w:t>仿真任务管理</w:t>
            </w:r>
          </w:p>
        </w:tc>
        <w:tc>
          <w:tcPr>
            <w:tcW w:w="3988" w:type="dxa"/>
          </w:tcPr>
          <w:p w14:paraId="0B5E214C">
            <w:pPr>
              <w:numPr>
                <w:ilvl w:val="0"/>
                <w:numId w:val="10"/>
              </w:numPr>
              <w:spacing w:line="360" w:lineRule="auto"/>
              <w:rPr>
                <w:highlight w:val="yellow"/>
              </w:rPr>
            </w:pPr>
            <w:r>
              <w:rPr>
                <w:rFonts w:hint="eastAsia"/>
                <w:highlight w:val="yellow"/>
                <w:lang w:val="en-US" w:eastAsia="zh-CN"/>
              </w:rPr>
              <w:t>支持基于大模型将仿真需求进行解析成可执行的需求条目，具备对单个需求的配置能力；</w:t>
            </w:r>
          </w:p>
          <w:p w14:paraId="08F4C967">
            <w:pPr>
              <w:numPr>
                <w:ilvl w:val="0"/>
                <w:numId w:val="10"/>
              </w:numPr>
              <w:spacing w:line="360" w:lineRule="auto"/>
              <w:rPr>
                <w:highlight w:val="yellow"/>
              </w:rPr>
            </w:pPr>
            <w:r>
              <w:rPr>
                <w:rFonts w:hint="eastAsia"/>
                <w:highlight w:val="yellow"/>
                <w:lang w:val="en-US" w:eastAsia="zh-CN"/>
              </w:rPr>
              <w:t>支持自动根据需求条目生成仿真任务，并实现对任务的规划、构建、执行与监控等；</w:t>
            </w:r>
          </w:p>
          <w:p w14:paraId="277C6CE4">
            <w:pPr>
              <w:numPr>
                <w:ilvl w:val="0"/>
                <w:numId w:val="10"/>
              </w:numPr>
              <w:spacing w:line="360" w:lineRule="auto"/>
            </w:pPr>
            <w:r>
              <w:rPr>
                <w:rFonts w:hint="eastAsia"/>
              </w:rPr>
              <w:t>支持仿真场景构建、工况组合、任务编排、执行调度和状态监控；</w:t>
            </w:r>
          </w:p>
          <w:p w14:paraId="179B305F">
            <w:pPr>
              <w:numPr>
                <w:ilvl w:val="0"/>
                <w:numId w:val="10"/>
              </w:numPr>
              <w:spacing w:line="360" w:lineRule="auto"/>
              <w:rPr>
                <w:highlight w:val="yellow"/>
              </w:rPr>
            </w:pPr>
            <w:r>
              <w:rPr>
                <w:rFonts w:hint="eastAsia"/>
                <w:highlight w:val="yellow"/>
                <w:lang w:val="en-US" w:eastAsia="zh-CN"/>
              </w:rPr>
              <w:t>支持基于</w:t>
            </w:r>
            <w:r>
              <w:rPr>
                <w:rFonts w:hint="eastAsia"/>
                <w:highlight w:val="yellow"/>
              </w:rPr>
              <w:t>数据分析和实时需求动态调整资源分配，提高资源利用率。</w:t>
            </w:r>
          </w:p>
          <w:p w14:paraId="0050DADD">
            <w:pPr>
              <w:numPr>
                <w:ilvl w:val="0"/>
                <w:numId w:val="10"/>
              </w:numPr>
              <w:spacing w:line="360" w:lineRule="auto"/>
              <w:rPr>
                <w:highlight w:val="yellow"/>
              </w:rPr>
            </w:pPr>
            <w:r>
              <w:rPr>
                <w:rFonts w:hint="eastAsia"/>
                <w:highlight w:val="yellow"/>
                <w:lang w:val="en-US" w:eastAsia="zh-CN"/>
              </w:rPr>
              <w:t>支持</w:t>
            </w:r>
            <w:r>
              <w:rPr>
                <w:rFonts w:hint="eastAsia"/>
                <w:highlight w:val="yellow"/>
              </w:rPr>
              <w:t>引入智能评估模型，通过对比历史数据和实时结果，自动生成评估报告，提供决策支持。</w:t>
            </w:r>
          </w:p>
          <w:p w14:paraId="441FDC46">
            <w:pPr>
              <w:numPr>
                <w:ilvl w:val="0"/>
                <w:numId w:val="10"/>
              </w:numPr>
              <w:spacing w:line="360" w:lineRule="auto"/>
            </w:pPr>
            <w:r>
              <w:rPr>
                <w:rFonts w:hint="eastAsia"/>
              </w:rPr>
              <w:t>支持不少于100个任务统一管理；</w:t>
            </w:r>
          </w:p>
          <w:p w14:paraId="25566BA2">
            <w:pPr>
              <w:numPr>
                <w:ilvl w:val="0"/>
                <w:numId w:val="10"/>
              </w:numPr>
              <w:spacing w:line="360" w:lineRule="auto"/>
            </w:pPr>
            <w:r>
              <w:rPr>
                <w:rFonts w:hint="eastAsia"/>
              </w:rPr>
              <w:t>支持任务排队、执行状态跟踪、结果回收和证据沉淀；</w:t>
            </w:r>
          </w:p>
          <w:p w14:paraId="7AB13A78">
            <w:pPr>
              <w:numPr>
                <w:ilvl w:val="0"/>
                <w:numId w:val="10"/>
              </w:numPr>
              <w:spacing w:line="360" w:lineRule="auto"/>
            </w:pPr>
            <w:r>
              <w:rPr>
                <w:rFonts w:hint="eastAsia"/>
              </w:rPr>
              <w:t>支持异常工况补全和任务优先级建议；根据任务的紧急程度、资源可用性和历史执行情况，自动建议任务执行顺序。</w:t>
            </w:r>
          </w:p>
          <w:p w14:paraId="1C8D96C5">
            <w:pPr>
              <w:numPr>
                <w:ilvl w:val="0"/>
                <w:numId w:val="10"/>
              </w:numPr>
              <w:spacing w:line="360" w:lineRule="auto"/>
            </w:pPr>
            <w:r>
              <w:rPr>
                <w:rFonts w:hint="eastAsia"/>
              </w:rPr>
              <w:t>支持典型任务流程模板化配置；</w:t>
            </w:r>
          </w:p>
          <w:p w14:paraId="5F646195">
            <w:pPr>
              <w:numPr>
                <w:ilvl w:val="0"/>
                <w:numId w:val="10"/>
              </w:numPr>
              <w:spacing w:line="360" w:lineRule="auto"/>
            </w:pPr>
            <w:r>
              <w:rPr>
                <w:rFonts w:hint="eastAsia"/>
              </w:rPr>
              <w:t>任务启动延迟不大于10秒。</w:t>
            </w:r>
          </w:p>
        </w:tc>
        <w:tc>
          <w:tcPr>
            <w:tcW w:w="711" w:type="dxa"/>
          </w:tcPr>
          <w:p w14:paraId="29EB31EE">
            <w:r>
              <w:rPr>
                <w:rFonts w:hint="eastAsia"/>
              </w:rPr>
              <w:t>1</w:t>
            </w:r>
          </w:p>
        </w:tc>
        <w:tc>
          <w:tcPr>
            <w:tcW w:w="731" w:type="dxa"/>
          </w:tcPr>
          <w:p w14:paraId="2CC00468">
            <w:r>
              <w:rPr>
                <w:rFonts w:hint="eastAsia"/>
              </w:rPr>
              <w:t>套</w:t>
            </w:r>
          </w:p>
        </w:tc>
        <w:tc>
          <w:tcPr>
            <w:tcW w:w="746" w:type="dxa"/>
          </w:tcPr>
          <w:p w14:paraId="3961D0B5">
            <w:r>
              <w:rPr>
                <w:rFonts w:hint="eastAsia"/>
              </w:rPr>
              <w:t>新增</w:t>
            </w:r>
          </w:p>
        </w:tc>
      </w:tr>
      <w:tr w14:paraId="37954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5D0A3318">
            <w:r>
              <w:rPr>
                <w:rFonts w:hint="eastAsia"/>
              </w:rPr>
              <w:t>8</w:t>
            </w:r>
          </w:p>
        </w:tc>
        <w:tc>
          <w:tcPr>
            <w:tcW w:w="1615" w:type="dxa"/>
          </w:tcPr>
          <w:p w14:paraId="5509F543">
            <w:r>
              <w:rPr>
                <w:rFonts w:hint="eastAsia"/>
              </w:rPr>
              <w:t>仿真环境装配与部署编排能力</w:t>
            </w:r>
          </w:p>
        </w:tc>
        <w:tc>
          <w:tcPr>
            <w:tcW w:w="3988" w:type="dxa"/>
          </w:tcPr>
          <w:p w14:paraId="33D6B46A">
            <w:pPr>
              <w:numPr>
                <w:ilvl w:val="0"/>
                <w:numId w:val="11"/>
              </w:numPr>
              <w:spacing w:line="360" w:lineRule="auto"/>
            </w:pPr>
            <w:r>
              <w:rPr>
                <w:rFonts w:hint="eastAsia"/>
              </w:rPr>
              <w:t>支持应用软件、支撑中间件、接口配置、网络参数和外设模型等对象装载与组合；</w:t>
            </w:r>
          </w:p>
          <w:p w14:paraId="6E63F11F">
            <w:pPr>
              <w:numPr>
                <w:ilvl w:val="0"/>
                <w:numId w:val="11"/>
              </w:numPr>
              <w:spacing w:line="360" w:lineRule="auto"/>
            </w:pPr>
            <w:r>
              <w:rPr>
                <w:rFonts w:hint="eastAsia"/>
              </w:rPr>
              <w:t>支持虚拟样机和半实物环境部署；</w:t>
            </w:r>
          </w:p>
          <w:p w14:paraId="78655E82">
            <w:pPr>
              <w:numPr>
                <w:ilvl w:val="0"/>
                <w:numId w:val="11"/>
              </w:numPr>
              <w:spacing w:line="360" w:lineRule="auto"/>
            </w:pPr>
            <w:r>
              <w:rPr>
                <w:rFonts w:hint="eastAsia"/>
              </w:rPr>
              <w:t>支持环境配置保存、复用和回滚；</w:t>
            </w:r>
          </w:p>
          <w:p w14:paraId="009C4088">
            <w:pPr>
              <w:numPr>
                <w:ilvl w:val="0"/>
                <w:numId w:val="11"/>
              </w:numPr>
              <w:spacing w:line="360" w:lineRule="auto"/>
            </w:pPr>
            <w:r>
              <w:rPr>
                <w:rFonts w:hint="eastAsia"/>
              </w:rPr>
              <w:t>支持按任务快速生成执行环境；</w:t>
            </w:r>
          </w:p>
          <w:p w14:paraId="47D8FE49">
            <w:pPr>
              <w:numPr>
                <w:ilvl w:val="0"/>
                <w:numId w:val="11"/>
              </w:numPr>
              <w:spacing w:line="360" w:lineRule="auto"/>
            </w:pPr>
            <w:r>
              <w:rPr>
                <w:rFonts w:hint="eastAsia"/>
              </w:rPr>
              <w:t>典型环境装配时间宜不高于15分钟。</w:t>
            </w:r>
          </w:p>
        </w:tc>
        <w:tc>
          <w:tcPr>
            <w:tcW w:w="711" w:type="dxa"/>
          </w:tcPr>
          <w:p w14:paraId="0A1BE2DD">
            <w:r>
              <w:rPr>
                <w:rFonts w:hint="eastAsia"/>
              </w:rPr>
              <w:t>1</w:t>
            </w:r>
          </w:p>
        </w:tc>
        <w:tc>
          <w:tcPr>
            <w:tcW w:w="731" w:type="dxa"/>
          </w:tcPr>
          <w:p w14:paraId="4D0E8679">
            <w:r>
              <w:rPr>
                <w:rFonts w:hint="eastAsia"/>
              </w:rPr>
              <w:t>套</w:t>
            </w:r>
          </w:p>
        </w:tc>
        <w:tc>
          <w:tcPr>
            <w:tcW w:w="746" w:type="dxa"/>
          </w:tcPr>
          <w:p w14:paraId="300968EE">
            <w:r>
              <w:rPr>
                <w:rFonts w:hint="eastAsia"/>
              </w:rPr>
              <w:t>新增</w:t>
            </w:r>
          </w:p>
        </w:tc>
      </w:tr>
      <w:tr w14:paraId="20AC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tcPr>
          <w:p w14:paraId="71DF17F3">
            <w:r>
              <w:rPr>
                <w:rFonts w:hint="eastAsia"/>
              </w:rPr>
              <w:t>9</w:t>
            </w:r>
          </w:p>
        </w:tc>
        <w:tc>
          <w:tcPr>
            <w:tcW w:w="1615" w:type="dxa"/>
          </w:tcPr>
          <w:p w14:paraId="46E3FFE2">
            <w:r>
              <w:rPr>
                <w:rFonts w:hint="eastAsia"/>
              </w:rPr>
              <w:t>仿真自动测试管理</w:t>
            </w:r>
          </w:p>
        </w:tc>
        <w:tc>
          <w:tcPr>
            <w:tcW w:w="3988" w:type="dxa"/>
          </w:tcPr>
          <w:p w14:paraId="49EBC901">
            <w:pPr>
              <w:numPr>
                <w:ilvl w:val="0"/>
                <w:numId w:val="12"/>
              </w:numPr>
              <w:spacing w:line="360" w:lineRule="auto"/>
              <w:rPr>
                <w:highlight w:val="yellow"/>
              </w:rPr>
            </w:pPr>
            <w:bookmarkStart w:id="21" w:name="_GoBack"/>
            <w:r>
              <w:rPr>
                <w:rFonts w:hint="eastAsia"/>
                <w:highlight w:val="yellow"/>
                <w:lang w:val="en-US" w:eastAsia="zh-CN"/>
              </w:rPr>
              <w:t>支持基于测试需求的测试用例自动生成；支持基于函数、类、接口的单元测试用例生成；</w:t>
            </w:r>
          </w:p>
          <w:bookmarkEnd w:id="21"/>
          <w:p w14:paraId="180578D7">
            <w:pPr>
              <w:numPr>
                <w:ilvl w:val="0"/>
                <w:numId w:val="12"/>
              </w:numPr>
              <w:spacing w:line="360" w:lineRule="auto"/>
            </w:pPr>
            <w:r>
              <w:rPr>
                <w:rFonts w:hint="eastAsia"/>
              </w:rPr>
              <w:t>支持自动测试用例管理、</w:t>
            </w:r>
            <w:r>
              <w:rPr>
                <w:rFonts w:hint="eastAsia"/>
                <w:lang w:val="en-US" w:eastAsia="zh-CN"/>
              </w:rPr>
              <w:t>用例构建、</w:t>
            </w:r>
            <w:r>
              <w:rPr>
                <w:rFonts w:hint="eastAsia"/>
              </w:rPr>
              <w:t>批量执行、执行结果通报</w:t>
            </w:r>
            <w:r>
              <w:rPr>
                <w:rFonts w:hint="eastAsia"/>
                <w:lang w:eastAsia="zh-CN"/>
              </w:rPr>
              <w:t>、</w:t>
            </w:r>
            <w:r>
              <w:rPr>
                <w:rFonts w:hint="eastAsia"/>
                <w:lang w:val="en-US" w:eastAsia="zh-CN"/>
              </w:rPr>
              <w:t>测试结果分析</w:t>
            </w:r>
            <w:r>
              <w:rPr>
                <w:rFonts w:hint="eastAsia"/>
              </w:rPr>
              <w:t>和结果归档；</w:t>
            </w:r>
          </w:p>
          <w:p w14:paraId="78C1B6F0">
            <w:pPr>
              <w:numPr>
                <w:ilvl w:val="0"/>
                <w:numId w:val="12"/>
              </w:numPr>
              <w:spacing w:line="360" w:lineRule="auto"/>
            </w:pPr>
            <w:r>
              <w:rPr>
                <w:rFonts w:hint="eastAsia"/>
              </w:rPr>
              <w:t>支持不少于1000条测试用例管理；</w:t>
            </w:r>
          </w:p>
          <w:p w14:paraId="0788D3EC">
            <w:pPr>
              <w:numPr>
                <w:ilvl w:val="0"/>
                <w:numId w:val="12"/>
              </w:numPr>
              <w:spacing w:line="360" w:lineRule="auto"/>
            </w:pPr>
            <w:r>
              <w:rPr>
                <w:rFonts w:hint="eastAsia"/>
              </w:rPr>
              <w:t>支持测试场景生成、边界条件补全和故障注入项扩展；</w:t>
            </w:r>
          </w:p>
          <w:p w14:paraId="175BC645">
            <w:pPr>
              <w:numPr>
                <w:ilvl w:val="0"/>
                <w:numId w:val="12"/>
              </w:numPr>
              <w:spacing w:line="360" w:lineRule="auto"/>
            </w:pPr>
            <w:r>
              <w:rPr>
                <w:rFonts w:hint="eastAsia"/>
              </w:rPr>
              <w:t>支持测试结果聚类分析、异常归因、证据整理和报告辅助生成；</w:t>
            </w:r>
          </w:p>
          <w:p w14:paraId="02E7AE28">
            <w:pPr>
              <w:numPr>
                <w:ilvl w:val="0"/>
                <w:numId w:val="12"/>
              </w:numPr>
              <w:spacing w:line="360" w:lineRule="auto"/>
            </w:pPr>
            <w:r>
              <w:rPr>
                <w:rFonts w:hint="eastAsia"/>
              </w:rPr>
              <w:t>支持测试结果导出和验证报告生成。</w:t>
            </w:r>
          </w:p>
        </w:tc>
        <w:tc>
          <w:tcPr>
            <w:tcW w:w="711" w:type="dxa"/>
          </w:tcPr>
          <w:p w14:paraId="5D9E0904">
            <w:r>
              <w:rPr>
                <w:rFonts w:hint="eastAsia"/>
              </w:rPr>
              <w:t>1</w:t>
            </w:r>
          </w:p>
        </w:tc>
        <w:tc>
          <w:tcPr>
            <w:tcW w:w="731" w:type="dxa"/>
          </w:tcPr>
          <w:p w14:paraId="427652DD">
            <w:r>
              <w:rPr>
                <w:rFonts w:hint="eastAsia"/>
              </w:rPr>
              <w:t>套</w:t>
            </w:r>
          </w:p>
        </w:tc>
        <w:tc>
          <w:tcPr>
            <w:tcW w:w="746" w:type="dxa"/>
          </w:tcPr>
          <w:p w14:paraId="1BEB63E6">
            <w:r>
              <w:rPr>
                <w:rFonts w:hint="eastAsia"/>
              </w:rPr>
              <w:t>新增</w:t>
            </w:r>
          </w:p>
        </w:tc>
      </w:tr>
    </w:tbl>
    <w:p w14:paraId="2ED426E1"/>
    <w:p w14:paraId="57B6E670">
      <w:pPr>
        <w:pStyle w:val="4"/>
        <w:ind w:firstLine="480"/>
        <w:jc w:val="center"/>
        <w:rPr>
          <w:rFonts w:cs="Times New Roman"/>
          <w:sz w:val="24"/>
          <w:szCs w:val="24"/>
        </w:rPr>
      </w:pPr>
    </w:p>
    <w:p w14:paraId="7F9A86E2">
      <w:pPr>
        <w:pStyle w:val="4"/>
        <w:ind w:firstLine="0" w:firstLineChars="0"/>
        <w:jc w:val="center"/>
        <w:rPr>
          <w:rFonts w:cs="Times New Roman"/>
          <w:sz w:val="24"/>
          <w:szCs w:val="24"/>
        </w:rPr>
      </w:pPr>
      <w:r>
        <w:drawing>
          <wp:inline distT="0" distB="0" distL="114300" distR="114300">
            <wp:extent cx="5274310" cy="321754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74310" cy="3217545"/>
                    </a:xfrm>
                    <a:prstGeom prst="rect">
                      <a:avLst/>
                    </a:prstGeom>
                    <a:noFill/>
                    <a:ln>
                      <a:noFill/>
                    </a:ln>
                  </pic:spPr>
                </pic:pic>
              </a:graphicData>
            </a:graphic>
          </wp:inline>
        </w:drawing>
      </w:r>
    </w:p>
    <w:p w14:paraId="79F6BC1E">
      <w:pPr>
        <w:pStyle w:val="12"/>
      </w:pPr>
      <w:r>
        <w:t xml:space="preserve">图 </w:t>
      </w:r>
      <w:r>
        <w:fldChar w:fldCharType="begin"/>
      </w:r>
      <w:r>
        <w:instrText xml:space="preserve"> SEQ 图 \* ARABIC </w:instrText>
      </w:r>
      <w:r>
        <w:fldChar w:fldCharType="separate"/>
      </w:r>
      <w:r>
        <w:t>1</w:t>
      </w:r>
      <w:r>
        <w:fldChar w:fldCharType="end"/>
      </w:r>
      <w:r>
        <w:rPr>
          <w:rFonts w:hint="eastAsia"/>
        </w:rPr>
        <w:t>建设内容</w:t>
      </w:r>
    </w:p>
    <w:p w14:paraId="048F6C39">
      <w:pPr>
        <w:pStyle w:val="4"/>
        <w:ind w:firstLine="560"/>
      </w:pPr>
      <w:r>
        <w:rPr>
          <w:rFonts w:hint="eastAsia"/>
        </w:rPr>
        <w:t>待</w:t>
      </w:r>
      <w:r>
        <w:t>建设的能力如下：</w:t>
      </w:r>
    </w:p>
    <w:p w14:paraId="0D75D9D3">
      <w:pPr>
        <w:pStyle w:val="10"/>
        <w:numPr>
          <w:ilvl w:val="7"/>
          <w:numId w:val="13"/>
        </w:numPr>
        <w:tabs>
          <w:tab w:val="left" w:pos="900"/>
          <w:tab w:val="clear" w:pos="432"/>
        </w:tabs>
        <w:spacing w:line="300" w:lineRule="auto"/>
      </w:pPr>
      <w:r>
        <w:rPr>
          <w:rFonts w:hint="eastAsia"/>
        </w:rPr>
        <w:t>外部接入层，</w:t>
      </w:r>
    </w:p>
    <w:p w14:paraId="1759C16A">
      <w:pPr>
        <w:pStyle w:val="4"/>
        <w:ind w:firstLine="560"/>
      </w:pPr>
      <w:r>
        <w:rPr>
          <w:rFonts w:hint="eastAsia"/>
        </w:rPr>
        <w:t>接入 Doors、MagicDraw、服务建模工具、FACE 建模工具、SOMTools、SkyEye 及标准规范、历史问题案例等外部输入，为平台提供需求、模型、接口、参数、约束与测试相关数据来源。</w:t>
      </w:r>
    </w:p>
    <w:p w14:paraId="63C760B8">
      <w:pPr>
        <w:pStyle w:val="10"/>
        <w:tabs>
          <w:tab w:val="left" w:pos="900"/>
          <w:tab w:val="clear" w:pos="432"/>
        </w:tabs>
        <w:spacing w:line="300" w:lineRule="auto"/>
        <w:ind w:left="902" w:hanging="420"/>
      </w:pPr>
      <w:r>
        <w:rPr>
          <w:rFonts w:hint="eastAsia"/>
        </w:rPr>
        <w:t>第二层为数据与模型层，</w:t>
      </w:r>
    </w:p>
    <w:p w14:paraId="104BDD50">
      <w:pPr>
        <w:pStyle w:val="4"/>
        <w:ind w:firstLine="560"/>
      </w:pPr>
      <w:r>
        <w:rPr>
          <w:rFonts w:hint="eastAsia"/>
        </w:rPr>
        <w:t>包括仿真验证数据底座、模型数据、接口数据、工况数据、测试资产和验证证据包，承担统一存储、索引、关联、版本管理和追溯支撑作用。</w:t>
      </w:r>
    </w:p>
    <w:p w14:paraId="4045E6B8">
      <w:pPr>
        <w:pStyle w:val="10"/>
        <w:tabs>
          <w:tab w:val="left" w:pos="900"/>
          <w:tab w:val="clear" w:pos="432"/>
        </w:tabs>
        <w:spacing w:line="300" w:lineRule="auto"/>
        <w:ind w:left="902" w:hanging="420"/>
      </w:pPr>
      <w:r>
        <w:rPr>
          <w:rFonts w:hint="eastAsia"/>
        </w:rPr>
        <w:t>第三层为核心业务能力层，</w:t>
      </w:r>
    </w:p>
    <w:p w14:paraId="7E2633BA">
      <w:pPr>
        <w:pStyle w:val="4"/>
        <w:ind w:firstLine="560"/>
      </w:pPr>
      <w:r>
        <w:rPr>
          <w:rFonts w:hint="eastAsia"/>
        </w:rPr>
        <w:t>包括异构工具数据接入与解析能力、验证基线管理能力、仿真任务管理、仿真环境装配与部署编排能力、仿真自动测试管理，负责将上游输入转换为可执行的场景、任务、环境和验证活动。</w:t>
      </w:r>
    </w:p>
    <w:p w14:paraId="0AECDA94">
      <w:pPr>
        <w:pStyle w:val="10"/>
        <w:tabs>
          <w:tab w:val="left" w:pos="900"/>
          <w:tab w:val="clear" w:pos="432"/>
        </w:tabs>
        <w:spacing w:line="300" w:lineRule="auto"/>
        <w:ind w:left="902" w:hanging="420"/>
      </w:pPr>
      <w:r>
        <w:rPr>
          <w:rFonts w:hint="eastAsia"/>
        </w:rPr>
        <w:t>第四层为运行支撑层，</w:t>
      </w:r>
    </w:p>
    <w:p w14:paraId="69B1055D">
      <w:pPr>
        <w:pStyle w:val="4"/>
        <w:ind w:firstLine="560"/>
      </w:pPr>
      <w:r>
        <w:rPr>
          <w:rFonts w:hint="eastAsia"/>
        </w:rPr>
        <w:t>包括仿真与半实物资源调度能力、仿真运行观测与证据留痕能力，以及大模型辅助智能验证能力，为任务执行、状态监测、异常分析和证据沉淀提供支撑。</w:t>
      </w:r>
    </w:p>
    <w:p w14:paraId="0F5075D9">
      <w:pPr>
        <w:pStyle w:val="10"/>
        <w:tabs>
          <w:tab w:val="left" w:pos="900"/>
          <w:tab w:val="clear" w:pos="432"/>
        </w:tabs>
        <w:spacing w:line="300" w:lineRule="auto"/>
        <w:ind w:left="902" w:hanging="420"/>
      </w:pPr>
      <w:r>
        <w:rPr>
          <w:rFonts w:hint="eastAsia"/>
        </w:rPr>
        <w:t>最下层为基础设施层，</w:t>
      </w:r>
    </w:p>
    <w:p w14:paraId="2751E4E4">
      <w:pPr>
        <w:pStyle w:val="4"/>
        <w:ind w:firstLine="560"/>
      </w:pPr>
      <w:r>
        <w:rPr>
          <w:rFonts w:hint="eastAsia"/>
        </w:rPr>
        <w:t>包括国产服务器、网络交换机、半实物仿真机架、仿真单板、虚拟机、容器引擎及相关操作系统环境，为联合仿真和自动验证提供底层算力与运行环境。</w:t>
      </w:r>
    </w:p>
    <w:p w14:paraId="675884F5"/>
    <w:p w14:paraId="54D12E23"/>
    <w:p w14:paraId="4BC1D4BD"/>
    <w:p w14:paraId="17A874E5">
      <w:pPr>
        <w:numPr>
          <w:ilvl w:val="0"/>
          <w:numId w:val="3"/>
        </w:numPr>
        <w:adjustRightInd w:val="0"/>
        <w:snapToGrid w:val="0"/>
        <w:spacing w:line="360" w:lineRule="auto"/>
        <w:outlineLvl w:val="1"/>
        <w:rPr>
          <w:rFonts w:eastAsiaTheme="minorEastAsia"/>
          <w:b/>
          <w:sz w:val="28"/>
          <w:szCs w:val="28"/>
        </w:rPr>
      </w:pPr>
      <w:bookmarkStart w:id="7" w:name="_Toc174913560"/>
      <w:bookmarkStart w:id="8" w:name="_Toc183013416"/>
      <w:r>
        <w:rPr>
          <w:rFonts w:hint="eastAsia" w:eastAsiaTheme="minorEastAsia"/>
          <w:b/>
          <w:sz w:val="28"/>
          <w:szCs w:val="28"/>
        </w:rPr>
        <w:t>产品在国内、国际使用情况</w:t>
      </w:r>
      <w:bookmarkEnd w:id="7"/>
      <w:bookmarkEnd w:id="8"/>
    </w:p>
    <w:p w14:paraId="2428795D">
      <w:pPr>
        <w:pStyle w:val="4"/>
        <w:ind w:firstLine="560"/>
        <w:rPr>
          <w:rFonts w:cs="Times New Roman" w:eastAsiaTheme="minorEastAsia"/>
          <w:bCs/>
          <w:szCs w:val="28"/>
        </w:rPr>
      </w:pPr>
      <w:r>
        <w:rPr>
          <w:rFonts w:hint="eastAsia" w:cs="Times New Roman" w:eastAsiaTheme="minorEastAsia"/>
          <w:szCs w:val="28"/>
        </w:rPr>
        <w:t>该产品中软件属于定制产品，且这种开发</w:t>
      </w:r>
      <w:r>
        <w:rPr>
          <w:rFonts w:cs="Times New Roman" w:eastAsiaTheme="minorEastAsia"/>
          <w:szCs w:val="28"/>
        </w:rPr>
        <w:t>方</w:t>
      </w:r>
      <w:r>
        <w:rPr>
          <w:rFonts w:hint="eastAsia" w:cs="Times New Roman" w:eastAsiaTheme="minorEastAsia"/>
          <w:szCs w:val="28"/>
        </w:rPr>
        <w:t>式国内也处于探索，目前尚无商业成品。</w:t>
      </w:r>
    </w:p>
    <w:p w14:paraId="72D604E5">
      <w:pPr>
        <w:numPr>
          <w:ilvl w:val="0"/>
          <w:numId w:val="3"/>
        </w:numPr>
        <w:adjustRightInd w:val="0"/>
        <w:snapToGrid w:val="0"/>
        <w:spacing w:line="360" w:lineRule="auto"/>
        <w:outlineLvl w:val="1"/>
        <w:rPr>
          <w:rFonts w:eastAsiaTheme="minorEastAsia"/>
          <w:b/>
          <w:sz w:val="28"/>
          <w:szCs w:val="28"/>
        </w:rPr>
      </w:pPr>
      <w:bookmarkStart w:id="9" w:name="_Toc174913561"/>
      <w:bookmarkStart w:id="10" w:name="_Toc183013417"/>
      <w:r>
        <w:rPr>
          <w:rFonts w:hint="eastAsia" w:eastAsiaTheme="minorEastAsia"/>
          <w:b/>
          <w:sz w:val="28"/>
          <w:szCs w:val="28"/>
        </w:rPr>
        <w:t>国内外同类产品性能及价格比较</w:t>
      </w:r>
      <w:bookmarkEnd w:id="9"/>
      <w:bookmarkEnd w:id="10"/>
    </w:p>
    <w:p w14:paraId="47DD2398">
      <w:pPr>
        <w:pStyle w:val="4"/>
        <w:ind w:left="420" w:firstLine="0" w:firstLineChars="0"/>
        <w:rPr>
          <w:rFonts w:cs="Times New Roman" w:eastAsiaTheme="minorEastAsia"/>
          <w:szCs w:val="28"/>
        </w:rPr>
      </w:pPr>
      <w:r>
        <w:rPr>
          <w:rFonts w:hint="eastAsia" w:cs="Times New Roman" w:eastAsiaTheme="minorEastAsia"/>
          <w:szCs w:val="28"/>
        </w:rPr>
        <w:t>本系统为定制开发系统，国内外暂无同类产品。</w:t>
      </w:r>
    </w:p>
    <w:p w14:paraId="0F872E87">
      <w:pPr>
        <w:numPr>
          <w:ilvl w:val="0"/>
          <w:numId w:val="3"/>
        </w:numPr>
        <w:adjustRightInd w:val="0"/>
        <w:snapToGrid w:val="0"/>
        <w:spacing w:line="360" w:lineRule="auto"/>
        <w:outlineLvl w:val="1"/>
        <w:rPr>
          <w:rFonts w:eastAsiaTheme="minorEastAsia"/>
          <w:b/>
          <w:sz w:val="28"/>
          <w:szCs w:val="28"/>
        </w:rPr>
      </w:pPr>
      <w:bookmarkStart w:id="11" w:name="_Toc174913562"/>
      <w:bookmarkStart w:id="12" w:name="_Toc183013418"/>
      <w:r>
        <w:rPr>
          <w:rFonts w:hint="eastAsia" w:eastAsiaTheme="minorEastAsia"/>
          <w:b/>
          <w:sz w:val="28"/>
          <w:szCs w:val="28"/>
        </w:rPr>
        <w:t>生产厂商背景材料</w:t>
      </w:r>
      <w:bookmarkEnd w:id="11"/>
      <w:bookmarkEnd w:id="12"/>
    </w:p>
    <w:p w14:paraId="628C93D7">
      <w:pPr>
        <w:pStyle w:val="4"/>
        <w:ind w:firstLine="420" w:firstLineChars="0"/>
        <w:rPr>
          <w:rFonts w:cs="Times New Roman" w:eastAsiaTheme="minorEastAsia"/>
          <w:szCs w:val="28"/>
        </w:rPr>
      </w:pPr>
      <w:r>
        <w:rPr>
          <w:rFonts w:hint="eastAsia" w:cs="Times New Roman" w:eastAsiaTheme="minorEastAsia"/>
          <w:szCs w:val="28"/>
        </w:rPr>
        <w:t>成都</w:t>
      </w:r>
      <w:r>
        <w:rPr>
          <w:rFonts w:cs="Times New Roman" w:eastAsiaTheme="minorEastAsia"/>
          <w:szCs w:val="28"/>
        </w:rPr>
        <w:t>精灵云科技有限公司成立于</w:t>
      </w:r>
      <w:r>
        <w:rPr>
          <w:rFonts w:hint="eastAsia" w:cs="Times New Roman" w:eastAsiaTheme="minorEastAsia"/>
          <w:szCs w:val="28"/>
        </w:rPr>
        <w:t>2015年</w:t>
      </w:r>
      <w:r>
        <w:rPr>
          <w:rFonts w:cs="Times New Roman" w:eastAsiaTheme="minorEastAsia"/>
          <w:szCs w:val="28"/>
        </w:rPr>
        <w:t>，秉持</w:t>
      </w:r>
      <w:r>
        <w:rPr>
          <w:rFonts w:cs="Times New Roman" w:asciiTheme="minorEastAsia" w:hAnsiTheme="minorEastAsia" w:eastAsiaTheme="minorEastAsia"/>
          <w:szCs w:val="28"/>
        </w:rPr>
        <w:t>“</w:t>
      </w:r>
      <w:r>
        <w:rPr>
          <w:rFonts w:hint="eastAsia" w:cs="Times New Roman" w:asciiTheme="minorEastAsia" w:hAnsiTheme="minorEastAsia" w:eastAsiaTheme="minorEastAsia"/>
          <w:szCs w:val="28"/>
        </w:rPr>
        <w:t>践行</w:t>
      </w:r>
      <w:r>
        <w:rPr>
          <w:rFonts w:cs="Times New Roman" w:asciiTheme="minorEastAsia" w:hAnsiTheme="minorEastAsia" w:eastAsiaTheme="minorEastAsia"/>
          <w:szCs w:val="28"/>
        </w:rPr>
        <w:t>自主可控，赋能万物智</w:t>
      </w:r>
      <w:r>
        <w:rPr>
          <w:rFonts w:hint="eastAsia" w:cs="Times New Roman" w:asciiTheme="minorEastAsia" w:hAnsiTheme="minorEastAsia" w:eastAsiaTheme="minorEastAsia"/>
          <w:szCs w:val="28"/>
        </w:rPr>
        <w:t>联</w:t>
      </w:r>
      <w:r>
        <w:rPr>
          <w:rFonts w:cs="Times New Roman" w:asciiTheme="minorEastAsia" w:hAnsiTheme="minorEastAsia" w:eastAsiaTheme="minorEastAsia"/>
          <w:szCs w:val="28"/>
        </w:rPr>
        <w:t>”</w:t>
      </w:r>
      <w:r>
        <w:rPr>
          <w:rFonts w:hint="eastAsia" w:cs="Times New Roman" w:asciiTheme="minorEastAsia" w:hAnsiTheme="minorEastAsia" w:eastAsiaTheme="minorEastAsia"/>
          <w:szCs w:val="28"/>
        </w:rPr>
        <w:t>的</w:t>
      </w:r>
      <w:r>
        <w:rPr>
          <w:rFonts w:cs="Times New Roman" w:asciiTheme="minorEastAsia" w:hAnsiTheme="minorEastAsia" w:eastAsiaTheme="minorEastAsia"/>
          <w:szCs w:val="28"/>
        </w:rPr>
        <w:t>使命，旨在成为领先的军用云服务商，依托自主可控的产品体系，为客户提供落地的技术服务，业务方向主要涉及有人无人</w:t>
      </w:r>
      <w:r>
        <w:rPr>
          <w:rFonts w:hint="eastAsia" w:cs="Times New Roman" w:asciiTheme="minorEastAsia" w:hAnsiTheme="minorEastAsia" w:eastAsiaTheme="minorEastAsia"/>
          <w:szCs w:val="28"/>
        </w:rPr>
        <w:t>协同</w:t>
      </w:r>
      <w:r>
        <w:rPr>
          <w:rFonts w:cs="Times New Roman" w:asciiTheme="minorEastAsia" w:hAnsiTheme="minorEastAsia" w:eastAsiaTheme="minorEastAsia"/>
          <w:szCs w:val="28"/>
        </w:rPr>
        <w:t>、无人集群协同、跨域协同等作战场景，提供作战资源管理、系统能力共享、平台互操作性扩展等能力，核心产品</w:t>
      </w:r>
      <w:r>
        <w:rPr>
          <w:rFonts w:hint="eastAsia" w:cs="Times New Roman" w:asciiTheme="minorEastAsia" w:hAnsiTheme="minorEastAsia" w:eastAsiaTheme="minorEastAsia"/>
          <w:szCs w:val="28"/>
        </w:rPr>
        <w:t>包涵</w:t>
      </w:r>
      <w:r>
        <w:rPr>
          <w:rFonts w:cs="Times New Roman" w:asciiTheme="minorEastAsia" w:hAnsiTheme="minorEastAsia" w:eastAsiaTheme="minorEastAsia"/>
          <w:szCs w:val="28"/>
        </w:rPr>
        <w:t>中心云平台、边缘云</w:t>
      </w:r>
      <w:r>
        <w:rPr>
          <w:rFonts w:hint="eastAsia" w:cs="Times New Roman" w:asciiTheme="minorEastAsia" w:hAnsiTheme="minorEastAsia" w:eastAsiaTheme="minorEastAsia"/>
          <w:szCs w:val="28"/>
        </w:rPr>
        <w:t>平台</w:t>
      </w:r>
      <w:r>
        <w:rPr>
          <w:rFonts w:cs="Times New Roman" w:asciiTheme="minorEastAsia" w:hAnsiTheme="minorEastAsia" w:eastAsiaTheme="minorEastAsia"/>
          <w:szCs w:val="28"/>
        </w:rPr>
        <w:t>、软件工厂等平台。</w:t>
      </w:r>
    </w:p>
    <w:p w14:paraId="5B4B0112">
      <w:pPr>
        <w:pStyle w:val="4"/>
        <w:ind w:firstLine="420" w:firstLineChars="0"/>
        <w:rPr>
          <w:rFonts w:cs="Times New Roman" w:eastAsiaTheme="minorEastAsia"/>
          <w:szCs w:val="28"/>
        </w:rPr>
      </w:pPr>
      <w:r>
        <w:rPr>
          <w:rFonts w:cs="Times New Roman" w:eastAsiaTheme="minorEastAsia"/>
          <w:szCs w:val="28"/>
        </w:rPr>
        <w:t>成都爱斯顿科技有限公司</w:t>
      </w:r>
      <w:r>
        <w:rPr>
          <w:rFonts w:cs="Times New Roman"/>
          <w:szCs w:val="28"/>
        </w:rPr>
        <w:t>隶属于上市公司（捷世智通，代码430330），在实施集团化管理的基础上独立经营。公司成立于2005年，是一家拥有雄厚技术背景的专业计算机平台研制和嵌入式实时信息处理软硬件研制的民营高科技企业，是一家自主可控-嵌入式计算机方案的专业提供者，可提供基于龙芯处理器、申威处理器、飞腾处理器、PowerPC、X86、ARM等CPU架构的专业解决方案和宽带多通道数字相控阵、实时信号处理、信息化指控、高速数据采集存储、雷达仿真模拟验证、图像视频处理的专业解决方案。面向国防、铁路、电力和工业控制等行业不断推出高可靠的高科技产品，以满足客户的需求。CDASD在自主可控-嵌入式工业计算机领域中有着十分丰富的产品开发和实践经验;具有独立研究、开发产品、生产、销售和技术服务的综合能力；具备行业A类资格等全套资质；公司目前服务的主要客户覆盖全国范围，在电子、通信、轨道交通、电力、医疗设备、工业自动化等行业都有众多客户，高效有力地完成承制项目，并获得用户的诸多好评。</w:t>
      </w:r>
    </w:p>
    <w:p w14:paraId="6FF35350">
      <w:pPr>
        <w:numPr>
          <w:ilvl w:val="0"/>
          <w:numId w:val="3"/>
        </w:numPr>
        <w:adjustRightInd w:val="0"/>
        <w:snapToGrid w:val="0"/>
        <w:spacing w:line="360" w:lineRule="auto"/>
        <w:outlineLvl w:val="1"/>
        <w:rPr>
          <w:rFonts w:eastAsiaTheme="minorEastAsia"/>
          <w:b/>
          <w:sz w:val="28"/>
          <w:szCs w:val="28"/>
        </w:rPr>
      </w:pPr>
      <w:bookmarkStart w:id="13" w:name="_Toc174913563"/>
      <w:bookmarkStart w:id="14" w:name="_Toc183013419"/>
      <w:r>
        <w:rPr>
          <w:rFonts w:hint="eastAsia" w:eastAsiaTheme="minorEastAsia"/>
          <w:b/>
          <w:sz w:val="28"/>
          <w:szCs w:val="28"/>
        </w:rPr>
        <w:t>技术经济效益分析</w:t>
      </w:r>
      <w:bookmarkEnd w:id="13"/>
      <w:bookmarkEnd w:id="14"/>
    </w:p>
    <w:p w14:paraId="05DAEE02">
      <w:pPr>
        <w:pStyle w:val="4"/>
        <w:ind w:firstLine="560"/>
        <w:rPr>
          <w:rFonts w:cs="Times New Roman" w:eastAsiaTheme="minorEastAsia"/>
          <w:b/>
          <w:szCs w:val="28"/>
        </w:rPr>
      </w:pPr>
      <w:r>
        <w:rPr>
          <w:rFonts w:hint="eastAsia" w:cs="Times New Roman" w:eastAsiaTheme="minorEastAsia"/>
          <w:szCs w:val="28"/>
        </w:rPr>
        <w:t>无。</w:t>
      </w:r>
    </w:p>
    <w:p w14:paraId="7E7534DE">
      <w:pPr>
        <w:numPr>
          <w:ilvl w:val="0"/>
          <w:numId w:val="3"/>
        </w:numPr>
        <w:adjustRightInd w:val="0"/>
        <w:snapToGrid w:val="0"/>
        <w:spacing w:line="360" w:lineRule="auto"/>
        <w:outlineLvl w:val="1"/>
        <w:rPr>
          <w:rFonts w:eastAsiaTheme="minorEastAsia"/>
          <w:b/>
          <w:sz w:val="28"/>
          <w:szCs w:val="28"/>
        </w:rPr>
      </w:pPr>
      <w:bookmarkStart w:id="15" w:name="_Toc183013420"/>
      <w:bookmarkStart w:id="16" w:name="_Toc174913564"/>
      <w:r>
        <w:rPr>
          <w:rFonts w:hint="eastAsia" w:eastAsiaTheme="minorEastAsia"/>
          <w:b/>
          <w:sz w:val="28"/>
          <w:szCs w:val="28"/>
        </w:rPr>
        <w:t>配套条件</w:t>
      </w:r>
      <w:bookmarkEnd w:id="15"/>
      <w:bookmarkEnd w:id="16"/>
    </w:p>
    <w:p w14:paraId="5697E837">
      <w:pPr>
        <w:pStyle w:val="4"/>
        <w:ind w:firstLine="560"/>
        <w:rPr>
          <w:rFonts w:cs="Times New Roman" w:eastAsiaTheme="minorEastAsia"/>
          <w:szCs w:val="28"/>
        </w:rPr>
      </w:pPr>
      <w:r>
        <w:rPr>
          <w:rFonts w:hint="eastAsia" w:cs="Times New Roman" w:eastAsiaTheme="minorEastAsia"/>
          <w:szCs w:val="28"/>
        </w:rPr>
        <w:t>无。</w:t>
      </w:r>
    </w:p>
    <w:p w14:paraId="3F8A778B">
      <w:pPr>
        <w:numPr>
          <w:ilvl w:val="0"/>
          <w:numId w:val="3"/>
        </w:numPr>
        <w:adjustRightInd w:val="0"/>
        <w:snapToGrid w:val="0"/>
        <w:spacing w:line="360" w:lineRule="auto"/>
        <w:outlineLvl w:val="1"/>
        <w:rPr>
          <w:rFonts w:eastAsiaTheme="minorEastAsia"/>
          <w:b/>
          <w:sz w:val="28"/>
          <w:szCs w:val="28"/>
        </w:rPr>
      </w:pPr>
      <w:bookmarkStart w:id="17" w:name="_Toc174913565"/>
      <w:bookmarkStart w:id="18" w:name="_Toc183013421"/>
      <w:r>
        <w:rPr>
          <w:rFonts w:hint="eastAsia" w:eastAsiaTheme="minorEastAsia"/>
          <w:b/>
          <w:sz w:val="28"/>
          <w:szCs w:val="28"/>
        </w:rPr>
        <w:t>招投标说明</w:t>
      </w:r>
      <w:bookmarkEnd w:id="17"/>
      <w:bookmarkEnd w:id="18"/>
    </w:p>
    <w:p w14:paraId="3760F6F6">
      <w:pPr>
        <w:pStyle w:val="4"/>
        <w:ind w:firstLine="560"/>
        <w:jc w:val="left"/>
        <w:rPr>
          <w:rFonts w:cs="Times New Roman" w:eastAsiaTheme="minorEastAsia"/>
          <w:szCs w:val="28"/>
        </w:rPr>
      </w:pPr>
      <w:r>
        <w:rPr>
          <w:rFonts w:hint="eastAsia" w:cs="Times New Roman" w:eastAsiaTheme="minorEastAsia"/>
          <w:szCs w:val="28"/>
        </w:rPr>
        <w:t>设备购置金额高于</w:t>
      </w:r>
      <w:r>
        <w:rPr>
          <w:rFonts w:cs="Times New Roman" w:eastAsiaTheme="minorEastAsia"/>
          <w:szCs w:val="28"/>
        </w:rPr>
        <w:t>600</w:t>
      </w:r>
      <w:r>
        <w:rPr>
          <w:rFonts w:hint="eastAsia" w:cs="Times New Roman" w:eastAsiaTheme="minorEastAsia"/>
          <w:szCs w:val="28"/>
        </w:rPr>
        <w:t>万元，采用公开招标方式。</w:t>
      </w:r>
    </w:p>
    <w:p w14:paraId="7E14277D">
      <w:pPr>
        <w:numPr>
          <w:ilvl w:val="0"/>
          <w:numId w:val="3"/>
        </w:numPr>
        <w:adjustRightInd w:val="0"/>
        <w:snapToGrid w:val="0"/>
        <w:spacing w:line="360" w:lineRule="auto"/>
        <w:outlineLvl w:val="1"/>
        <w:rPr>
          <w:rFonts w:eastAsiaTheme="minorEastAsia"/>
          <w:b/>
          <w:sz w:val="28"/>
          <w:szCs w:val="28"/>
        </w:rPr>
      </w:pPr>
      <w:bookmarkStart w:id="19" w:name="_Toc183013422"/>
      <w:bookmarkStart w:id="20" w:name="_Toc174913566"/>
      <w:r>
        <w:rPr>
          <w:rFonts w:hint="eastAsia" w:eastAsiaTheme="minorEastAsia"/>
          <w:b/>
          <w:sz w:val="28"/>
          <w:szCs w:val="28"/>
        </w:rPr>
        <w:t>代理商情况</w:t>
      </w:r>
      <w:bookmarkEnd w:id="19"/>
      <w:bookmarkEnd w:id="20"/>
    </w:p>
    <w:p w14:paraId="7E4B63CF">
      <w:pPr>
        <w:pStyle w:val="4"/>
        <w:ind w:firstLine="560"/>
      </w:pPr>
      <w:r>
        <w:rPr>
          <w:rFonts w:hint="eastAsia" w:eastAsiaTheme="minorEastAsia"/>
          <w:kern w:val="0"/>
          <w:szCs w:val="28"/>
        </w:rPr>
        <w:t>无</w:t>
      </w:r>
      <w:bookmarkEnd w:id="0"/>
      <w:r>
        <w:rPr>
          <w:rFonts w:hint="eastAsia" w:eastAsiaTheme="minorEastAsia"/>
          <w:kern w:val="0"/>
          <w:szCs w:val="28"/>
        </w:rPr>
        <w:t>。</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rPr>
      <w:id w:val="1774820251"/>
    </w:sdtPr>
    <w:sdtEndPr>
      <w:rPr>
        <w:sz w:val="21"/>
      </w:rPr>
    </w:sdtEndPr>
    <w:sdtContent>
      <w:p w14:paraId="7D7B4976">
        <w:pPr>
          <w:pStyle w:val="14"/>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sdtContent>
  </w:sdt>
  <w:p w14:paraId="7D58D4ED">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A6B93"/>
    <w:multiLevelType w:val="singleLevel"/>
    <w:tmpl w:val="82DA6B93"/>
    <w:lvl w:ilvl="0" w:tentative="0">
      <w:start w:val="1"/>
      <w:numFmt w:val="decimal"/>
      <w:suff w:val="nothing"/>
      <w:lvlText w:val="（%1）"/>
      <w:lvlJc w:val="left"/>
    </w:lvl>
  </w:abstractNum>
  <w:abstractNum w:abstractNumId="1">
    <w:nsid w:val="B08A0776"/>
    <w:multiLevelType w:val="singleLevel"/>
    <w:tmpl w:val="B08A0776"/>
    <w:lvl w:ilvl="0" w:tentative="0">
      <w:start w:val="1"/>
      <w:numFmt w:val="decimal"/>
      <w:suff w:val="nothing"/>
      <w:lvlText w:val="（%1）"/>
      <w:lvlJc w:val="left"/>
    </w:lvl>
  </w:abstractNum>
  <w:abstractNum w:abstractNumId="2">
    <w:nsid w:val="D212BAEB"/>
    <w:multiLevelType w:val="singleLevel"/>
    <w:tmpl w:val="D212BAEB"/>
    <w:lvl w:ilvl="0" w:tentative="0">
      <w:start w:val="1"/>
      <w:numFmt w:val="decimal"/>
      <w:suff w:val="nothing"/>
      <w:lvlText w:val="（%1）"/>
      <w:lvlJc w:val="left"/>
    </w:lvl>
  </w:abstractNum>
  <w:abstractNum w:abstractNumId="3">
    <w:nsid w:val="17F1205D"/>
    <w:multiLevelType w:val="multilevel"/>
    <w:tmpl w:val="17F1205D"/>
    <w:lvl w:ilvl="0" w:tentative="0">
      <w:start w:val="1"/>
      <w:numFmt w:val="decimal"/>
      <w:lvlText w:val="%1)"/>
      <w:lvlJc w:val="left"/>
      <w:pPr>
        <w:ind w:left="420" w:hanging="420"/>
      </w:pPr>
      <w:rPr>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B0675D4"/>
    <w:multiLevelType w:val="multilevel"/>
    <w:tmpl w:val="1B0675D4"/>
    <w:lvl w:ilvl="0" w:tentative="0">
      <w:start w:val="1"/>
      <w:numFmt w:val="decimal"/>
      <w:pStyle w:val="2"/>
      <w:lvlText w:val="第%1章"/>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default" w:ascii="Times New Roman" w:hAnsi="Times New Roman" w:cs="Times New Roman"/>
      </w:rPr>
    </w:lvl>
    <w:lvl w:ilvl="2" w:tentative="0">
      <w:start w:val="1"/>
      <w:numFmt w:val="decimal"/>
      <w:pStyle w:val="5"/>
      <w:lvlText w:val="%1.%2.%3"/>
      <w:lvlJc w:val="left"/>
      <w:pPr>
        <w:tabs>
          <w:tab w:val="left" w:pos="720"/>
        </w:tabs>
        <w:ind w:left="720" w:hanging="720"/>
      </w:pPr>
      <w:rPr>
        <w:rFonts w:hint="eastAsia"/>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8）"/>
      <w:lvlJc w:val="left"/>
      <w:pPr>
        <w:tabs>
          <w:tab w:val="left" w:pos="1440"/>
        </w:tabs>
        <w:ind w:left="1440" w:hanging="1440"/>
      </w:pPr>
      <w:rPr>
        <w:rFonts w:hint="eastAsia"/>
      </w:rPr>
    </w:lvl>
    <w:lvl w:ilvl="8" w:tentative="0">
      <w:start w:val="1"/>
      <w:numFmt w:val="decimal"/>
      <w:pStyle w:val="11"/>
      <w:lvlText w:val="%9)"/>
      <w:lvlJc w:val="left"/>
      <w:pPr>
        <w:tabs>
          <w:tab w:val="left" w:pos="1584"/>
        </w:tabs>
        <w:ind w:left="1584" w:hanging="1584"/>
      </w:pPr>
      <w:rPr>
        <w:rFonts w:hint="eastAsia"/>
      </w:rPr>
    </w:lvl>
  </w:abstractNum>
  <w:abstractNum w:abstractNumId="5">
    <w:nsid w:val="1D6F76A7"/>
    <w:multiLevelType w:val="singleLevel"/>
    <w:tmpl w:val="1D6F76A7"/>
    <w:lvl w:ilvl="0" w:tentative="0">
      <w:start w:val="1"/>
      <w:numFmt w:val="decimal"/>
      <w:suff w:val="nothing"/>
      <w:lvlText w:val="（%1）"/>
      <w:lvlJc w:val="left"/>
    </w:lvl>
  </w:abstractNum>
  <w:abstractNum w:abstractNumId="6">
    <w:nsid w:val="21C86847"/>
    <w:multiLevelType w:val="singleLevel"/>
    <w:tmpl w:val="21C86847"/>
    <w:lvl w:ilvl="0" w:tentative="0">
      <w:start w:val="1"/>
      <w:numFmt w:val="decimal"/>
      <w:suff w:val="nothing"/>
      <w:lvlText w:val="（%1）"/>
      <w:lvlJc w:val="left"/>
    </w:lvl>
  </w:abstractNum>
  <w:abstractNum w:abstractNumId="7">
    <w:nsid w:val="32D37370"/>
    <w:multiLevelType w:val="multilevel"/>
    <w:tmpl w:val="32D37370"/>
    <w:lvl w:ilvl="0" w:tentative="0">
      <w:start w:val="1"/>
      <w:numFmt w:val="decimal"/>
      <w:lvlText w:val="%1."/>
      <w:lvlJc w:val="left"/>
      <w:pPr>
        <w:ind w:left="420" w:hanging="420"/>
      </w:pPr>
      <w:rPr>
        <w:rFonts w:hint="default" w:ascii="Times New Roman" w:hAnsi="Times New Roman" w:cs="Times New Roman" w:eastAsiaTheme="majorEastAsia"/>
        <w:b w:val="0"/>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CBB1701"/>
    <w:multiLevelType w:val="multilevel"/>
    <w:tmpl w:val="3CBB1701"/>
    <w:lvl w:ilvl="0" w:tentative="0">
      <w:start w:val="1"/>
      <w:numFmt w:val="decimal"/>
      <w:lvlText w:val="（%1）"/>
      <w:lvlJc w:val="left"/>
      <w:pPr>
        <w:tabs>
          <w:tab w:val="left" w:pos="420"/>
        </w:tabs>
        <w:ind w:left="840" w:hanging="420"/>
      </w:pPr>
      <w:rPr>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846BD64"/>
    <w:multiLevelType w:val="singleLevel"/>
    <w:tmpl w:val="7846BD64"/>
    <w:lvl w:ilvl="0" w:tentative="0">
      <w:start w:val="1"/>
      <w:numFmt w:val="decimal"/>
      <w:suff w:val="nothing"/>
      <w:lvlText w:val="（%1）"/>
      <w:lvlJc w:val="left"/>
    </w:lvl>
  </w:abstractNum>
  <w:abstractNum w:abstractNumId="10">
    <w:nsid w:val="7A69A966"/>
    <w:multiLevelType w:val="singleLevel"/>
    <w:tmpl w:val="7A69A966"/>
    <w:lvl w:ilvl="0" w:tentative="0">
      <w:start w:val="1"/>
      <w:numFmt w:val="decimal"/>
      <w:suff w:val="nothing"/>
      <w:lvlText w:val="（%1）"/>
      <w:lvlJc w:val="left"/>
    </w:lvl>
  </w:abstractNum>
  <w:abstractNum w:abstractNumId="11">
    <w:nsid w:val="7BDBDDF4"/>
    <w:multiLevelType w:val="singleLevel"/>
    <w:tmpl w:val="7BDBDDF4"/>
    <w:lvl w:ilvl="0" w:tentative="0">
      <w:start w:val="1"/>
      <w:numFmt w:val="decimal"/>
      <w:suff w:val="nothing"/>
      <w:lvlText w:val="（%1）"/>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
  </w:num>
  <w:num w:numId="8">
    <w:abstractNumId w:val="2"/>
  </w:num>
  <w:num w:numId="9">
    <w:abstractNumId w:val="5"/>
  </w:num>
  <w:num w:numId="10">
    <w:abstractNumId w:val="0"/>
  </w:num>
  <w:num w:numId="11">
    <w:abstractNumId w:val="9"/>
  </w:num>
  <w:num w:numId="12">
    <w:abstractNumId w:val="1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1ZTJmMWQxMTc4ZWI3NDk1NGYzYzAyMjE1OWY4ZjYifQ=="/>
  </w:docVars>
  <w:rsids>
    <w:rsidRoot w:val="00783A13"/>
    <w:rsid w:val="0006729A"/>
    <w:rsid w:val="00131E7F"/>
    <w:rsid w:val="00172D71"/>
    <w:rsid w:val="00285827"/>
    <w:rsid w:val="002A097D"/>
    <w:rsid w:val="002D6F6B"/>
    <w:rsid w:val="003650DE"/>
    <w:rsid w:val="00492F10"/>
    <w:rsid w:val="00510BA3"/>
    <w:rsid w:val="00714D18"/>
    <w:rsid w:val="007225D5"/>
    <w:rsid w:val="00783A13"/>
    <w:rsid w:val="00796ABD"/>
    <w:rsid w:val="008468E9"/>
    <w:rsid w:val="00890418"/>
    <w:rsid w:val="00934A0F"/>
    <w:rsid w:val="0098081A"/>
    <w:rsid w:val="00997925"/>
    <w:rsid w:val="00A75A35"/>
    <w:rsid w:val="00AE4EE3"/>
    <w:rsid w:val="00D76FFC"/>
    <w:rsid w:val="00D82F3A"/>
    <w:rsid w:val="00ED07C3"/>
    <w:rsid w:val="00F21EF9"/>
    <w:rsid w:val="00F92A3E"/>
    <w:rsid w:val="01484412"/>
    <w:rsid w:val="023C15FC"/>
    <w:rsid w:val="0247556A"/>
    <w:rsid w:val="036A6676"/>
    <w:rsid w:val="03AF33C7"/>
    <w:rsid w:val="03EE3EEF"/>
    <w:rsid w:val="047C3818"/>
    <w:rsid w:val="04C335CE"/>
    <w:rsid w:val="052E3998"/>
    <w:rsid w:val="057A59B1"/>
    <w:rsid w:val="0B52270F"/>
    <w:rsid w:val="0C9D50D7"/>
    <w:rsid w:val="0CA14728"/>
    <w:rsid w:val="12900868"/>
    <w:rsid w:val="15210A86"/>
    <w:rsid w:val="189B731D"/>
    <w:rsid w:val="1A73200D"/>
    <w:rsid w:val="1B860A5A"/>
    <w:rsid w:val="1C1426B9"/>
    <w:rsid w:val="1C265002"/>
    <w:rsid w:val="1C7A2973"/>
    <w:rsid w:val="201B206A"/>
    <w:rsid w:val="215B157F"/>
    <w:rsid w:val="224E2864"/>
    <w:rsid w:val="23DA4763"/>
    <w:rsid w:val="24044127"/>
    <w:rsid w:val="2409119B"/>
    <w:rsid w:val="24915D3F"/>
    <w:rsid w:val="259455FA"/>
    <w:rsid w:val="25C32FD6"/>
    <w:rsid w:val="2A3E70CF"/>
    <w:rsid w:val="2CCF57FA"/>
    <w:rsid w:val="2D52148F"/>
    <w:rsid w:val="2F9F2716"/>
    <w:rsid w:val="2FA31782"/>
    <w:rsid w:val="2FE5B160"/>
    <w:rsid w:val="3164786F"/>
    <w:rsid w:val="31F90E0D"/>
    <w:rsid w:val="32E62C4F"/>
    <w:rsid w:val="336D2B84"/>
    <w:rsid w:val="362A675A"/>
    <w:rsid w:val="36E247A4"/>
    <w:rsid w:val="38187BB8"/>
    <w:rsid w:val="3AF56443"/>
    <w:rsid w:val="3CE50D6F"/>
    <w:rsid w:val="3D434011"/>
    <w:rsid w:val="41964097"/>
    <w:rsid w:val="435B44F4"/>
    <w:rsid w:val="47907FF3"/>
    <w:rsid w:val="47C50FE9"/>
    <w:rsid w:val="48227F29"/>
    <w:rsid w:val="494E4CC4"/>
    <w:rsid w:val="4A063C49"/>
    <w:rsid w:val="4AFA2105"/>
    <w:rsid w:val="4B125CE2"/>
    <w:rsid w:val="4B6057DD"/>
    <w:rsid w:val="504D24DD"/>
    <w:rsid w:val="523E1886"/>
    <w:rsid w:val="53A30B5C"/>
    <w:rsid w:val="53F86BF3"/>
    <w:rsid w:val="55020B76"/>
    <w:rsid w:val="56856B80"/>
    <w:rsid w:val="5A187F6C"/>
    <w:rsid w:val="5B182775"/>
    <w:rsid w:val="5CD32DF8"/>
    <w:rsid w:val="5DAD189A"/>
    <w:rsid w:val="60004A82"/>
    <w:rsid w:val="6166423A"/>
    <w:rsid w:val="61FD64E4"/>
    <w:rsid w:val="62966DA1"/>
    <w:rsid w:val="6318500A"/>
    <w:rsid w:val="634755F0"/>
    <w:rsid w:val="653F18E1"/>
    <w:rsid w:val="65FB52A1"/>
    <w:rsid w:val="66687E33"/>
    <w:rsid w:val="67E54BB2"/>
    <w:rsid w:val="67FE5A9A"/>
    <w:rsid w:val="690744BB"/>
    <w:rsid w:val="6B161AF0"/>
    <w:rsid w:val="6C6B3BD0"/>
    <w:rsid w:val="6DD45692"/>
    <w:rsid w:val="72A5227D"/>
    <w:rsid w:val="72BD487D"/>
    <w:rsid w:val="73BE4DA9"/>
    <w:rsid w:val="74DA3335"/>
    <w:rsid w:val="75B07D22"/>
    <w:rsid w:val="75B82CAC"/>
    <w:rsid w:val="76CC2CF1"/>
    <w:rsid w:val="771732C7"/>
    <w:rsid w:val="772B7F04"/>
    <w:rsid w:val="779C49A9"/>
    <w:rsid w:val="77CF26E1"/>
    <w:rsid w:val="78845529"/>
    <w:rsid w:val="78EF06FD"/>
    <w:rsid w:val="7AC94894"/>
    <w:rsid w:val="7D4F3628"/>
    <w:rsid w:val="7D6C753E"/>
    <w:rsid w:val="7DED121A"/>
    <w:rsid w:val="DB7F953B"/>
    <w:rsid w:val="FEBBD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20"/>
    <w:qFormat/>
    <w:uiPriority w:val="0"/>
    <w:pPr>
      <w:numPr>
        <w:ilvl w:val="0"/>
        <w:numId w:val="1"/>
      </w:numPr>
      <w:adjustRightInd w:val="0"/>
      <w:snapToGrid w:val="0"/>
      <w:spacing w:before="120" w:after="120" w:line="360" w:lineRule="auto"/>
      <w:jc w:val="center"/>
      <w:textAlignment w:val="baseline"/>
      <w:outlineLvl w:val="0"/>
    </w:pPr>
    <w:rPr>
      <w:b/>
      <w:kern w:val="0"/>
      <w:sz w:val="28"/>
      <w:szCs w:val="20"/>
    </w:rPr>
  </w:style>
  <w:style w:type="paragraph" w:styleId="3">
    <w:name w:val="heading 2"/>
    <w:basedOn w:val="1"/>
    <w:next w:val="4"/>
    <w:link w:val="21"/>
    <w:qFormat/>
    <w:uiPriority w:val="0"/>
    <w:pPr>
      <w:numPr>
        <w:ilvl w:val="1"/>
        <w:numId w:val="1"/>
      </w:numPr>
      <w:snapToGrid w:val="0"/>
      <w:spacing w:line="360" w:lineRule="auto"/>
      <w:outlineLvl w:val="1"/>
    </w:pPr>
    <w:rPr>
      <w:rFonts w:ascii="Arial" w:hAnsi="Arial"/>
      <w:b/>
      <w:sz w:val="28"/>
      <w:szCs w:val="32"/>
    </w:rPr>
  </w:style>
  <w:style w:type="paragraph" w:styleId="5">
    <w:name w:val="heading 3"/>
    <w:basedOn w:val="1"/>
    <w:next w:val="4"/>
    <w:link w:val="29"/>
    <w:qFormat/>
    <w:uiPriority w:val="0"/>
    <w:pPr>
      <w:numPr>
        <w:ilvl w:val="2"/>
        <w:numId w:val="1"/>
      </w:numPr>
      <w:snapToGrid w:val="0"/>
      <w:spacing w:line="360" w:lineRule="auto"/>
      <w:ind w:left="0" w:firstLine="0"/>
      <w:outlineLvl w:val="2"/>
    </w:pPr>
    <w:rPr>
      <w:b/>
      <w:bCs/>
      <w:sz w:val="28"/>
      <w:szCs w:val="32"/>
    </w:rPr>
  </w:style>
  <w:style w:type="paragraph" w:styleId="6">
    <w:name w:val="heading 4"/>
    <w:basedOn w:val="1"/>
    <w:next w:val="4"/>
    <w:link w:val="30"/>
    <w:qFormat/>
    <w:uiPriority w:val="0"/>
    <w:pPr>
      <w:numPr>
        <w:ilvl w:val="3"/>
        <w:numId w:val="1"/>
      </w:numPr>
      <w:tabs>
        <w:tab w:val="left" w:pos="1080"/>
      </w:tabs>
      <w:snapToGrid w:val="0"/>
      <w:spacing w:line="360" w:lineRule="auto"/>
      <w:jc w:val="left"/>
      <w:outlineLvl w:val="3"/>
    </w:pPr>
    <w:rPr>
      <w:b/>
      <w:bCs/>
      <w:sz w:val="28"/>
    </w:rPr>
  </w:style>
  <w:style w:type="paragraph" w:styleId="7">
    <w:name w:val="heading 5"/>
    <w:basedOn w:val="1"/>
    <w:next w:val="4"/>
    <w:link w:val="24"/>
    <w:qFormat/>
    <w:uiPriority w:val="0"/>
    <w:pPr>
      <w:numPr>
        <w:ilvl w:val="4"/>
        <w:numId w:val="1"/>
      </w:numPr>
      <w:snapToGrid w:val="0"/>
      <w:spacing w:line="360" w:lineRule="auto"/>
      <w:jc w:val="left"/>
      <w:outlineLvl w:val="4"/>
    </w:pPr>
    <w:rPr>
      <w:b/>
      <w:bCs/>
      <w:sz w:val="28"/>
    </w:rPr>
  </w:style>
  <w:style w:type="paragraph" w:styleId="8">
    <w:name w:val="heading 6"/>
    <w:basedOn w:val="1"/>
    <w:next w:val="4"/>
    <w:link w:val="26"/>
    <w:qFormat/>
    <w:uiPriority w:val="0"/>
    <w:pPr>
      <w:numPr>
        <w:ilvl w:val="5"/>
        <w:numId w:val="1"/>
      </w:numPr>
      <w:snapToGrid w:val="0"/>
      <w:spacing w:line="360" w:lineRule="auto"/>
      <w:jc w:val="left"/>
      <w:outlineLvl w:val="5"/>
    </w:pPr>
    <w:rPr>
      <w:b/>
      <w:bCs/>
      <w:sz w:val="28"/>
    </w:rPr>
  </w:style>
  <w:style w:type="paragraph" w:styleId="9">
    <w:name w:val="heading 7"/>
    <w:basedOn w:val="1"/>
    <w:next w:val="1"/>
    <w:link w:val="25"/>
    <w:unhideWhenUsed/>
    <w:qFormat/>
    <w:uiPriority w:val="9"/>
    <w:pPr>
      <w:numPr>
        <w:ilvl w:val="6"/>
        <w:numId w:val="1"/>
      </w:numPr>
      <w:snapToGrid w:val="0"/>
      <w:spacing w:line="360" w:lineRule="auto"/>
      <w:jc w:val="left"/>
      <w:outlineLvl w:val="6"/>
    </w:pPr>
    <w:rPr>
      <w:bCs/>
      <w:sz w:val="28"/>
    </w:rPr>
  </w:style>
  <w:style w:type="paragraph" w:styleId="10">
    <w:name w:val="heading 8"/>
    <w:basedOn w:val="1"/>
    <w:next w:val="4"/>
    <w:link w:val="22"/>
    <w:qFormat/>
    <w:uiPriority w:val="0"/>
    <w:pPr>
      <w:numPr>
        <w:ilvl w:val="7"/>
        <w:numId w:val="1"/>
      </w:numPr>
      <w:tabs>
        <w:tab w:val="left" w:pos="432"/>
      </w:tabs>
      <w:adjustRightInd w:val="0"/>
      <w:snapToGrid w:val="0"/>
      <w:spacing w:line="360" w:lineRule="auto"/>
      <w:outlineLvl w:val="7"/>
    </w:pPr>
    <w:rPr>
      <w:sz w:val="28"/>
    </w:rPr>
  </w:style>
  <w:style w:type="paragraph" w:styleId="11">
    <w:name w:val="heading 9"/>
    <w:basedOn w:val="1"/>
    <w:next w:val="1"/>
    <w:link w:val="31"/>
    <w:qFormat/>
    <w:uiPriority w:val="0"/>
    <w:pPr>
      <w:numPr>
        <w:ilvl w:val="8"/>
        <w:numId w:val="1"/>
      </w:numPr>
      <w:tabs>
        <w:tab w:val="clear" w:pos="1584"/>
      </w:tabs>
      <w:adjustRightInd w:val="0"/>
      <w:snapToGrid w:val="0"/>
      <w:spacing w:line="360" w:lineRule="auto"/>
      <w:ind w:left="1673" w:hanging="397"/>
      <w:outlineLvl w:val="8"/>
    </w:pPr>
    <w:rPr>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4">
    <w:name w:val="正文格式"/>
    <w:basedOn w:val="1"/>
    <w:link w:val="32"/>
    <w:qFormat/>
    <w:uiPriority w:val="0"/>
    <w:pPr>
      <w:snapToGrid w:val="0"/>
      <w:spacing w:line="360" w:lineRule="auto"/>
      <w:ind w:firstLine="200" w:firstLineChars="200"/>
    </w:pPr>
    <w:rPr>
      <w:rFonts w:cs="宋体"/>
      <w:sz w:val="28"/>
      <w:szCs w:val="20"/>
    </w:rPr>
  </w:style>
  <w:style w:type="paragraph" w:styleId="12">
    <w:name w:val="caption"/>
    <w:basedOn w:val="1"/>
    <w:next w:val="1"/>
    <w:link w:val="23"/>
    <w:unhideWhenUsed/>
    <w:qFormat/>
    <w:uiPriority w:val="0"/>
    <w:pPr>
      <w:keepNext/>
      <w:jc w:val="center"/>
    </w:pPr>
    <w:rPr>
      <w:sz w:val="28"/>
      <w:szCs w:val="20"/>
    </w:rPr>
  </w:style>
  <w:style w:type="paragraph" w:styleId="13">
    <w:name w:val="Balloon Text"/>
    <w:basedOn w:val="1"/>
    <w:link w:val="35"/>
    <w:semiHidden/>
    <w:unhideWhenUsed/>
    <w:qFormat/>
    <w:uiPriority w:val="99"/>
    <w:pPr>
      <w:spacing w:line="240" w:lineRule="auto"/>
    </w:pPr>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semiHidden/>
    <w:unhideWhenUsed/>
    <w:qFormat/>
    <w:uiPriority w:val="39"/>
    <w:pPr>
      <w:tabs>
        <w:tab w:val="left" w:pos="993"/>
        <w:tab w:val="left" w:pos="1276"/>
        <w:tab w:val="right" w:leader="dot" w:pos="9072"/>
      </w:tabs>
      <w:adjustRightInd w:val="0"/>
      <w:snapToGrid w:val="0"/>
      <w:spacing w:line="360" w:lineRule="auto"/>
      <w:jc w:val="left"/>
    </w:pPr>
    <w:rPr>
      <w:rFonts w:eastAsiaTheme="minorEastAsia"/>
      <w:bCs/>
      <w:caps/>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标题 1 字符"/>
    <w:basedOn w:val="19"/>
    <w:link w:val="2"/>
    <w:qFormat/>
    <w:uiPriority w:val="0"/>
    <w:rPr>
      <w:rFonts w:ascii="Times New Roman" w:hAnsi="Times New Roman" w:eastAsia="宋体" w:cs="Times New Roman"/>
      <w:b/>
      <w:kern w:val="0"/>
      <w:sz w:val="28"/>
      <w:szCs w:val="20"/>
    </w:rPr>
  </w:style>
  <w:style w:type="character" w:customStyle="1" w:styleId="21">
    <w:name w:val="标题 2 字符"/>
    <w:basedOn w:val="19"/>
    <w:link w:val="3"/>
    <w:qFormat/>
    <w:uiPriority w:val="0"/>
    <w:rPr>
      <w:rFonts w:ascii="Arial" w:hAnsi="Arial" w:eastAsia="宋体" w:cs="Times New Roman"/>
      <w:b/>
      <w:sz w:val="28"/>
      <w:szCs w:val="32"/>
    </w:rPr>
  </w:style>
  <w:style w:type="character" w:customStyle="1" w:styleId="22">
    <w:name w:val="标题 8 字符"/>
    <w:basedOn w:val="19"/>
    <w:link w:val="10"/>
    <w:qFormat/>
    <w:uiPriority w:val="0"/>
    <w:rPr>
      <w:rFonts w:ascii="Times New Roman" w:hAnsi="Times New Roman" w:eastAsia="宋体" w:cs="Times New Roman"/>
      <w:sz w:val="28"/>
      <w:szCs w:val="24"/>
    </w:rPr>
  </w:style>
  <w:style w:type="character" w:customStyle="1" w:styleId="23">
    <w:name w:val="题注 字符"/>
    <w:link w:val="12"/>
    <w:qFormat/>
    <w:locked/>
    <w:uiPriority w:val="0"/>
    <w:rPr>
      <w:rFonts w:ascii="Times New Roman" w:hAnsi="Times New Roman" w:eastAsia="宋体" w:cs="Times New Roman"/>
      <w:sz w:val="28"/>
      <w:szCs w:val="20"/>
    </w:rPr>
  </w:style>
  <w:style w:type="character" w:customStyle="1" w:styleId="24">
    <w:name w:val="标题 5 字符"/>
    <w:basedOn w:val="19"/>
    <w:link w:val="7"/>
    <w:qFormat/>
    <w:uiPriority w:val="0"/>
    <w:rPr>
      <w:rFonts w:ascii="Times New Roman" w:hAnsi="Times New Roman" w:eastAsia="宋体" w:cs="Times New Roman"/>
      <w:b/>
      <w:bCs/>
      <w:sz w:val="28"/>
      <w:szCs w:val="24"/>
    </w:rPr>
  </w:style>
  <w:style w:type="character" w:customStyle="1" w:styleId="25">
    <w:name w:val="标题 7 字符"/>
    <w:basedOn w:val="19"/>
    <w:link w:val="9"/>
    <w:qFormat/>
    <w:uiPriority w:val="9"/>
    <w:rPr>
      <w:rFonts w:ascii="Times New Roman" w:hAnsi="Times New Roman" w:eastAsia="宋体" w:cs="Times New Roman"/>
      <w:bCs/>
      <w:sz w:val="28"/>
      <w:szCs w:val="24"/>
    </w:rPr>
  </w:style>
  <w:style w:type="character" w:customStyle="1" w:styleId="26">
    <w:name w:val="标题 6 字符"/>
    <w:basedOn w:val="19"/>
    <w:link w:val="8"/>
    <w:qFormat/>
    <w:uiPriority w:val="0"/>
    <w:rPr>
      <w:rFonts w:ascii="Times New Roman" w:hAnsi="Times New Roman" w:eastAsia="宋体" w:cs="Times New Roman"/>
      <w:b/>
      <w:bCs/>
      <w:sz w:val="28"/>
      <w:szCs w:val="24"/>
    </w:rPr>
  </w:style>
  <w:style w:type="character" w:customStyle="1" w:styleId="27">
    <w:name w:val="页眉 字符"/>
    <w:basedOn w:val="19"/>
    <w:link w:val="15"/>
    <w:qFormat/>
    <w:uiPriority w:val="99"/>
    <w:rPr>
      <w:sz w:val="18"/>
      <w:szCs w:val="18"/>
    </w:rPr>
  </w:style>
  <w:style w:type="character" w:customStyle="1" w:styleId="28">
    <w:name w:val="页脚 字符"/>
    <w:basedOn w:val="19"/>
    <w:link w:val="14"/>
    <w:qFormat/>
    <w:uiPriority w:val="99"/>
    <w:rPr>
      <w:sz w:val="18"/>
      <w:szCs w:val="18"/>
    </w:rPr>
  </w:style>
  <w:style w:type="character" w:customStyle="1" w:styleId="29">
    <w:name w:val="标题 3 字符"/>
    <w:basedOn w:val="19"/>
    <w:link w:val="5"/>
    <w:qFormat/>
    <w:uiPriority w:val="0"/>
    <w:rPr>
      <w:rFonts w:ascii="Times New Roman" w:hAnsi="Times New Roman" w:eastAsia="宋体" w:cs="Times New Roman"/>
      <w:b/>
      <w:bCs/>
      <w:sz w:val="28"/>
      <w:szCs w:val="32"/>
    </w:rPr>
  </w:style>
  <w:style w:type="character" w:customStyle="1" w:styleId="30">
    <w:name w:val="标题 4 字符"/>
    <w:basedOn w:val="19"/>
    <w:link w:val="6"/>
    <w:qFormat/>
    <w:uiPriority w:val="0"/>
    <w:rPr>
      <w:rFonts w:ascii="Times New Roman" w:hAnsi="Times New Roman" w:eastAsia="宋体" w:cs="Times New Roman"/>
      <w:b/>
      <w:bCs/>
      <w:sz w:val="28"/>
      <w:szCs w:val="24"/>
    </w:rPr>
  </w:style>
  <w:style w:type="character" w:customStyle="1" w:styleId="31">
    <w:name w:val="标题 9 字符"/>
    <w:basedOn w:val="19"/>
    <w:link w:val="11"/>
    <w:qFormat/>
    <w:uiPriority w:val="0"/>
    <w:rPr>
      <w:rFonts w:ascii="Times New Roman" w:hAnsi="Times New Roman" w:eastAsia="宋体" w:cs="Times New Roman"/>
      <w:sz w:val="28"/>
      <w:szCs w:val="24"/>
    </w:rPr>
  </w:style>
  <w:style w:type="character" w:customStyle="1" w:styleId="32">
    <w:name w:val="正文格式 Char2"/>
    <w:link w:val="4"/>
    <w:qFormat/>
    <w:uiPriority w:val="0"/>
    <w:rPr>
      <w:rFonts w:ascii="Times New Roman" w:hAnsi="Times New Roman" w:eastAsia="宋体" w:cs="宋体"/>
      <w:sz w:val="28"/>
      <w:szCs w:val="20"/>
    </w:rPr>
  </w:style>
  <w:style w:type="paragraph" w:styleId="33">
    <w:name w:val="List Paragraph"/>
    <w:basedOn w:val="1"/>
    <w:link w:val="34"/>
    <w:qFormat/>
    <w:uiPriority w:val="34"/>
    <w:pPr>
      <w:spacing w:line="240" w:lineRule="auto"/>
      <w:ind w:firstLine="420"/>
    </w:pPr>
    <w:rPr>
      <w:rFonts w:ascii="Calibri" w:hAnsi="Calibri"/>
    </w:rPr>
  </w:style>
  <w:style w:type="character" w:customStyle="1" w:styleId="34">
    <w:name w:val="列出段落 字符"/>
    <w:link w:val="33"/>
    <w:qFormat/>
    <w:uiPriority w:val="34"/>
    <w:rPr>
      <w:rFonts w:ascii="Calibri" w:hAnsi="Calibri" w:eastAsia="宋体" w:cs="Times New Roman"/>
      <w:szCs w:val="24"/>
    </w:rPr>
  </w:style>
  <w:style w:type="character" w:customStyle="1" w:styleId="35">
    <w:name w:val="批注框文本 字符"/>
    <w:basedOn w:val="19"/>
    <w:link w:val="1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3537</Words>
  <Characters>3711</Characters>
  <Lines>30</Lines>
  <Paragraphs>8</Paragraphs>
  <TotalTime>30</TotalTime>
  <ScaleCrop>false</ScaleCrop>
  <LinksUpToDate>false</LinksUpToDate>
  <CharactersWithSpaces>3716</CharactersWithSpaces>
  <Application>WPS Office_12.1.0.25865_F1E327BC-269C-435d-A152-05C5408002CA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2026-04-15T15:24:00Z</dcterms:created>
  <dc:creator>高鑫</dc:creator>
  <cp:lastModifiedBy>断水流大师兄</cp:lastModifiedBy>
  <dcterms:modified xsi:type="dcterms:W3CDTF">2026-04-20T03:46:14Z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8791B03549EE4D29AE5FCF5D6AE39055_13</vt:lpwstr>
  </property>
  <property fmtid="{D5CDD505-2E9C-101B-9397-08002B2CF9AE}" pid="4" name="KSOTemplateDocerSaveRecord">
    <vt:lpwstr>eyJoZGlkIjoiMjNmYjE3OTY1ODBhMzI4MjFiMGRjZjQ3OTkyMjE5NDYiLCJ1c2VySWQiOiIyNTUxODg2MzMifQ==</vt:lpwstr>
  </property>
</Properties>
</file>